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7"/>
        <w:tblpPr w:bottomFromText="360" w:tblpXSpec="right" w:tblpY="-239"/>
        <w:tblOverlap w:val="never"/>
        <w:tblW w:w="10376" w:type="dxa"/>
        <w:tblCaption w:val="[Table_Title]"/>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40" w:type="dxa"/>
          <w:bottom w:w="0" w:type="dxa"/>
          <w:right w:w="40" w:type="dxa"/>
        </w:tblCellMar>
      </w:tblPr>
      <w:tblGrid>
        <w:gridCol w:w="7643"/>
        <w:gridCol w:w="2733"/>
      </w:tblGrid>
      <w:tr w14:paraId="3FCF80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23" w:hRule="exact"/>
        </w:trPr>
        <w:tc>
          <w:tcPr>
            <w:tcW w:w="10376" w:type="dxa"/>
            <w:gridSpan w:val="2"/>
          </w:tcPr>
          <w:p w14:paraId="551C755E">
            <w:pPr>
              <w:pStyle w:val="37"/>
              <w:framePr w:hRule="auto" w:wrap="auto" w:vAnchor="margin" w:hAnchor="text" w:xAlign="left" w:yAlign="inline"/>
              <w:rPr>
                <w:rFonts w:eastAsia="楷体_GB2312" w:cs="Calibri"/>
              </w:rPr>
            </w:pPr>
            <w:r>
              <w:rPr>
                <w:rFonts w:eastAsia="楷体_GB2312" w:cs="Calibri"/>
                <w:b w:val="0"/>
                <w:color w:val="FFFFFF" w:themeColor="background1"/>
                <w:sz w:val="16"/>
                <w:lang w:eastAsia="zh-CN"/>
                <w14:textFill>
                  <w14:solidFill>
                    <w14:schemeClr w14:val="bg1"/>
                  </w14:solidFill>
                </w14:textFill>
              </w:rPr>
              <w:t>[Table_Title]</w:t>
            </w:r>
          </w:p>
        </w:tc>
      </w:tr>
      <w:tr w14:paraId="3C3E61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318" w:hRule="exact"/>
        </w:trPr>
        <w:tc>
          <w:tcPr>
            <w:tcW w:w="7643" w:type="dxa"/>
            <w:vAlign w:val="center"/>
          </w:tcPr>
          <w:p w14:paraId="16731176">
            <w:pPr>
              <w:pStyle w:val="37"/>
              <w:framePr w:hRule="auto" w:wrap="auto" w:vAnchor="margin" w:hAnchor="text" w:xAlign="left" w:yAlign="inline"/>
              <w:rPr>
                <w:rFonts w:eastAsia="楷体_GB2312" w:cs="Calibri"/>
                <w:b w:val="0"/>
                <w:sz w:val="16"/>
                <w:lang w:eastAsia="zh-CN"/>
              </w:rPr>
            </w:pPr>
            <w:r>
              <w:rPr>
                <w:rFonts w:eastAsia="楷体_GB2312" w:cs="Calibri"/>
                <w:b w:val="0"/>
                <w:sz w:val="16"/>
                <w:lang w:eastAsia="zh-CN"/>
              </w:rPr>
              <w:t>研究报告Research Report</w:t>
            </w:r>
          </w:p>
        </w:tc>
        <w:tc>
          <w:tcPr>
            <w:tcW w:w="2733" w:type="dxa"/>
            <w:vAlign w:val="center"/>
          </w:tcPr>
          <w:p w14:paraId="57719A6E">
            <w:pPr>
              <w:pStyle w:val="37"/>
              <w:framePr w:hRule="auto" w:wrap="auto" w:vAnchor="margin" w:hAnchor="text" w:xAlign="left" w:yAlign="inline"/>
              <w:rPr>
                <w:rFonts w:eastAsia="楷体_GB2312" w:cs="Calibri"/>
              </w:rPr>
            </w:pPr>
          </w:p>
        </w:tc>
      </w:tr>
      <w:tr w14:paraId="60B340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320" w:hRule="atLeast"/>
        </w:trPr>
        <w:tc>
          <w:tcPr>
            <w:tcW w:w="7643" w:type="dxa"/>
            <w:vAlign w:val="center"/>
          </w:tcPr>
          <w:p w14:paraId="402F48C9">
            <w:pPr>
              <w:pStyle w:val="37"/>
              <w:framePr w:hRule="auto" w:wrap="auto" w:vAnchor="margin" w:hAnchor="text" w:xAlign="left" w:yAlign="inline"/>
              <w:rPr>
                <w:rFonts w:eastAsia="楷体_GB2312" w:cs="Calibri"/>
                <w:b w:val="0"/>
                <w:sz w:val="20"/>
                <w:szCs w:val="20"/>
                <w:lang w:eastAsia="zh-CN"/>
              </w:rPr>
            </w:pPr>
            <w:r>
              <w:rPr>
                <w:rFonts w:hint="eastAsia" w:eastAsia="楷体_GB2312" w:cs="Calibri"/>
                <w:b w:val="0"/>
                <w:color w:val="215E99"/>
                <w:sz w:val="16"/>
                <w:lang w:eastAsia="zh-CN"/>
              </w:rPr>
              <w:t>24</w:t>
            </w:r>
            <w:r>
              <w:rPr>
                <w:rFonts w:eastAsia="楷体_GB2312" w:cs="Calibri"/>
                <w:b w:val="0"/>
                <w:color w:val="215E99"/>
                <w:sz w:val="16"/>
              </w:rPr>
              <w:t xml:space="preserve"> Feb 2026</w:t>
            </w:r>
          </w:p>
        </w:tc>
        <w:tc>
          <w:tcPr>
            <w:tcW w:w="2733" w:type="dxa"/>
            <w:vAlign w:val="center"/>
          </w:tcPr>
          <w:p w14:paraId="71082653">
            <w:pPr>
              <w:pStyle w:val="37"/>
              <w:framePr w:hRule="auto" w:wrap="auto" w:vAnchor="margin" w:hAnchor="text" w:xAlign="left" w:yAlign="inline"/>
              <w:wordWrap w:val="0"/>
              <w:jc w:val="right"/>
              <w:rPr>
                <w:rFonts w:eastAsia="楷体_GB2312" w:cs="Calibri"/>
                <w:lang w:eastAsia="zh-CN"/>
              </w:rPr>
            </w:pPr>
          </w:p>
        </w:tc>
      </w:tr>
      <w:tr w14:paraId="28D37A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147" w:hRule="exact"/>
        </w:trPr>
        <w:tc>
          <w:tcPr>
            <w:tcW w:w="7643" w:type="dxa"/>
          </w:tcPr>
          <w:p w14:paraId="57B0F7B3">
            <w:pPr>
              <w:pStyle w:val="104"/>
              <w:framePr w:w="0" w:hRule="auto" w:wrap="auto" w:vAnchor="margin" w:hAnchor="text" w:xAlign="left" w:yAlign="inline"/>
              <w:rPr>
                <w:rFonts w:eastAsia="楷体_GB2312" w:cs="Calibri"/>
                <w:sz w:val="16"/>
                <w:szCs w:val="16"/>
                <w:lang w:val="en-GB" w:eastAsia="zh-CN"/>
              </w:rPr>
            </w:pPr>
          </w:p>
        </w:tc>
        <w:tc>
          <w:tcPr>
            <w:tcW w:w="2733" w:type="dxa"/>
            <w:vAlign w:val="center"/>
          </w:tcPr>
          <w:p w14:paraId="3B1B7E92">
            <w:pPr>
              <w:pStyle w:val="37"/>
              <w:framePr w:hRule="auto" w:wrap="auto" w:vAnchor="margin" w:hAnchor="text" w:xAlign="left" w:yAlign="inline"/>
              <w:jc w:val="right"/>
              <w:rPr>
                <w:rFonts w:eastAsia="楷体_GB2312" w:cs="Calibri"/>
              </w:rPr>
            </w:pPr>
          </w:p>
        </w:tc>
      </w:tr>
      <w:tr w14:paraId="5228A0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583" w:hRule="exact"/>
        </w:trPr>
        <w:tc>
          <w:tcPr>
            <w:tcW w:w="10376" w:type="dxa"/>
            <w:gridSpan w:val="2"/>
          </w:tcPr>
          <w:p w14:paraId="5401550C">
            <w:pPr>
              <w:pStyle w:val="37"/>
              <w:framePr w:hRule="auto" w:wrap="auto" w:vAnchor="margin" w:hAnchor="text" w:xAlign="left" w:yAlign="inline"/>
              <w:rPr>
                <w:rFonts w:eastAsia="楷体_GB2312" w:cs="Calibri"/>
                <w:sz w:val="30"/>
              </w:rPr>
            </w:pPr>
            <w:r>
              <w:rPr>
                <w:rFonts w:eastAsia="楷体_GB2312" w:cs="Calibri"/>
                <w:sz w:val="30"/>
                <w:lang w:eastAsia="zh-CN"/>
              </w:rPr>
              <w:t>全球</w:t>
            </w:r>
            <w:r>
              <w:rPr>
                <w:rFonts w:eastAsia="楷体_GB2312" w:cs="Calibri"/>
                <w:sz w:val="30"/>
              </w:rPr>
              <w:t>宏观</w:t>
            </w:r>
            <w:r>
              <w:rPr>
                <w:rFonts w:eastAsia="楷体_GB2312" w:cs="Calibri"/>
                <w:sz w:val="30"/>
                <w:lang w:eastAsia="zh-CN"/>
              </w:rPr>
              <w:t>World</w:t>
            </w:r>
            <w:r>
              <w:rPr>
                <w:rFonts w:eastAsia="楷体_GB2312" w:cs="Calibri"/>
                <w:sz w:val="30"/>
              </w:rPr>
              <w:t xml:space="preserve"> Macro</w:t>
            </w:r>
          </w:p>
        </w:tc>
      </w:tr>
      <w:tr w14:paraId="41C9FB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1434" w:hRule="exact"/>
        </w:trPr>
        <w:tc>
          <w:tcPr>
            <w:tcW w:w="10376" w:type="dxa"/>
            <w:gridSpan w:val="2"/>
            <w:vAlign w:val="center"/>
          </w:tcPr>
          <w:p w14:paraId="1D6D4245">
            <w:pPr>
              <w:pStyle w:val="153"/>
              <w:spacing w:line="360" w:lineRule="exact"/>
              <w:rPr>
                <w:rFonts w:eastAsia="楷体_GB2312" w:cs="Calibri"/>
                <w:b w:val="0"/>
                <w:color w:val="215E99"/>
                <w:szCs w:val="32"/>
                <w:lang w:eastAsia="zh-CN"/>
              </w:rPr>
            </w:pPr>
            <w:r>
              <w:rPr>
                <w:rFonts w:hint="eastAsia" w:eastAsia="楷体_GB2312" w:cs="Calibri"/>
                <w:b w:val="0"/>
                <w:color w:val="215E99"/>
                <w:szCs w:val="32"/>
              </w:rPr>
              <w:t>斯卡吉特河水电项目重新许可：和解达成的里程碑与</w:t>
            </w:r>
            <w:r>
              <w:rPr>
                <w:rFonts w:eastAsia="楷体_GB2312" w:cs="Calibri"/>
                <w:b w:val="0"/>
                <w:color w:val="215E99"/>
                <w:szCs w:val="32"/>
              </w:rPr>
              <w:t>ESG</w:t>
            </w:r>
            <w:r>
              <w:rPr>
                <w:rFonts w:hint="eastAsia" w:eastAsia="楷体_GB2312" w:cs="Calibri"/>
                <w:b w:val="0"/>
                <w:color w:val="215E99"/>
                <w:szCs w:val="32"/>
                <w:lang w:eastAsia="zh-CN"/>
              </w:rPr>
              <w:t>三方</w:t>
            </w:r>
            <w:r>
              <w:rPr>
                <w:rFonts w:hint="eastAsia" w:eastAsia="楷体_GB2312" w:cs="Calibri"/>
                <w:b w:val="0"/>
                <w:color w:val="215E99"/>
                <w:szCs w:val="32"/>
              </w:rPr>
              <w:t>博弈的深度透视</w:t>
            </w:r>
          </w:p>
          <w:p w14:paraId="5DEF562E">
            <w:pPr>
              <w:pStyle w:val="153"/>
              <w:spacing w:line="360" w:lineRule="exact"/>
              <w:rPr>
                <w:rFonts w:eastAsia="楷体_GB2312" w:cs="Calibri"/>
                <w:b w:val="0"/>
                <w:color w:val="23558C"/>
                <w:sz w:val="24"/>
                <w:szCs w:val="24"/>
                <w:lang w:val="zh-CN" w:eastAsia="zh-CN"/>
              </w:rPr>
            </w:pPr>
            <w:r>
              <w:rPr>
                <w:rFonts w:eastAsia="楷体_GB2312" w:cs="Calibri"/>
                <w:b w:val="0"/>
                <w:color w:val="23558C"/>
                <w:sz w:val="24"/>
                <w:szCs w:val="24"/>
                <w:lang w:val="en-GB" w:eastAsia="zh-CN"/>
              </w:rPr>
              <w:t xml:space="preserve">Skagit River Hydropower Project Re-licensing: A Milestone in the Settlement and an In-Depth Perspective on the </w:t>
            </w:r>
            <w:r>
              <w:rPr>
                <w:rFonts w:hint="eastAsia" w:eastAsia="楷体_GB2312" w:cs="Calibri"/>
                <w:b w:val="0"/>
                <w:color w:val="23558C"/>
                <w:sz w:val="24"/>
                <w:szCs w:val="24"/>
                <w:lang w:val="en-GB" w:eastAsia="zh-CN"/>
              </w:rPr>
              <w:t xml:space="preserve">Complicated </w:t>
            </w:r>
            <w:r>
              <w:rPr>
                <w:rFonts w:eastAsia="楷体_GB2312" w:cs="Calibri"/>
                <w:b w:val="0"/>
                <w:color w:val="23558C"/>
                <w:sz w:val="24"/>
                <w:szCs w:val="24"/>
                <w:lang w:val="en-GB" w:eastAsia="zh-CN"/>
              </w:rPr>
              <w:t xml:space="preserve">ESG </w:t>
            </w:r>
            <w:r>
              <w:rPr>
                <w:rFonts w:hint="eastAsia" w:eastAsia="楷体_GB2312" w:cs="Calibri"/>
                <w:b w:val="0"/>
                <w:color w:val="23558C"/>
                <w:sz w:val="24"/>
                <w:szCs w:val="24"/>
                <w:lang w:val="en-GB" w:eastAsia="zh-CN"/>
              </w:rPr>
              <w:t>Considerations</w:t>
            </w:r>
          </w:p>
        </w:tc>
      </w:tr>
      <w:tr w14:paraId="7C52CD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138" w:hRule="exact"/>
        </w:trPr>
        <w:tc>
          <w:tcPr>
            <w:tcW w:w="10376" w:type="dxa"/>
            <w:gridSpan w:val="2"/>
            <w:vAlign w:val="center"/>
          </w:tcPr>
          <w:p w14:paraId="7CCDC02F">
            <w:pPr>
              <w:pStyle w:val="153"/>
              <w:spacing w:line="360" w:lineRule="exact"/>
              <w:rPr>
                <w:rFonts w:eastAsia="楷体_GB2312" w:cs="Calibri"/>
                <w:sz w:val="24"/>
                <w:szCs w:val="24"/>
              </w:rPr>
            </w:pPr>
          </w:p>
        </w:tc>
      </w:tr>
      <w:tr w14:paraId="1010AA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620" w:hRule="atLeast"/>
        </w:trPr>
        <w:tc>
          <w:tcPr>
            <w:tcW w:w="10376" w:type="dxa"/>
            <w:gridSpan w:val="2"/>
          </w:tcPr>
          <w:tbl>
            <w:tblPr>
              <w:tblStyle w:val="27"/>
              <w:tblW w:w="8082" w:type="dxa"/>
              <w:tblCaption w:val="[Table_Author]"/>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694"/>
              <w:gridCol w:w="5388"/>
            </w:tblGrid>
            <w:tr w14:paraId="68B2AF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5388" w:type="dxa"/>
                <w:cantSplit/>
                <w:trHeight w:val="23" w:hRule="exact"/>
              </w:trPr>
              <w:tc>
                <w:tcPr>
                  <w:tcW w:w="2694" w:type="dxa"/>
                  <w:tcMar>
                    <w:right w:w="60" w:type="dxa"/>
                  </w:tcMar>
                </w:tcPr>
                <w:p w14:paraId="0FA93068">
                  <w:pPr>
                    <w:pStyle w:val="115"/>
                    <w:framePr w:wrap="auto" w:vAnchor="margin" w:hAnchor="text" w:yAlign="inline"/>
                    <w:rPr>
                      <w:rFonts w:eastAsia="楷体_GB2312" w:cs="Calibri"/>
                      <w:color w:val="FFFFFF" w:themeColor="background1"/>
                      <w14:textFill>
                        <w14:solidFill>
                          <w14:schemeClr w14:val="bg1"/>
                        </w14:solidFill>
                      </w14:textFill>
                    </w:rPr>
                  </w:pPr>
                  <w:r>
                    <w:rPr>
                      <w:rFonts w:eastAsia="楷体_GB2312" w:cs="Calibri"/>
                      <w:color w:val="FFFFFF" w:themeColor="background1"/>
                      <w14:textFill>
                        <w14:solidFill>
                          <w14:schemeClr w14:val="bg1"/>
                        </w14:solidFill>
                      </w14:textFill>
                    </w:rPr>
                    <w:t>[Table_Author]</w:t>
                  </w:r>
                </w:p>
              </w:tc>
            </w:tr>
            <w:tr w14:paraId="69C37A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29F2FC3D">
                  <w:pPr>
                    <w:pStyle w:val="114"/>
                    <w:framePr w:wrap="auto" w:vAnchor="margin" w:hAnchor="text" w:yAlign="inline"/>
                    <w:rPr>
                      <w:rFonts w:eastAsia="楷体_GB2312" w:cs="Calibri"/>
                    </w:rPr>
                  </w:pPr>
                  <w:r>
                    <w:rPr>
                      <w:rFonts w:eastAsia="楷体_GB2312" w:cs="Calibri"/>
                      <w:color w:val="000000"/>
                    </w:rPr>
                    <w:t>杨斌Bin Yang, SFC:BSQ313</w:t>
                  </w:r>
                </w:p>
              </w:tc>
              <w:tc>
                <w:tcPr>
                  <w:tcW w:w="5388" w:type="dxa"/>
                </w:tcPr>
                <w:p w14:paraId="0CB25FB2">
                  <w:r>
                    <w:rPr>
                      <w:rFonts w:hint="eastAsia" w:eastAsia="楷体_GB2312"/>
                      <w:b/>
                      <w:bCs/>
                    </w:rPr>
                    <w:t>邓轶达</w:t>
                  </w:r>
                  <w:r>
                    <w:rPr>
                      <w:rFonts w:hint="eastAsia" w:eastAsia="楷体_GB2312"/>
                      <w:b/>
                      <w:bCs/>
                      <w:lang w:eastAsia="zh-CN"/>
                    </w:rPr>
                    <w:t xml:space="preserve"> Yida Deng</w:t>
                  </w:r>
                  <w:r>
                    <w:rPr>
                      <w:rFonts w:hint="eastAsia" w:eastAsia="楷体_GB2312"/>
                      <w:b/>
                      <w:bCs/>
                    </w:rPr>
                    <w:t>, SFC:BVF321</w:t>
                  </w:r>
                </w:p>
              </w:tc>
            </w:tr>
            <w:tr w14:paraId="7694B1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0B41CE51">
                  <w:pPr>
                    <w:pStyle w:val="114"/>
                    <w:framePr w:wrap="auto" w:vAnchor="margin" w:hAnchor="text" w:yAlign="inline"/>
                    <w:rPr>
                      <w:rFonts w:eastAsia="楷体_GB2312" w:cs="Calibri"/>
                      <w:b w:val="0"/>
                    </w:rPr>
                  </w:pPr>
                  <w:r>
                    <w:rPr>
                      <w:rFonts w:eastAsia="楷体_GB2312" w:cs="Calibri"/>
                      <w:b w:val="0"/>
                      <w:color w:val="000000"/>
                    </w:rPr>
                    <w:t>harryyang@hfisec.com.hk</w:t>
                  </w:r>
                </w:p>
              </w:tc>
              <w:tc>
                <w:tcPr>
                  <w:tcW w:w="5388" w:type="dxa"/>
                </w:tcPr>
                <w:p w14:paraId="773FA44D">
                  <w:r>
                    <w:rPr>
                      <w:rFonts w:hint="eastAsia" w:eastAsia="宋体"/>
                    </w:rPr>
                    <w:t>dengyida@hfisec.com.hk</w:t>
                  </w:r>
                </w:p>
              </w:tc>
            </w:tr>
          </w:tbl>
          <w:p w14:paraId="416663D5">
            <w:pPr>
              <w:pStyle w:val="114"/>
              <w:framePr w:wrap="auto" w:vAnchor="margin" w:hAnchor="text" w:yAlign="inline"/>
              <w:rPr>
                <w:rFonts w:eastAsia="楷体_GB2312" w:cs="Calibri"/>
                <w:sz w:val="18"/>
                <w:szCs w:val="18"/>
                <w:lang w:val="en-GB"/>
              </w:rPr>
            </w:pPr>
          </w:p>
        </w:tc>
      </w:tr>
      <w:tr w14:paraId="63E5B6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170" w:hRule="exact"/>
        </w:trPr>
        <w:tc>
          <w:tcPr>
            <w:tcW w:w="10376" w:type="dxa"/>
            <w:gridSpan w:val="2"/>
          </w:tcPr>
          <w:p w14:paraId="6A76A004">
            <w:pPr>
              <w:pStyle w:val="114"/>
              <w:framePr w:wrap="auto" w:vAnchor="margin" w:hAnchor="text" w:yAlign="inline"/>
              <w:rPr>
                <w:rFonts w:eastAsia="楷体_GB2312" w:cs="Calibri"/>
                <w:b w:val="0"/>
              </w:rPr>
            </w:pPr>
          </w:p>
        </w:tc>
      </w:tr>
    </w:tbl>
    <w:p w14:paraId="7E8BF9A6">
      <w:pPr>
        <w:pStyle w:val="94"/>
        <w:spacing w:after="0" w:line="20" w:lineRule="exact"/>
        <w:rPr>
          <w:rFonts w:eastAsia="楷体_GB2312" w:cs="Calibri"/>
          <w:sz w:val="20"/>
          <w:lang w:eastAsia="zh-CN"/>
        </w:rPr>
      </w:pPr>
      <w:bookmarkStart w:id="0" w:name="OLE_LINK2"/>
      <w:bookmarkStart w:id="1" w:name="OLE_LINK1"/>
    </w:p>
    <w:tbl>
      <w:tblPr>
        <w:tblStyle w:val="27"/>
        <w:tblW w:w="0" w:type="auto"/>
        <w:tblCaption w:val="[Table_summary]"/>
        <w:tblDescription w:val="表格隐藏唯一标识（请勿删除或修改）"/>
        <w:tblInd w:w="4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
      <w:tblGrid>
        <w:gridCol w:w="10349"/>
      </w:tblGrid>
      <w:tr w14:paraId="1076B2A2">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3" w:hRule="exact"/>
        </w:trPr>
        <w:tc>
          <w:tcPr>
            <w:tcW w:w="10349" w:type="dxa"/>
          </w:tcPr>
          <w:p w14:paraId="5AF552CF">
            <w:pPr>
              <w:pStyle w:val="94"/>
              <w:spacing w:after="0"/>
              <w:rPr>
                <w:rFonts w:eastAsia="楷体_GB2312" w:cs="Calibri"/>
                <w:bCs/>
                <w:kern w:val="28"/>
                <w:sz w:val="20"/>
                <w:lang w:val="en-GB" w:eastAsia="zh-CN"/>
              </w:rPr>
            </w:pPr>
            <w:r>
              <w:rPr>
                <w:rFonts w:eastAsia="楷体_GB2312" w:cs="Calibri"/>
                <w:bCs/>
                <w:color w:val="FFFFFF" w:themeColor="background1"/>
                <w:kern w:val="28"/>
                <w:sz w:val="20"/>
                <w:lang w:val="en-GB" w:eastAsia="zh-CN"/>
                <w14:textFill>
                  <w14:solidFill>
                    <w14:schemeClr w14:val="bg1"/>
                  </w14:solidFill>
                </w14:textFill>
              </w:rPr>
              <w:t>[Table_summary]</w:t>
            </w:r>
          </w:p>
        </w:tc>
      </w:tr>
      <w:tr w14:paraId="33E1F54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9353" w:hRule="atLeast"/>
        </w:trPr>
        <w:tc>
          <w:tcPr>
            <w:tcW w:w="10349" w:type="dxa"/>
          </w:tcPr>
          <w:p w14:paraId="5F4506ED">
            <w:pPr>
              <w:pStyle w:val="94"/>
              <w:spacing w:after="240"/>
              <w:rPr>
                <w:rFonts w:eastAsia="楷体_GB2312" w:cs="Calibri"/>
                <w:b/>
                <w:bCs/>
                <w:kern w:val="28"/>
                <w:lang w:eastAsia="zh-CN"/>
              </w:rPr>
            </w:pPr>
            <w:r>
              <w:rPr>
                <w:rFonts w:eastAsia="楷体_GB2312" w:cs="Calibri"/>
                <w:bCs/>
                <w:kern w:val="28"/>
                <w:sz w:val="20"/>
                <w:lang w:eastAsia="zh-CN"/>
              </w:rPr>
              <w:t>(</w:t>
            </w:r>
            <w:r>
              <w:rPr>
                <w:rFonts w:eastAsia="楷体_GB2312" w:cs="Calibri"/>
                <w:bCs/>
                <w:kern w:val="28"/>
                <w:sz w:val="20"/>
              </w:rPr>
              <w:t xml:space="preserve">Please see </w:t>
            </w:r>
            <w:r>
              <w:rPr>
                <w:rFonts w:eastAsia="楷体_GB2312" w:cs="Calibri"/>
                <w:bCs/>
                <w:kern w:val="28"/>
                <w:sz w:val="20"/>
                <w:lang w:eastAsia="zh-CN"/>
              </w:rPr>
              <w:t>APPENDIX 1</w:t>
            </w:r>
            <w:r>
              <w:rPr>
                <w:rFonts w:eastAsia="楷体_GB2312" w:cs="Calibri"/>
                <w:bCs/>
                <w:kern w:val="28"/>
                <w:sz w:val="20"/>
              </w:rPr>
              <w:t xml:space="preserve"> for English summary</w:t>
            </w:r>
            <w:r>
              <w:rPr>
                <w:rFonts w:eastAsia="楷体_GB2312" w:cs="Calibri"/>
                <w:bCs/>
                <w:kern w:val="28"/>
                <w:sz w:val="20"/>
                <w:lang w:eastAsia="zh-CN"/>
              </w:rPr>
              <w:t>)</w:t>
            </w:r>
          </w:p>
          <w:p w14:paraId="28797025">
            <w:pPr>
              <w:pStyle w:val="94"/>
              <w:rPr>
                <w:rFonts w:eastAsia="楷体_GB2312" w:cs="Calibri"/>
                <w:b/>
                <w:bCs/>
                <w:kern w:val="28"/>
                <w:lang w:eastAsia="zh-CN"/>
              </w:rPr>
            </w:pPr>
            <w:r>
              <w:rPr>
                <w:rFonts w:eastAsia="楷体_GB2312" w:cs="Calibri"/>
                <w:b/>
                <w:bCs/>
                <w:kern w:val="28"/>
              </w:rPr>
              <w:t>事件</w:t>
            </w:r>
          </w:p>
          <w:p w14:paraId="03F6EDF7">
            <w:pPr>
              <w:jc w:val="both"/>
              <w:rPr>
                <w:rFonts w:eastAsia="楷体_GB2312" w:cs="Calibri"/>
                <w:sz w:val="21"/>
                <w:szCs w:val="21"/>
                <w:lang w:val="zh-CN"/>
              </w:rPr>
            </w:pPr>
            <w:r>
              <w:rPr>
                <w:rFonts w:hint="eastAsia" w:eastAsia="楷体_GB2312" w:cs="Calibri"/>
                <w:snapToGrid/>
                <w:sz w:val="21"/>
                <w:szCs w:val="21"/>
                <w:lang w:eastAsia="zh-CN"/>
              </w:rPr>
              <w:t>2026年2月</w:t>
            </w:r>
            <w:r>
              <w:rPr>
                <w:rFonts w:eastAsia="楷体_GB2312" w:cs="Calibri"/>
                <w:snapToGrid/>
                <w:sz w:val="21"/>
                <w:szCs w:val="21"/>
                <w:lang w:eastAsia="zh-CN"/>
              </w:rPr>
              <w:t>西雅图市立灯光局（SCL）</w:t>
            </w:r>
            <w:r>
              <w:rPr>
                <w:rFonts w:hint="eastAsia" w:eastAsia="楷体_GB2312" w:cs="Calibri"/>
                <w:snapToGrid/>
                <w:sz w:val="21"/>
                <w:szCs w:val="21"/>
                <w:lang w:eastAsia="zh-CN"/>
              </w:rPr>
              <w:t>在</w:t>
            </w:r>
            <w:r>
              <w:rPr>
                <w:rFonts w:eastAsia="楷体_GB2312" w:cs="Calibri"/>
                <w:snapToGrid/>
                <w:sz w:val="21"/>
                <w:szCs w:val="21"/>
                <w:lang w:eastAsia="zh-CN"/>
              </w:rPr>
              <w:t>向美国联邦能源管理委员会（FERC）提交的一份正式进度报告</w:t>
            </w:r>
            <w:r>
              <w:rPr>
                <w:rFonts w:hint="eastAsia" w:eastAsia="楷体_GB2312" w:cs="Calibri"/>
                <w:snapToGrid/>
                <w:sz w:val="21"/>
                <w:szCs w:val="21"/>
                <w:lang w:eastAsia="zh-CN"/>
              </w:rPr>
              <w:t>中</w:t>
            </w:r>
            <w:r>
              <w:rPr>
                <w:rFonts w:eastAsia="楷体_GB2312" w:cs="Calibri"/>
                <w:snapToGrid/>
                <w:sz w:val="21"/>
                <w:szCs w:val="21"/>
                <w:lang w:eastAsia="zh-CN"/>
              </w:rPr>
              <w:t>宣布已于2025年12月与包括联邦、州政府机构、原住民部落及当地县政府在内的多方达成最终全面和解协议，旨在解决斯卡吉特河水电项目长达数年的重新许可争议。该项目位于华盛顿州，由三座大坝（Ross, Diablo, Gorge）组成，提供了西雅图市约</w:t>
            </w:r>
            <w:r>
              <w:rPr>
                <w:rFonts w:hint="eastAsia" w:eastAsia="楷体_GB2312" w:cs="Calibri"/>
                <w:snapToGrid/>
                <w:sz w:val="21"/>
                <w:szCs w:val="21"/>
                <w:lang w:eastAsia="zh-CN"/>
              </w:rPr>
              <w:t>2</w:t>
            </w:r>
            <w:r>
              <w:rPr>
                <w:rFonts w:eastAsia="楷体_GB2312" w:cs="Calibri"/>
                <w:snapToGrid/>
                <w:sz w:val="21"/>
                <w:szCs w:val="21"/>
                <w:lang w:eastAsia="zh-CN"/>
              </w:rPr>
              <w:t>0%的电力</w:t>
            </w:r>
            <w:r>
              <w:rPr>
                <w:rFonts w:hint="eastAsia" w:eastAsia="楷体_GB2312" w:cs="Calibri"/>
                <w:snapToGrid/>
                <w:sz w:val="21"/>
                <w:szCs w:val="21"/>
                <w:lang w:eastAsia="zh-CN"/>
              </w:rPr>
              <w:t>，</w:t>
            </w:r>
            <w:r>
              <w:rPr>
                <w:rFonts w:eastAsia="楷体_GB2312" w:cs="Calibri"/>
                <w:snapToGrid/>
                <w:sz w:val="21"/>
                <w:szCs w:val="21"/>
                <w:lang w:eastAsia="zh-CN"/>
              </w:rPr>
              <w:t>是西雅图实现碳中和目标的支柱资产。由于该项目位于重要的三文鱼栖息地斯卡吉特河并涉及原住民领地，其营运许可的更新过程极具复杂性。SCL预计于2026年4月获得市议会投票批准，并于5月向FERC提交包含最新环保措施的修订版最终许可申请。根据最新披露的财务规划，为获得未来50年的运营许可，该项目预计在许可期内总投入将高达38亿美元。该预算涵盖了约10亿美元的鱼道系统建设、3.5亿美元的部落补偿、以及引起广泛争议的1.2亿美元农田转栖息地补偿资金</w:t>
            </w:r>
            <w:r>
              <w:rPr>
                <w:rFonts w:hint="eastAsia" w:eastAsia="楷体_GB2312" w:cs="Calibri"/>
                <w:snapToGrid/>
                <w:sz w:val="21"/>
                <w:szCs w:val="21"/>
                <w:lang w:eastAsia="zh-CN"/>
              </w:rPr>
              <w:t>，</w:t>
            </w:r>
            <w:r>
              <w:rPr>
                <w:rFonts w:eastAsia="楷体_GB2312" w:cs="Calibri"/>
                <w:snapToGrid/>
                <w:sz w:val="21"/>
                <w:szCs w:val="21"/>
                <w:lang w:eastAsia="zh-CN"/>
              </w:rPr>
              <w:t>SCL计划通过提高电费来覆盖斯卡吉特河水电项目重新许可带来的巨额成本。</w:t>
            </w:r>
          </w:p>
          <w:p w14:paraId="00B41529">
            <w:pPr>
              <w:jc w:val="both"/>
              <w:rPr>
                <w:rFonts w:eastAsia="楷体_GB2312" w:cs="Calibri"/>
                <w:snapToGrid/>
                <w:sz w:val="21"/>
                <w:szCs w:val="21"/>
                <w:lang w:eastAsia="zh-CN"/>
              </w:rPr>
            </w:pPr>
          </w:p>
          <w:p w14:paraId="121A611E">
            <w:pPr>
              <w:pStyle w:val="94"/>
              <w:rPr>
                <w:rFonts w:eastAsia="楷体_GB2312" w:cs="Calibri"/>
                <w:b/>
                <w:bCs/>
                <w:kern w:val="28"/>
                <w:lang w:eastAsia="zh-CN"/>
              </w:rPr>
            </w:pPr>
            <w:r>
              <w:rPr>
                <w:rFonts w:eastAsia="楷体_GB2312" w:cs="Calibri"/>
                <w:b/>
                <w:bCs/>
                <w:kern w:val="28"/>
              </w:rPr>
              <w:t>点评</w:t>
            </w:r>
          </w:p>
          <w:p w14:paraId="578B2779">
            <w:pPr>
              <w:pStyle w:val="40"/>
              <w:jc w:val="both"/>
              <w:rPr>
                <w:rFonts w:eastAsia="楷体_GB2312" w:cs="Calibri"/>
                <w:snapToGrid/>
                <w:sz w:val="21"/>
                <w:szCs w:val="21"/>
                <w:lang w:val="zh-CN" w:eastAsia="zh-CN"/>
              </w:rPr>
            </w:pPr>
            <w:r>
              <w:rPr>
                <w:rFonts w:eastAsia="楷体_GB2312" w:cs="Calibri"/>
                <w:sz w:val="21"/>
                <w:szCs w:val="21"/>
                <w:lang w:val="zh-CN"/>
              </w:rPr>
              <w:t>斯卡吉特河水电项目的重新许可不仅是一个程序性的行政节点，更是观察北美公用事业资产估值发生结构性重塑的典型样本。</w:t>
            </w:r>
          </w:p>
          <w:p w14:paraId="12F282AA">
            <w:pPr>
              <w:pStyle w:val="40"/>
              <w:jc w:val="both"/>
              <w:rPr>
                <w:rFonts w:eastAsia="楷体_GB2312" w:cs="Calibri"/>
                <w:snapToGrid/>
                <w:sz w:val="21"/>
                <w:szCs w:val="21"/>
                <w:lang w:val="zh-CN" w:eastAsia="zh-CN"/>
              </w:rPr>
            </w:pPr>
          </w:p>
          <w:p w14:paraId="70AE925C">
            <w:pPr>
              <w:pStyle w:val="40"/>
              <w:jc w:val="both"/>
              <w:rPr>
                <w:rFonts w:eastAsia="楷体_GB2312" w:cs="Calibri"/>
                <w:snapToGrid/>
                <w:sz w:val="21"/>
                <w:szCs w:val="21"/>
                <w:lang w:val="zh-CN" w:eastAsia="zh-CN"/>
              </w:rPr>
            </w:pPr>
            <w:r>
              <w:rPr>
                <w:rFonts w:hint="eastAsia" w:eastAsia="楷体_GB2312" w:cs="Calibri"/>
                <w:b/>
                <w:bCs/>
                <w:snapToGrid/>
                <w:sz w:val="21"/>
                <w:szCs w:val="21"/>
                <w:lang w:val="zh-CN" w:eastAsia="zh-CN"/>
              </w:rPr>
              <w:t>我们观察到</w:t>
            </w:r>
            <w:r>
              <w:rPr>
                <w:rFonts w:eastAsia="楷体_GB2312" w:cs="Calibri"/>
                <w:b/>
                <w:bCs/>
                <w:snapToGrid/>
                <w:sz w:val="21"/>
                <w:szCs w:val="21"/>
                <w:lang w:val="zh-CN" w:eastAsia="zh-CN"/>
              </w:rPr>
              <w:t>特许经营权资产的成本正在被重新定义</w:t>
            </w:r>
            <w:r>
              <w:rPr>
                <w:rFonts w:eastAsia="楷体_GB2312" w:cs="Calibri"/>
                <w:snapToGrid/>
                <w:sz w:val="21"/>
                <w:szCs w:val="21"/>
                <w:lang w:val="zh-CN" w:eastAsia="zh-CN"/>
              </w:rPr>
              <w:t>。过去公用事业的资本开支主要集中在发电机组更新与电网韧性提升</w:t>
            </w:r>
            <w:r>
              <w:rPr>
                <w:rFonts w:hint="eastAsia" w:eastAsia="楷体_GB2312" w:cs="Calibri"/>
                <w:snapToGrid/>
                <w:sz w:val="21"/>
                <w:szCs w:val="21"/>
                <w:lang w:val="zh-CN" w:eastAsia="zh-CN"/>
              </w:rPr>
              <w:t>。</w:t>
            </w:r>
            <w:r>
              <w:rPr>
                <w:rFonts w:eastAsia="楷体_GB2312" w:cs="Calibri"/>
                <w:sz w:val="21"/>
                <w:szCs w:val="21"/>
                <w:lang w:val="zh-CN"/>
              </w:rPr>
              <w:t>水电因其卓越的负荷调节能力和零碳属性，在当前AI数据中心电力需求激增的背景下，正从传统的基础设施演变为极具稀缺性的灵活绿色电源</w:t>
            </w:r>
            <w:r>
              <w:rPr>
                <w:rFonts w:eastAsia="楷体_GB2312" w:cs="Calibri"/>
                <w:snapToGrid/>
                <w:sz w:val="21"/>
                <w:szCs w:val="21"/>
                <w:lang w:val="zh-CN" w:eastAsia="zh-CN"/>
              </w:rPr>
              <w:t>。然而，斯卡吉特案例表明，现代水电资产的价值维持正面临极高的合规成本。38亿美元的投入中，近三成资金（约13亿美元）直接用于鱼类保护和部落补偿，这类支出并不直接贡献发电增量，而是为了对冲监管风险和法律不确定性。对于投资者而言，这意味着该</w:t>
            </w:r>
            <w:r>
              <w:rPr>
                <w:rFonts w:hint="eastAsia" w:eastAsia="楷体_GB2312" w:cs="Calibri"/>
                <w:snapToGrid/>
                <w:sz w:val="21"/>
                <w:szCs w:val="21"/>
                <w:lang w:val="zh-CN" w:eastAsia="zh-CN"/>
              </w:rPr>
              <w:t>水电</w:t>
            </w:r>
            <w:r>
              <w:rPr>
                <w:rFonts w:eastAsia="楷体_GB2312" w:cs="Calibri"/>
                <w:snapToGrid/>
                <w:sz w:val="21"/>
                <w:szCs w:val="21"/>
                <w:lang w:val="zh-CN" w:eastAsia="zh-CN"/>
              </w:rPr>
              <w:t>资产的平准化能源成本将面临长期向上的结构性压力，</w:t>
            </w:r>
            <w:r>
              <w:rPr>
                <w:rFonts w:hint="eastAsia" w:eastAsia="楷体_GB2312" w:cs="Calibri"/>
                <w:snapToGrid/>
                <w:sz w:val="21"/>
                <w:szCs w:val="21"/>
                <w:lang w:val="zh-CN" w:eastAsia="zh-CN"/>
              </w:rPr>
              <w:t>传统的收益率模型需根据这一新增的</w:t>
            </w:r>
            <w:r>
              <w:rPr>
                <w:rFonts w:eastAsia="楷体_GB2312" w:cs="Calibri"/>
                <w:snapToGrid/>
                <w:sz w:val="21"/>
                <w:szCs w:val="21"/>
                <w:lang w:val="zh-CN" w:eastAsia="zh-CN"/>
              </w:rPr>
              <w:t xml:space="preserve"> “</w:t>
            </w:r>
            <w:r>
              <w:rPr>
                <w:rFonts w:hint="eastAsia" w:eastAsia="楷体_GB2312" w:cs="Calibri"/>
                <w:snapToGrid/>
                <w:sz w:val="21"/>
                <w:szCs w:val="21"/>
                <w:lang w:val="zh-CN" w:eastAsia="zh-CN"/>
              </w:rPr>
              <w:t>环境负债</w:t>
            </w:r>
            <w:r>
              <w:rPr>
                <w:rFonts w:eastAsia="楷体_GB2312" w:cs="Calibri"/>
                <w:snapToGrid/>
                <w:sz w:val="21"/>
                <w:szCs w:val="21"/>
                <w:lang w:val="zh-CN" w:eastAsia="zh-CN"/>
              </w:rPr>
              <w:t>”</w:t>
            </w:r>
            <w:r>
              <w:rPr>
                <w:rFonts w:hint="eastAsia" w:eastAsia="楷体_GB2312" w:cs="Calibri"/>
                <w:snapToGrid/>
                <w:sz w:val="21"/>
                <w:szCs w:val="21"/>
                <w:lang w:val="zh-CN" w:eastAsia="zh-CN"/>
              </w:rPr>
              <w:t xml:space="preserve"> 进行折现修正</w:t>
            </w:r>
            <w:r>
              <w:rPr>
                <w:rFonts w:eastAsia="楷体_GB2312" w:cs="Calibri"/>
                <w:snapToGrid/>
                <w:sz w:val="21"/>
                <w:szCs w:val="21"/>
                <w:lang w:val="zh-CN" w:eastAsia="zh-CN"/>
              </w:rPr>
              <w:t>。</w:t>
            </w:r>
          </w:p>
          <w:p w14:paraId="7E3CE70C">
            <w:pPr>
              <w:pStyle w:val="40"/>
              <w:jc w:val="both"/>
              <w:rPr>
                <w:rFonts w:eastAsia="楷体_GB2312" w:cs="Calibri"/>
                <w:snapToGrid/>
                <w:sz w:val="21"/>
                <w:szCs w:val="21"/>
                <w:lang w:val="zh-CN" w:eastAsia="zh-CN"/>
              </w:rPr>
            </w:pPr>
          </w:p>
          <w:p w14:paraId="50EC6FF5">
            <w:pPr>
              <w:pStyle w:val="40"/>
              <w:jc w:val="both"/>
              <w:rPr>
                <w:rFonts w:eastAsia="楷体_GB2312" w:cs="Calibri"/>
                <w:snapToGrid/>
                <w:sz w:val="21"/>
                <w:szCs w:val="21"/>
                <w:lang w:val="zh-CN" w:eastAsia="zh-CN"/>
              </w:rPr>
            </w:pPr>
            <w:r>
              <w:rPr>
                <w:rFonts w:hint="eastAsia" w:eastAsia="楷体_GB2312" w:cs="Calibri"/>
                <w:b/>
                <w:bCs/>
                <w:snapToGrid/>
                <w:sz w:val="21"/>
                <w:szCs w:val="21"/>
                <w:lang w:val="en-GB" w:eastAsia="zh-CN"/>
              </w:rPr>
              <w:t>未来公用事业项目的估值核心逻辑将不仅仅取决于</w:t>
            </w:r>
            <w:r>
              <w:rPr>
                <w:rFonts w:eastAsia="楷体_GB2312" w:cs="Calibri"/>
                <w:b/>
                <w:bCs/>
                <w:snapToGrid/>
                <w:sz w:val="21"/>
                <w:szCs w:val="21"/>
                <w:lang w:val="en-GB" w:eastAsia="zh-CN"/>
              </w:rPr>
              <w:t>资本开支的可预测性</w:t>
            </w:r>
            <w:r>
              <w:rPr>
                <w:rFonts w:hint="eastAsia" w:eastAsia="楷体_GB2312" w:cs="Calibri"/>
                <w:b/>
                <w:bCs/>
                <w:snapToGrid/>
                <w:sz w:val="21"/>
                <w:szCs w:val="21"/>
                <w:lang w:val="en-GB" w:eastAsia="zh-CN"/>
              </w:rPr>
              <w:t>，更取决于环境社会监管ESG三方博弈下</w:t>
            </w:r>
            <w:r>
              <w:rPr>
                <w:rFonts w:eastAsia="楷体_GB2312" w:cs="Calibri"/>
                <w:b/>
                <w:bCs/>
                <w:snapToGrid/>
                <w:sz w:val="21"/>
                <w:szCs w:val="21"/>
                <w:lang w:val="en-GB" w:eastAsia="zh-CN"/>
              </w:rPr>
              <w:t>费率定价机制的传导弹性。</w:t>
            </w:r>
            <w:r>
              <w:rPr>
                <w:rFonts w:eastAsia="楷体_GB2312" w:cs="Calibri"/>
                <w:snapToGrid/>
                <w:sz w:val="21"/>
                <w:szCs w:val="21"/>
                <w:lang w:val="en-GB" w:eastAsia="zh-CN"/>
              </w:rPr>
              <w:t>虽然市政公用事业的身份赋予了SCL将38亿美元投入内化为费率收入的能力，但在实际估值</w:t>
            </w:r>
            <w:r>
              <w:rPr>
                <w:rFonts w:hint="eastAsia" w:eastAsia="楷体_GB2312" w:cs="Calibri"/>
                <w:snapToGrid/>
                <w:sz w:val="21"/>
                <w:szCs w:val="21"/>
                <w:lang w:val="en-GB" w:eastAsia="zh-CN"/>
              </w:rPr>
              <w:t>测算</w:t>
            </w:r>
            <w:r>
              <w:rPr>
                <w:rFonts w:eastAsia="楷体_GB2312" w:cs="Calibri"/>
                <w:snapToGrid/>
                <w:sz w:val="21"/>
                <w:szCs w:val="21"/>
                <w:lang w:val="en-GB" w:eastAsia="zh-CN"/>
              </w:rPr>
              <w:t>中，必须审视社会承受力对这一传导机制的制约。目前围绕1.2亿美元农田补偿金的争议，正是社会风险变量在财务预测中的具体映射。任何源于社会维度的摩擦若导致许可进程偏离预期时间表，都将直接导致资金占用成本的无谓损耗，并通过折现率的波动直接侵蚀资产的长期内在价值</w:t>
            </w:r>
            <w:r>
              <w:rPr>
                <w:rFonts w:eastAsia="楷体_GB2312" w:cs="Calibri"/>
                <w:snapToGrid/>
                <w:sz w:val="21"/>
                <w:szCs w:val="21"/>
                <w:lang w:val="zh-CN" w:eastAsia="zh-CN"/>
              </w:rPr>
              <w:t>。</w:t>
            </w:r>
            <w:r>
              <w:rPr>
                <w:rFonts w:eastAsia="楷体_GB2312" w:cs="Calibri"/>
                <w:snapToGrid/>
                <w:sz w:val="21"/>
                <w:szCs w:val="21"/>
                <w:lang w:val="en-GB" w:eastAsia="zh-CN"/>
              </w:rPr>
              <w:t>在全球追求碳中和及AI电力需求激增的背景下，斯卡吉特河项目这种提供城市20%负荷的零碳电源具备极高的战略防御性。38亿美元虽然昂贵，但在获取长期运营确定性的前提下，</w:t>
            </w:r>
            <w:r>
              <w:rPr>
                <w:rFonts w:hint="eastAsia" w:eastAsia="楷体_GB2312" w:cs="Calibri"/>
                <w:snapToGrid/>
                <w:sz w:val="21"/>
                <w:szCs w:val="21"/>
                <w:lang w:val="en-GB" w:eastAsia="zh-CN"/>
              </w:rPr>
              <w:t>这种支出可以被视为一种战略性去风险投入。</w:t>
            </w:r>
            <w:r>
              <w:rPr>
                <w:rFonts w:eastAsia="楷体_GB2312" w:cs="Calibri"/>
                <w:snapToGrid/>
                <w:sz w:val="21"/>
                <w:szCs w:val="21"/>
                <w:lang w:val="en-GB" w:eastAsia="zh-CN"/>
              </w:rPr>
              <w:t>但投资者需高度警惕：当环境保护的外部性成本如此大规模地内部化为企业负债时，</w:t>
            </w:r>
            <w:r>
              <w:rPr>
                <w:rFonts w:hint="eastAsia" w:eastAsia="楷体_GB2312" w:cs="Calibri"/>
                <w:snapToGrid/>
                <w:sz w:val="21"/>
                <w:szCs w:val="21"/>
                <w:lang w:val="en-GB" w:eastAsia="zh-CN"/>
              </w:rPr>
              <w:t>水电资产的属性正在从</w:t>
            </w:r>
            <w:r>
              <w:rPr>
                <w:rFonts w:eastAsia="楷体_GB2312" w:cs="Calibri"/>
                <w:snapToGrid/>
                <w:sz w:val="21"/>
                <w:szCs w:val="21"/>
                <w:lang w:val="en-GB" w:eastAsia="zh-CN"/>
              </w:rPr>
              <w:t xml:space="preserve"> “</w:t>
            </w:r>
            <w:r>
              <w:rPr>
                <w:rFonts w:hint="eastAsia" w:eastAsia="楷体_GB2312" w:cs="Calibri"/>
                <w:snapToGrid/>
                <w:sz w:val="21"/>
                <w:szCs w:val="21"/>
                <w:lang w:val="en-GB" w:eastAsia="zh-CN"/>
              </w:rPr>
              <w:t>高利润能源生产商</w:t>
            </w:r>
            <w:r>
              <w:rPr>
                <w:rFonts w:eastAsia="楷体_GB2312" w:cs="Calibri"/>
                <w:snapToGrid/>
                <w:sz w:val="21"/>
                <w:szCs w:val="21"/>
                <w:lang w:val="en-GB" w:eastAsia="zh-CN"/>
              </w:rPr>
              <w:t>”</w:t>
            </w:r>
            <w:r>
              <w:rPr>
                <w:rFonts w:hint="eastAsia" w:eastAsia="楷体_GB2312" w:cs="Calibri"/>
                <w:snapToGrid/>
                <w:sz w:val="21"/>
                <w:szCs w:val="21"/>
                <w:lang w:val="en-GB" w:eastAsia="zh-CN"/>
              </w:rPr>
              <w:t xml:space="preserve"> 向</w:t>
            </w:r>
            <w:r>
              <w:rPr>
                <w:rFonts w:eastAsia="楷体_GB2312" w:cs="Calibri"/>
                <w:snapToGrid/>
                <w:sz w:val="21"/>
                <w:szCs w:val="21"/>
                <w:lang w:val="en-GB" w:eastAsia="zh-CN"/>
              </w:rPr>
              <w:t xml:space="preserve"> “</w:t>
            </w:r>
            <w:r>
              <w:rPr>
                <w:rFonts w:hint="eastAsia" w:eastAsia="楷体_GB2312" w:cs="Calibri"/>
                <w:snapToGrid/>
                <w:sz w:val="21"/>
                <w:szCs w:val="21"/>
                <w:lang w:val="en-GB" w:eastAsia="zh-CN"/>
              </w:rPr>
              <w:t>环境合规综合运营商</w:t>
            </w:r>
            <w:r>
              <w:rPr>
                <w:rFonts w:eastAsia="楷体_GB2312" w:cs="Calibri"/>
                <w:snapToGrid/>
                <w:sz w:val="21"/>
                <w:szCs w:val="21"/>
                <w:lang w:val="en-GB" w:eastAsia="zh-CN"/>
              </w:rPr>
              <w:t>”</w:t>
            </w:r>
            <w:r>
              <w:rPr>
                <w:rFonts w:hint="eastAsia" w:eastAsia="楷体_GB2312" w:cs="Calibri"/>
                <w:snapToGrid/>
                <w:sz w:val="21"/>
                <w:szCs w:val="21"/>
                <w:lang w:val="en-GB" w:eastAsia="zh-CN"/>
              </w:rPr>
              <w:t xml:space="preserve"> 转型</w:t>
            </w:r>
            <w:r>
              <w:rPr>
                <w:rFonts w:eastAsia="楷体_GB2312" w:cs="Calibri"/>
                <w:snapToGrid/>
                <w:sz w:val="21"/>
                <w:szCs w:val="21"/>
                <w:lang w:val="en-GB" w:eastAsia="zh-CN"/>
              </w:rPr>
              <w:t>。建议投资者重新审视北美及全球大型水电资产的再许可风险。</w:t>
            </w:r>
            <w:r>
              <w:rPr>
                <w:rFonts w:hint="eastAsia" w:eastAsia="楷体_GB2312" w:cs="Calibri"/>
                <w:snapToGrid/>
                <w:sz w:val="21"/>
                <w:szCs w:val="21"/>
                <w:lang w:val="en-GB" w:eastAsia="zh-CN"/>
              </w:rPr>
              <w:t>未来</w:t>
            </w:r>
            <w:r>
              <w:rPr>
                <w:rFonts w:eastAsia="楷体_GB2312" w:cs="Calibri"/>
                <w:snapToGrid/>
                <w:sz w:val="21"/>
                <w:szCs w:val="21"/>
                <w:lang w:val="en-GB" w:eastAsia="zh-CN"/>
              </w:rPr>
              <w:t xml:space="preserve"> “</w:t>
            </w:r>
            <w:r>
              <w:rPr>
                <w:rFonts w:hint="eastAsia" w:eastAsia="楷体_GB2312" w:cs="Calibri"/>
                <w:snapToGrid/>
                <w:sz w:val="21"/>
                <w:szCs w:val="21"/>
                <w:lang w:val="en-GB" w:eastAsia="zh-CN"/>
              </w:rPr>
              <w:t>续牌</w:t>
            </w:r>
            <w:r>
              <w:rPr>
                <w:rFonts w:eastAsia="楷体_GB2312" w:cs="Calibri"/>
                <w:snapToGrid/>
                <w:sz w:val="21"/>
                <w:szCs w:val="21"/>
                <w:lang w:val="en-GB" w:eastAsia="zh-CN"/>
              </w:rPr>
              <w:t>”</w:t>
            </w:r>
            <w:r>
              <w:rPr>
                <w:rFonts w:hint="eastAsia" w:eastAsia="楷体_GB2312" w:cs="Calibri"/>
                <w:snapToGrid/>
                <w:sz w:val="21"/>
                <w:szCs w:val="21"/>
                <w:lang w:val="en-GB" w:eastAsia="zh-CN"/>
              </w:rPr>
              <w:t xml:space="preserve"> 成本将成为衡量此类资产质量的关键指标</w:t>
            </w:r>
            <w:r>
              <w:rPr>
                <w:rFonts w:eastAsia="楷体_GB2312" w:cs="Calibri"/>
                <w:snapToGrid/>
                <w:sz w:val="21"/>
                <w:szCs w:val="21"/>
                <w:lang w:val="en-GB" w:eastAsia="zh-CN"/>
              </w:rPr>
              <w:t>，38亿美元的斯卡吉特标准可能成为行业内其他类似项目的定价锚点。</w:t>
            </w:r>
          </w:p>
          <w:p w14:paraId="198FF501">
            <w:pPr>
              <w:pStyle w:val="40"/>
              <w:ind w:left="1920"/>
              <w:jc w:val="both"/>
              <w:rPr>
                <w:rFonts w:eastAsia="楷体_GB2312" w:cs="Calibri"/>
                <w:snapToGrid/>
                <w:sz w:val="21"/>
                <w:szCs w:val="21"/>
                <w:lang w:val="en-GB" w:eastAsia="zh-CN"/>
              </w:rPr>
            </w:pPr>
          </w:p>
          <w:p w14:paraId="42B6E986">
            <w:pPr>
              <w:pStyle w:val="94"/>
              <w:rPr>
                <w:rFonts w:eastAsia="楷体_GB2312" w:cs="Calibri"/>
                <w:b/>
                <w:bCs/>
                <w:kern w:val="28"/>
                <w:lang w:eastAsia="zh-CN"/>
              </w:rPr>
            </w:pPr>
            <w:r>
              <w:rPr>
                <w:rFonts w:eastAsia="楷体_GB2312" w:cs="Calibri"/>
                <w:b/>
                <w:bCs/>
                <w:kern w:val="28"/>
                <w:lang w:eastAsia="zh-CN"/>
              </w:rPr>
              <w:t>投资建议</w:t>
            </w:r>
          </w:p>
          <w:p w14:paraId="385077C9">
            <w:pPr>
              <w:pStyle w:val="24"/>
              <w:widowControl w:val="0"/>
              <w:adjustRightInd w:val="0"/>
              <w:snapToGrid w:val="0"/>
              <w:spacing w:before="120" w:beforeAutospacing="0" w:after="0" w:afterAutospacing="0"/>
              <w:ind w:firstLine="420" w:firstLineChars="200"/>
              <w:jc w:val="both"/>
              <w:rPr>
                <w:rFonts w:ascii="Calibri" w:hAnsi="Calibri" w:eastAsia="楷体_GB2312" w:cs="Calibri"/>
                <w:sz w:val="21"/>
                <w:szCs w:val="21"/>
              </w:rPr>
            </w:pPr>
            <w:r>
              <w:rPr>
                <w:rFonts w:hint="eastAsia" w:ascii="Calibri" w:hAnsi="Calibri" w:eastAsia="楷体_GB2312" w:cs="Calibri"/>
                <w:sz w:val="21"/>
                <w:szCs w:val="21"/>
                <w:lang w:val="en-GB"/>
              </w:rPr>
              <w:t>我们建议关注聚焦</w:t>
            </w:r>
            <w:r>
              <w:rPr>
                <w:rFonts w:ascii="Calibri" w:hAnsi="Calibri" w:eastAsia="楷体_GB2312" w:cs="Calibri"/>
                <w:sz w:val="21"/>
                <w:szCs w:val="21"/>
                <w:lang w:val="en-GB"/>
              </w:rPr>
              <w:t>美国具备大规模水利发电设备研发与数字化电网解决方案能力的龙头企业</w:t>
            </w:r>
            <w:r>
              <w:rPr>
                <w:rFonts w:hint="eastAsia" w:ascii="Calibri" w:hAnsi="Calibri" w:eastAsia="楷体_GB2312" w:cs="Calibri"/>
                <w:sz w:val="21"/>
                <w:szCs w:val="21"/>
                <w:lang w:val="en-GB"/>
              </w:rPr>
              <w:t>GE Vernova；</w:t>
            </w:r>
            <w:r>
              <w:rPr>
                <w:rFonts w:ascii="Calibri" w:hAnsi="Calibri" w:eastAsia="楷体_GB2312" w:cs="Calibri"/>
                <w:sz w:val="21"/>
                <w:szCs w:val="21"/>
                <w:lang w:val="en-GB"/>
              </w:rPr>
              <w:t>领先的电力基础设施承包商</w:t>
            </w:r>
            <w:r>
              <w:rPr>
                <w:rFonts w:hint="eastAsia" w:ascii="Calibri" w:hAnsi="Calibri" w:eastAsia="楷体_GB2312" w:cs="Times New Roman"/>
                <w:sz w:val="21"/>
                <w:szCs w:val="21"/>
              </w:rPr>
              <w:t>广达服务</w:t>
            </w:r>
            <w:r>
              <w:rPr>
                <w:rFonts w:hint="eastAsia" w:ascii="Calibri" w:hAnsi="Calibri" w:eastAsia="楷体_GB2312" w:cs="Calibri"/>
                <w:sz w:val="21"/>
                <w:szCs w:val="21"/>
                <w:lang w:val="en-GB"/>
              </w:rPr>
              <w:t>和MasTec。</w:t>
            </w:r>
          </w:p>
          <w:p w14:paraId="1E492D41">
            <w:pPr>
              <w:pStyle w:val="24"/>
              <w:widowControl w:val="0"/>
              <w:tabs>
                <w:tab w:val="left" w:pos="7716"/>
              </w:tabs>
              <w:adjustRightInd w:val="0"/>
              <w:snapToGrid w:val="0"/>
              <w:spacing w:before="120" w:beforeAutospacing="0" w:after="0" w:afterAutospacing="0"/>
              <w:ind w:firstLine="420" w:firstLineChars="200"/>
              <w:jc w:val="both"/>
              <w:rPr>
                <w:rFonts w:eastAsia="楷体_GB2312" w:cs="Calibri"/>
                <w:sz w:val="21"/>
                <w:szCs w:val="21"/>
                <w:lang w:val="en-GB"/>
              </w:rPr>
            </w:pPr>
            <w:r>
              <w:rPr>
                <w:rFonts w:eastAsia="楷体_GB2312" w:cs="Calibri"/>
                <w:sz w:val="21"/>
                <w:szCs w:val="21"/>
              </w:rPr>
              <w:t xml:space="preserve"> </w:t>
            </w:r>
            <w:r>
              <w:rPr>
                <w:rFonts w:eastAsia="楷体_GB2312" w:cs="Calibri"/>
                <w:sz w:val="21"/>
                <w:szCs w:val="21"/>
              </w:rPr>
              <w:tab/>
            </w:r>
          </w:p>
          <w:p w14:paraId="7859E19D">
            <w:pPr>
              <w:pStyle w:val="94"/>
              <w:rPr>
                <w:rFonts w:eastAsia="楷体_GB2312" w:cs="Calibri"/>
                <w:b/>
                <w:bCs/>
                <w:kern w:val="28"/>
              </w:rPr>
            </w:pPr>
            <w:r>
              <w:rPr>
                <w:rFonts w:eastAsia="楷体_GB2312" w:cs="Calibri"/>
                <w:b/>
                <w:bCs/>
                <w:kern w:val="28"/>
              </w:rPr>
              <w:t>风险</w:t>
            </w:r>
          </w:p>
          <w:p w14:paraId="1EEFD2DB">
            <w:pPr>
              <w:pStyle w:val="40"/>
              <w:jc w:val="both"/>
              <w:rPr>
                <w:rFonts w:eastAsia="楷体_GB2312" w:cs="Calibri"/>
                <w:snapToGrid/>
                <w:sz w:val="21"/>
                <w:szCs w:val="21"/>
                <w:lang w:val="en-GB" w:eastAsia="zh-CN"/>
              </w:rPr>
            </w:pPr>
            <w:r>
              <w:rPr>
                <w:rFonts w:hint="eastAsia" w:eastAsia="楷体_GB2312" w:cs="Calibri"/>
                <w:snapToGrid/>
                <w:sz w:val="21"/>
                <w:szCs w:val="21"/>
                <w:lang w:val="en-GB" w:eastAsia="zh-CN"/>
              </w:rPr>
              <w:t xml:space="preserve">   </w:t>
            </w:r>
            <w:r>
              <w:rPr>
                <w:rFonts w:eastAsia="楷体_GB2312" w:cs="Calibri"/>
                <w:snapToGrid/>
                <w:sz w:val="21"/>
                <w:szCs w:val="21"/>
                <w:lang w:val="en-GB" w:eastAsia="zh-CN"/>
              </w:rPr>
              <w:t>费率上调受阻风险</w:t>
            </w:r>
            <w:r>
              <w:rPr>
                <w:rFonts w:hint="eastAsia" w:eastAsia="楷体_GB2312" w:cs="Calibri"/>
                <w:snapToGrid/>
                <w:sz w:val="21"/>
                <w:szCs w:val="21"/>
                <w:lang w:val="en-GB" w:eastAsia="zh-CN"/>
              </w:rPr>
              <w:t>，</w:t>
            </w:r>
            <w:r>
              <w:rPr>
                <w:rFonts w:eastAsia="楷体_GB2312" w:cs="Calibri"/>
                <w:snapToGrid/>
                <w:sz w:val="21"/>
                <w:szCs w:val="21"/>
                <w:lang w:val="en-GB" w:eastAsia="zh-CN"/>
              </w:rPr>
              <w:t>通胀与成本超支风险，法律执行风险。</w:t>
            </w:r>
          </w:p>
          <w:p w14:paraId="3B39E24D">
            <w:pPr>
              <w:pStyle w:val="40"/>
              <w:jc w:val="both"/>
              <w:rPr>
                <w:rFonts w:eastAsia="楷体_GB2312" w:cs="Calibri"/>
                <w:snapToGrid/>
                <w:sz w:val="21"/>
                <w:szCs w:val="21"/>
                <w:lang w:val="en-GB" w:eastAsia="zh-CN"/>
              </w:rPr>
            </w:pPr>
          </w:p>
          <w:p w14:paraId="6D56B71A">
            <w:pPr>
              <w:pStyle w:val="40"/>
              <w:jc w:val="both"/>
              <w:rPr>
                <w:rFonts w:eastAsia="楷体_GB2312" w:cs="Calibri"/>
                <w:snapToGrid/>
                <w:sz w:val="21"/>
                <w:szCs w:val="21"/>
                <w:lang w:val="en-GB" w:eastAsia="zh-CN"/>
              </w:rPr>
            </w:pPr>
          </w:p>
          <w:p w14:paraId="5621D889">
            <w:pPr>
              <w:pStyle w:val="40"/>
              <w:jc w:val="both"/>
              <w:rPr>
                <w:rFonts w:eastAsia="楷体_GB2312" w:cs="Calibri"/>
                <w:snapToGrid/>
                <w:sz w:val="21"/>
                <w:szCs w:val="21"/>
                <w:lang w:val="en-GB" w:eastAsia="zh-CN"/>
              </w:rPr>
            </w:pPr>
          </w:p>
          <w:p w14:paraId="312D9667">
            <w:pPr>
              <w:pStyle w:val="40"/>
              <w:jc w:val="both"/>
              <w:rPr>
                <w:rFonts w:eastAsia="楷体_GB2312" w:cs="Calibri"/>
                <w:snapToGrid/>
                <w:sz w:val="21"/>
                <w:szCs w:val="21"/>
                <w:lang w:val="en-GB" w:eastAsia="zh-CN"/>
              </w:rPr>
            </w:pPr>
          </w:p>
          <w:p w14:paraId="55434614">
            <w:pPr>
              <w:pStyle w:val="40"/>
              <w:jc w:val="both"/>
              <w:rPr>
                <w:rFonts w:eastAsia="楷体_GB2312" w:cs="Calibri"/>
                <w:snapToGrid/>
                <w:sz w:val="21"/>
                <w:szCs w:val="21"/>
                <w:lang w:val="en-GB" w:eastAsia="zh-CN"/>
              </w:rPr>
            </w:pPr>
          </w:p>
          <w:p w14:paraId="23688760">
            <w:pPr>
              <w:pStyle w:val="94"/>
              <w:rPr>
                <w:rFonts w:eastAsia="楷体_GB2312" w:cs="Calibri"/>
                <w:b/>
                <w:bCs/>
                <w:kern w:val="28"/>
                <w:lang w:eastAsia="zh-CN"/>
              </w:rPr>
            </w:pPr>
            <w:r>
              <w:rPr>
                <w:rFonts w:hint="eastAsia" w:eastAsia="楷体_GB2312" w:cs="Calibri"/>
                <w:b/>
                <w:bCs/>
                <w:kern w:val="28"/>
                <w:lang w:eastAsia="zh-CN"/>
              </w:rPr>
              <w:t>Summary</w:t>
            </w:r>
          </w:p>
          <w:p w14:paraId="41A7EAA9">
            <w:pPr>
              <w:pStyle w:val="40"/>
              <w:jc w:val="both"/>
              <w:rPr>
                <w:rFonts w:eastAsia="楷体_GB2312" w:cs="Calibri"/>
                <w:snapToGrid/>
                <w:sz w:val="21"/>
                <w:szCs w:val="21"/>
                <w:lang w:val="zh-CN" w:eastAsia="zh-CN"/>
              </w:rPr>
            </w:pPr>
            <w:r>
              <w:rPr>
                <w:rFonts w:eastAsia="楷体_GB2312" w:cs="Calibri"/>
                <w:snapToGrid/>
                <w:sz w:val="21"/>
                <w:szCs w:val="21"/>
                <w:lang w:val="zh-CN" w:eastAsia="zh-CN"/>
              </w:rPr>
              <w:t>Seattle City Light (SCL) secured a $3.8 billion settlement to relicense the Skagit River Hydroelectric Project, critical for 20% of the city’s power and carbon goals. This cost, covering fish protection, tribal compensation, and habitat restoration, will be passed to consumers via rate hikes. The deal marks a structural shift in utility valuation: hydropower is transitioning from a low-cost energy source to a high-compliance asset. With nearly one-third of spending dedicated to regulatory and social obligations rather than generation capacity, levelized energy costs face upward pressure. While securing long-term operational certainty amidst surging AI demand, the "Skagit standard" signals that future hydropower investments must account for massive environmental liabilities. Investors should now view such assets as "environmental compliance operators," where relicensing costs, not just generation potential, define intrinsic value and risk profiles globally.</w:t>
            </w:r>
          </w:p>
          <w:p w14:paraId="3AD4609D">
            <w:pPr>
              <w:pStyle w:val="40"/>
              <w:jc w:val="both"/>
              <w:rPr>
                <w:rFonts w:hint="eastAsia" w:eastAsia="楷体_GB2312" w:cs="Calibri"/>
                <w:snapToGrid/>
                <w:sz w:val="21"/>
                <w:szCs w:val="21"/>
                <w:lang w:val="zh-CN" w:eastAsia="zh-CN"/>
              </w:rPr>
            </w:pPr>
          </w:p>
          <w:p w14:paraId="24859641">
            <w:pPr>
              <w:pStyle w:val="40"/>
              <w:jc w:val="both"/>
              <w:rPr>
                <w:rFonts w:eastAsia="楷体_GB2312" w:cs="Calibri"/>
                <w:snapToGrid/>
                <w:sz w:val="21"/>
                <w:szCs w:val="21"/>
                <w:lang w:eastAsia="zh-CN"/>
              </w:rPr>
            </w:pPr>
          </w:p>
        </w:tc>
      </w:tr>
      <w:bookmarkEnd w:id="0"/>
      <w:bookmarkEnd w:id="1"/>
    </w:tbl>
    <w:p w14:paraId="370E02A0">
      <w:pPr>
        <w:pStyle w:val="12"/>
        <w:spacing w:line="260" w:lineRule="exact"/>
        <w:ind w:left="0" w:leftChars="0" w:right="42" w:firstLine="0"/>
        <w:jc w:val="both"/>
        <w:rPr>
          <w:rFonts w:ascii="Calibri" w:hAnsi="Calibri" w:eastAsia="楷体_GB2312" w:cs="Calibri"/>
          <w:b/>
          <w:sz w:val="20"/>
          <w:szCs w:val="20"/>
        </w:rPr>
      </w:pPr>
      <w:r>
        <w:rPr>
          <w:rFonts w:ascii="Calibri" w:hAnsi="Calibri" w:eastAsia="楷体_GB2312" w:cs="Calibri"/>
          <w:b/>
          <w:sz w:val="20"/>
          <w:szCs w:val="20"/>
        </w:rPr>
        <w:t>APPENDIX 1</w:t>
      </w:r>
    </w:p>
    <w:p w14:paraId="2F87856C">
      <w:pPr>
        <w:pStyle w:val="12"/>
        <w:spacing w:before="120" w:beforeLines="50" w:after="120" w:afterLines="50" w:line="260" w:lineRule="exact"/>
        <w:ind w:left="0" w:leftChars="0" w:right="42" w:firstLine="0"/>
        <w:jc w:val="both"/>
        <w:rPr>
          <w:rFonts w:ascii="Calibri" w:hAnsi="Calibri" w:eastAsia="楷体_GB2312" w:cs="Calibri"/>
          <w:b/>
          <w:sz w:val="20"/>
          <w:szCs w:val="20"/>
        </w:rPr>
      </w:pPr>
      <w:r>
        <w:rPr>
          <w:rFonts w:ascii="Calibri" w:hAnsi="Calibri" w:eastAsia="楷体_GB2312" w:cs="Calibri"/>
          <w:b/>
          <w:sz w:val="20"/>
          <w:szCs w:val="20"/>
        </w:rPr>
        <w:t>Summary</w:t>
      </w:r>
    </w:p>
    <w:p w14:paraId="775AD543">
      <w:pPr>
        <w:spacing w:before="100" w:after="100"/>
        <w:jc w:val="both"/>
        <w:rPr>
          <w:rFonts w:eastAsia="楷体_GB2312" w:cs="Calibri"/>
          <w:bCs/>
          <w:sz w:val="20"/>
          <w:szCs w:val="20"/>
          <w:lang w:val="zh-CN"/>
        </w:rPr>
      </w:pPr>
      <w:r>
        <w:rPr>
          <w:rFonts w:eastAsia="楷体_GB2312" w:cs="Calibri"/>
          <w:bCs/>
          <w:sz w:val="20"/>
          <w:szCs w:val="20"/>
          <w:lang w:val="zh-CN"/>
        </w:rPr>
        <w:t xml:space="preserve">Following the joint US-Israel airstrikes on Iran on February 28, 2026, the global LNG supply chain faces a critical crisis </w:t>
      </w:r>
      <w:bookmarkStart w:id="2" w:name="_GoBack"/>
      <w:r>
        <w:rPr>
          <w:rFonts w:eastAsia="楷体_GB2312" w:cs="Calibri"/>
          <w:bCs/>
          <w:sz w:val="20"/>
          <w:szCs w:val="20"/>
          <w:lang w:val="zh-CN"/>
        </w:rPr>
        <w:t>centered on the Strait of Hormuz. As a vital artery handling 23% of global LNG trade, any disruption—ranging from increased insurance premiums to a total blockade—threatens to trigger extreme price volatility.</w:t>
      </w:r>
    </w:p>
    <w:p w14:paraId="72B46492">
      <w:pPr>
        <w:spacing w:before="100" w:after="100"/>
        <w:jc w:val="both"/>
        <w:rPr>
          <w:rFonts w:eastAsia="楷体_GB2312" w:cs="Calibri"/>
          <w:bCs/>
          <w:sz w:val="20"/>
          <w:szCs w:val="20"/>
          <w:lang w:val="zh-CN"/>
        </w:rPr>
      </w:pPr>
      <w:r>
        <w:rPr>
          <w:rFonts w:eastAsia="楷体_GB2312" w:cs="Calibri"/>
          <w:bCs/>
          <w:sz w:val="20"/>
          <w:szCs w:val="20"/>
          <w:lang w:val="zh-CN"/>
        </w:rPr>
        <w:t xml:space="preserve">Short-term projections suggest European </w:t>
      </w:r>
      <w:r>
        <w:rPr>
          <w:rFonts w:eastAsia="楷体_GB2312" w:cs="Calibri"/>
          <w:sz w:val="20"/>
          <w:szCs w:val="20"/>
          <w:lang w:val="zh-CN"/>
        </w:rPr>
        <w:t>TTF prices</w:t>
      </w:r>
      <w:r>
        <w:rPr>
          <w:rFonts w:eastAsia="楷体_GB2312" w:cs="Calibri"/>
          <w:bCs/>
          <w:sz w:val="20"/>
          <w:szCs w:val="20"/>
          <w:lang w:val="zh-CN"/>
        </w:rPr>
        <w:t xml:space="preserve"> could surge to €86-€92/MWh in a total blockage scenario, significantly outpacing oil market impacts due to the lack of alternative subsea routes. Long-term, the conflict accelerates a "De-Middle East" supply chain shift, prioritizing energy security through diversified imports from the US and Africa, alongside the strategic revaluation of overland pipelines like the Power of Siberia. </w:t>
      </w:r>
      <w:r>
        <w:rPr>
          <w:rFonts w:hint="eastAsia" w:eastAsia="楷体_GB2312" w:cs="Calibri"/>
          <w:bCs/>
          <w:sz w:val="20"/>
          <w:szCs w:val="20"/>
          <w:lang w:val="zh-CN" w:eastAsia="zh-CN"/>
        </w:rPr>
        <w:t>We</w:t>
      </w:r>
      <w:r>
        <w:rPr>
          <w:rFonts w:eastAsia="楷体_GB2312" w:cs="Calibri"/>
          <w:bCs/>
          <w:sz w:val="20"/>
          <w:szCs w:val="20"/>
          <w:lang w:val="zh-CN"/>
        </w:rPr>
        <w:t xml:space="preserve"> recommend focusing on US midstream infrastructure leaders like Targa Resources and Kinder Morgan as the global market pivots toward non-Middle Eastern supply stability.</w:t>
      </w:r>
    </w:p>
    <w:bookmarkEnd w:id="2"/>
    <w:p w14:paraId="7C42B54B">
      <w:pPr>
        <w:spacing w:before="240" w:beforeLines="100" w:after="240" w:afterLines="100"/>
        <w:rPr>
          <w:rFonts w:eastAsia="宋体"/>
          <w:lang w:eastAsia="zh-CN"/>
        </w:rPr>
      </w:pPr>
    </w:p>
    <w:p w14:paraId="2631F0D0">
      <w:pPr>
        <w:spacing w:before="240" w:beforeLines="100" w:after="240" w:afterLines="100"/>
        <w:rPr>
          <w:rFonts w:eastAsia="宋体"/>
          <w:lang w:eastAsia="zh-CN"/>
        </w:rPr>
        <w:sectPr>
          <w:headerReference r:id="rId5" w:type="first"/>
          <w:footerReference r:id="rId8" w:type="first"/>
          <w:headerReference r:id="rId3" w:type="default"/>
          <w:footerReference r:id="rId6" w:type="default"/>
          <w:headerReference r:id="rId4" w:type="even"/>
          <w:footerReference r:id="rId7" w:type="even"/>
          <w:pgSz w:w="11909" w:h="16834"/>
          <w:pgMar w:top="1134" w:right="851" w:bottom="1321" w:left="851" w:header="284" w:footer="1157" w:gutter="0"/>
          <w:cols w:space="720" w:num="1"/>
          <w:docGrid w:linePitch="360" w:charSpace="0"/>
        </w:sectPr>
      </w:pPr>
    </w:p>
    <w:p w14:paraId="683202E0">
      <w:pPr>
        <w:spacing w:before="100" w:after="100"/>
        <w:jc w:val="both"/>
        <w:rPr>
          <w:rFonts w:eastAsia="楷体_GB2312" w:cs="Calibri"/>
          <w:bCs/>
          <w:sz w:val="20"/>
          <w:szCs w:val="20"/>
          <w:lang w:val="zh-CN"/>
        </w:rPr>
      </w:pPr>
    </w:p>
    <w:p w14:paraId="66E08E27">
      <w:pPr>
        <w:spacing w:before="100" w:after="100"/>
        <w:jc w:val="both"/>
        <w:rPr>
          <w:rFonts w:eastAsia="楷体_GB2312" w:cs="Calibri"/>
          <w:bCs/>
          <w:sz w:val="20"/>
          <w:szCs w:val="20"/>
          <w:lang w:val="zh-CN"/>
        </w:rPr>
      </w:pPr>
    </w:p>
    <w:p w14:paraId="4FBA653A">
      <w:pPr>
        <w:pStyle w:val="12"/>
        <w:spacing w:before="240" w:beforeLines="100" w:after="240" w:afterLines="100" w:line="260" w:lineRule="exact"/>
        <w:ind w:left="0" w:leftChars="0" w:right="42" w:firstLine="0"/>
        <w:jc w:val="both"/>
        <w:rPr>
          <w:rFonts w:ascii="Calibri" w:hAnsi="Calibri" w:eastAsia="楷体_GB2312" w:cs="Calibri"/>
          <w:sz w:val="20"/>
          <w:szCs w:val="20"/>
        </w:rPr>
        <w:sectPr>
          <w:headerReference r:id="rId9" w:type="default"/>
          <w:footerReference r:id="rId10" w:type="default"/>
          <w:pgSz w:w="11909" w:h="16834"/>
          <w:pgMar w:top="1716" w:right="851" w:bottom="1021" w:left="680" w:header="720" w:footer="1580" w:gutter="0"/>
          <w:cols w:space="720" w:num="1"/>
          <w:docGrid w:linePitch="360" w:charSpace="0"/>
        </w:sectPr>
      </w:pPr>
    </w:p>
    <w:tbl>
      <w:tblPr>
        <w:tblStyle w:val="27"/>
        <w:tblW w:w="11227" w:type="dxa"/>
        <w:tblCaption w:val="[Table_APPENDIX]"/>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28" w:type="dxa"/>
          <w:bottom w:w="0" w:type="dxa"/>
          <w:right w:w="28" w:type="dxa"/>
        </w:tblCellMar>
      </w:tblPr>
      <w:tblGrid>
        <w:gridCol w:w="11252"/>
      </w:tblGrid>
      <w:tr w14:paraId="3903E1CE">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23" w:hRule="exact"/>
        </w:trPr>
        <w:tc>
          <w:tcPr>
            <w:tcW w:w="11227" w:type="dxa"/>
          </w:tcPr>
          <w:p w14:paraId="3CCA53F6">
            <w:pPr>
              <w:rPr>
                <w:rFonts w:eastAsia="楷体_GB2312" w:cs="Calibri"/>
              </w:rPr>
            </w:pPr>
            <w:r>
              <w:rPr>
                <w:rFonts w:eastAsia="楷体_GB2312" w:cs="Calibri"/>
                <w:color w:val="FFFFFF" w:themeColor="background1"/>
                <w14:textFill>
                  <w14:solidFill>
                    <w14:schemeClr w14:val="bg1"/>
                  </w14:solidFill>
                </w14:textFill>
              </w:rPr>
              <w:t>[Table_APPENDIX]</w:t>
            </w:r>
          </w:p>
        </w:tc>
      </w:tr>
      <w:tr w14:paraId="6C519615">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227" w:type="dxa"/>
          </w:tcPr>
          <w:tbl>
            <w:tblPr>
              <w:tblStyle w:val="27"/>
              <w:tblW w:w="11196" w:type="dxa"/>
              <w:tblCaption w:val="[Table_disclaimer]"/>
              <w:tblDescription w:val="表格隐藏唯一标识（请勿删除和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28" w:type="dxa"/>
                <w:bottom w:w="0" w:type="dxa"/>
                <w:right w:w="28" w:type="dxa"/>
              </w:tblCellMar>
            </w:tblPr>
            <w:tblGrid>
              <w:gridCol w:w="11196"/>
            </w:tblGrid>
            <w:tr w14:paraId="74AA003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23" w:hRule="exact"/>
              </w:trPr>
              <w:tc>
                <w:tcPr>
                  <w:tcW w:w="11196" w:type="dxa"/>
                  <w:tcBorders>
                    <w:top w:val="nil"/>
                    <w:bottom w:val="single" w:color="C0C0C0" w:sz="4" w:space="0"/>
                  </w:tcBorders>
                </w:tcPr>
                <w:p w14:paraId="64FA62B7">
                  <w:pPr>
                    <w:pStyle w:val="44"/>
                    <w:spacing w:after="60"/>
                    <w:rPr>
                      <w:rFonts w:eastAsia="楷体_GB2312" w:cs="Calibri"/>
                      <w:b/>
                      <w:bCs/>
                      <w:w w:val="70"/>
                      <w:sz w:val="22"/>
                      <w:szCs w:val="22"/>
                    </w:rPr>
                  </w:pPr>
                  <w:r>
                    <w:rPr>
                      <w:rFonts w:eastAsia="楷体_GB2312" w:cs="Calibri"/>
                      <w:b/>
                      <w:bCs/>
                      <w:color w:val="FFFFFF" w:themeColor="background1"/>
                      <w:w w:val="70"/>
                      <w:sz w:val="22"/>
                      <w:szCs w:val="22"/>
                      <w14:textFill>
                        <w14:solidFill>
                          <w14:schemeClr w14:val="bg1"/>
                        </w14:solidFill>
                      </w14:textFill>
                    </w:rPr>
                    <w:t>[Table_disclaimer]</w:t>
                  </w:r>
                </w:p>
              </w:tc>
            </w:tr>
            <w:tr w14:paraId="49CE520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24" w:space="0"/>
                  </w:tcBorders>
                </w:tcPr>
                <w:p w14:paraId="38D8045E">
                  <w:pPr>
                    <w:pStyle w:val="44"/>
                    <w:spacing w:after="60"/>
                    <w:rPr>
                      <w:rFonts w:eastAsia="楷体_GB2312" w:cs="Calibri"/>
                      <w:b/>
                      <w:bCs/>
                      <w:w w:val="70"/>
                      <w:sz w:val="22"/>
                      <w:szCs w:val="22"/>
                      <w:lang w:eastAsia="zh-CN"/>
                    </w:rPr>
                  </w:pPr>
                  <w:r>
                    <w:rPr>
                      <w:rFonts w:eastAsia="楷体_GB2312" w:cs="Calibri"/>
                      <w:b/>
                      <w:bCs/>
                      <w:w w:val="70"/>
                      <w:sz w:val="22"/>
                      <w:szCs w:val="22"/>
                    </w:rPr>
                    <w:t>附录APPENDIX</w:t>
                  </w:r>
                </w:p>
                <w:p w14:paraId="522C6CAE">
                  <w:pPr>
                    <w:pStyle w:val="44"/>
                    <w:rPr>
                      <w:rFonts w:eastAsia="楷体_GB2312" w:cs="Calibri"/>
                      <w:b/>
                      <w:w w:val="70"/>
                      <w:sz w:val="20"/>
                      <w:szCs w:val="20"/>
                    </w:rPr>
                  </w:pPr>
                  <w:r>
                    <w:rPr>
                      <w:rFonts w:eastAsia="楷体_GB2312" w:cs="Calibri"/>
                      <w:b/>
                      <w:w w:val="70"/>
                      <w:sz w:val="20"/>
                      <w:szCs w:val="20"/>
                    </w:rPr>
                    <w:t>重要信息披露</w:t>
                  </w:r>
                </w:p>
                <w:p w14:paraId="0D522395">
                  <w:pPr>
                    <w:pStyle w:val="44"/>
                    <w:rPr>
                      <w:rFonts w:eastAsia="楷体_GB2312" w:cs="Calibri"/>
                      <w:w w:val="70"/>
                      <w:sz w:val="20"/>
                      <w:szCs w:val="20"/>
                      <w:lang w:eastAsia="zh-CN"/>
                    </w:rPr>
                  </w:pPr>
                  <w:r>
                    <w:rPr>
                      <w:rFonts w:eastAsia="楷体_GB2312" w:cs="Calibri"/>
                      <w:w w:val="70"/>
                      <w:sz w:val="20"/>
                      <w:szCs w:val="20"/>
                    </w:rPr>
                    <w:t>本研究报告由</w:t>
                  </w:r>
                  <w:r>
                    <w:rPr>
                      <w:rFonts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（香港）金融控股有限公司（下称华福国际）</w:t>
                  </w:r>
                  <w:r>
                    <w:rPr>
                      <w:rFonts w:eastAsia="楷体_GB2312" w:cs="Calibri"/>
                      <w:w w:val="70"/>
                      <w:sz w:val="20"/>
                      <w:szCs w:val="20"/>
                    </w:rPr>
                    <w:t>分销</w:t>
                  </w:r>
                  <w:r>
                    <w:rPr>
                      <w:rFonts w:eastAsia="楷体_GB2312" w:cs="Calibri"/>
                      <w:w w:val="70"/>
                      <w:sz w:val="20"/>
                      <w:szCs w:val="20"/>
                      <w:lang w:eastAsia="zh-CN"/>
                    </w:rPr>
                    <w:t>，</w:t>
                  </w:r>
                  <w:r>
                    <w:rPr>
                      <w:rFonts w:eastAsia="楷体_GB2312" w:cs="Calibri"/>
                      <w:w w:val="70"/>
                      <w:sz w:val="20"/>
                      <w:szCs w:val="20"/>
                    </w:rPr>
                    <w:t>在其许可的司法管辖区内从事证券活动。</w:t>
                  </w:r>
                </w:p>
                <w:p w14:paraId="232BD2D6">
                  <w:pPr>
                    <w:pStyle w:val="44"/>
                    <w:rPr>
                      <w:rFonts w:eastAsia="楷体_GB2312" w:cs="Calibri"/>
                      <w:b/>
                      <w:bCs/>
                      <w:w w:val="70"/>
                      <w:sz w:val="20"/>
                      <w:szCs w:val="20"/>
                    </w:rPr>
                  </w:pPr>
                  <w:r>
                    <w:rPr>
                      <w:rFonts w:eastAsia="楷体_GB2312" w:cs="Calibri"/>
                      <w:b/>
                      <w:bCs/>
                      <w:w w:val="70"/>
                      <w:sz w:val="20"/>
                      <w:szCs w:val="20"/>
                    </w:rPr>
                    <w:t>IMPORTANT DISCLOSURES</w:t>
                  </w:r>
                </w:p>
                <w:p w14:paraId="63442F10">
                  <w:pPr>
                    <w:pStyle w:val="44"/>
                    <w:spacing w:after="60"/>
                    <w:rPr>
                      <w:rFonts w:eastAsia="楷体_GB2312" w:cs="Calibri"/>
                      <w:lang w:eastAsia="zh-CN"/>
                    </w:rPr>
                  </w:pPr>
                  <w:r>
                    <w:rPr>
                      <w:rFonts w:eastAsia="楷体_GB2312" w:cs="Calibri"/>
                      <w:w w:val="70"/>
                      <w:sz w:val="20"/>
                      <w:szCs w:val="20"/>
                    </w:rPr>
                    <w:t xml:space="preserve">This research report is distributed by </w:t>
                  </w:r>
                  <w:r>
                    <w:rPr>
                      <w:rFonts w:eastAsia="楷体_GB2312" w:cs="Calibri"/>
                      <w:w w:val="70"/>
                      <w:sz w:val="20"/>
                      <w:szCs w:val="20"/>
                      <w:lang w:eastAsia="zh-CN"/>
                    </w:rPr>
                    <w:t>HuaFu</w:t>
                  </w:r>
                  <w:r>
                    <w:rPr>
                      <w:rFonts w:eastAsia="楷体_GB2312" w:cs="Calibri"/>
                      <w:w w:val="70"/>
                      <w:sz w:val="20"/>
                      <w:szCs w:val="20"/>
                    </w:rPr>
                    <w:t xml:space="preserve"> International</w:t>
                  </w:r>
                  <w:r>
                    <w:rPr>
                      <w:rFonts w:eastAsia="楷体_GB2312" w:cs="Calibri"/>
                      <w:w w:val="70"/>
                      <w:sz w:val="20"/>
                      <w:szCs w:val="20"/>
                      <w:lang w:eastAsia="zh-CN"/>
                    </w:rPr>
                    <w:t xml:space="preserve"> (HK) Financial Holdings Limited (referred as HuaFu International below)</w:t>
                  </w:r>
                  <w:r>
                    <w:rPr>
                      <w:rFonts w:eastAsia="楷体_GB2312" w:cs="Calibri"/>
                      <w:w w:val="70"/>
                      <w:sz w:val="20"/>
                      <w:szCs w:val="20"/>
                    </w:rPr>
                    <w:t xml:space="preserve">, </w:t>
                  </w:r>
                  <w:r>
                    <w:rPr>
                      <w:rFonts w:eastAsia="楷体_GB2312" w:cs="Calibri"/>
                      <w:w w:val="70"/>
                      <w:sz w:val="20"/>
                      <w:szCs w:val="20"/>
                      <w:lang w:eastAsia="zh-CN"/>
                    </w:rPr>
                    <w:t>which</w:t>
                  </w:r>
                  <w:r>
                    <w:rPr>
                      <w:rFonts w:eastAsia="楷体_GB2312" w:cs="Calibri"/>
                      <w:w w:val="70"/>
                      <w:sz w:val="20"/>
                      <w:szCs w:val="20"/>
                    </w:rPr>
                    <w:t xml:space="preserve"> </w:t>
                  </w:r>
                  <w:r>
                    <w:rPr>
                      <w:rFonts w:eastAsia="楷体_GB2312" w:cs="Calibri"/>
                      <w:w w:val="70"/>
                      <w:sz w:val="20"/>
                      <w:szCs w:val="20"/>
                      <w:lang w:eastAsia="zh-CN"/>
                    </w:rPr>
                    <w:t xml:space="preserve">is </w:t>
                  </w:r>
                  <w:r>
                    <w:rPr>
                      <w:rFonts w:eastAsia="楷体_GB2312" w:cs="Calibri"/>
                      <w:w w:val="70"/>
                      <w:sz w:val="20"/>
                      <w:szCs w:val="20"/>
                    </w:rPr>
                    <w:t>authorized to engage in securities activities in its respective jurisdiction.</w:t>
                  </w:r>
                </w:p>
              </w:tc>
            </w:tr>
            <w:tr w14:paraId="173E6DD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24" w:space="0"/>
                  </w:tcBorders>
                </w:tcPr>
                <w:p w14:paraId="0B2EA361">
                  <w:pPr>
                    <w:pStyle w:val="44"/>
                    <w:spacing w:after="48" w:afterLines="20"/>
                    <w:rPr>
                      <w:rFonts w:eastAsia="楷体_GB2312" w:cs="Calibri"/>
                      <w:w w:val="70"/>
                      <w:sz w:val="20"/>
                      <w:szCs w:val="20"/>
                    </w:rPr>
                  </w:pPr>
                  <w:r>
                    <w:rPr>
                      <w:rFonts w:eastAsia="楷体_GB2312" w:cs="Calibri"/>
                      <w:b/>
                      <w:w w:val="70"/>
                      <w:sz w:val="20"/>
                      <w:szCs w:val="20"/>
                    </w:rPr>
                    <w:t>分析师认证Analyst Certification</w:t>
                  </w:r>
                  <w:r>
                    <w:rPr>
                      <w:rFonts w:eastAsia="楷体_GB2312" w:cs="Calibri"/>
                      <w:w w:val="70"/>
                      <w:sz w:val="20"/>
                      <w:szCs w:val="20"/>
                    </w:rPr>
                    <w:t>:</w:t>
                  </w:r>
                </w:p>
              </w:tc>
            </w:tr>
            <w:tr w14:paraId="00603F1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bottom w:val="single" w:color="C0C0C0" w:sz="24" w:space="0"/>
                  </w:tcBorders>
                </w:tcPr>
                <w:p w14:paraId="5109CF3D">
                  <w:pPr>
                    <w:jc w:val="both"/>
                    <w:rPr>
                      <w:rFonts w:eastAsia="楷体_GB2312" w:cs="Calibri"/>
                      <w:w w:val="70"/>
                      <w:sz w:val="20"/>
                      <w:szCs w:val="20"/>
                      <w:lang w:eastAsia="zh-CN"/>
                    </w:rPr>
                  </w:pPr>
                  <w:r>
                    <w:rPr>
                      <w:rFonts w:eastAsia="楷体_GB2312" w:cs="Calibri"/>
                      <w:color w:val="000000"/>
                      <w:w w:val="70"/>
                      <w:sz w:val="20"/>
                    </w:rPr>
                    <w:t>我， 杨斌，在此保证（i）本研究报告中的意见准确反映了我们对本研究中提及的任何或所有目标公司或上市公司的个人观点，并且（ii）我的报酬中没有任何部分与本研究报告中表达的具体建议或观点直接或间接相关；及就此报告中所讨论目标公司的证券，我们（包括我们的家属）在其中均不持有任何财务利益。I, Bin Yang, certify that (i) the views expressed in this research report accurately reflect my personal views about any or all of the subject companies or issuers referred to in this research and (ii) no part of my compensation was, is or will be directly or indirectly related to the specific recommendations or views expressed in this research report; and that I (including members of my household) have no financial interest in the security or securities of the subject companies discussed.</w:t>
                  </w:r>
                </w:p>
              </w:tc>
            </w:tr>
            <w:tr w14:paraId="303DC952">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24" w:space="0"/>
                    <w:bottom w:val="nil"/>
                  </w:tcBorders>
                </w:tcPr>
                <w:p w14:paraId="0761065D">
                  <w:pPr>
                    <w:pStyle w:val="44"/>
                    <w:spacing w:after="48" w:afterLines="20"/>
                    <w:rPr>
                      <w:rFonts w:eastAsia="楷体_GB2312" w:cs="Calibri"/>
                      <w:b/>
                      <w:bCs/>
                      <w:w w:val="70"/>
                      <w:sz w:val="20"/>
                      <w:szCs w:val="20"/>
                    </w:rPr>
                  </w:pPr>
                  <w:r>
                    <w:rPr>
                      <w:rFonts w:eastAsia="楷体_GB2312" w:cs="Calibri"/>
                      <w:b/>
                      <w:bCs/>
                      <w:w w:val="70"/>
                      <w:sz w:val="20"/>
                      <w:szCs w:val="20"/>
                    </w:rPr>
                    <w:t>利益冲突披露Conflict of Interest Disclosures</w:t>
                  </w:r>
                </w:p>
              </w:tc>
            </w:tr>
            <w:tr w14:paraId="7A856E2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nil"/>
                    <w:bottom w:val="single" w:color="C0C0C0" w:sz="4" w:space="0"/>
                  </w:tcBorders>
                </w:tcPr>
                <w:p w14:paraId="4D612519">
                  <w:pPr>
                    <w:pStyle w:val="44"/>
                    <w:rPr>
                      <w:rFonts w:eastAsia="楷体_GB2312" w:cs="Calibri"/>
                      <w:w w:val="70"/>
                      <w:sz w:val="20"/>
                      <w:szCs w:val="20"/>
                    </w:rPr>
                  </w:pPr>
                  <w:r>
                    <w:rPr>
                      <w:rFonts w:eastAsia="楷体_GB2312" w:cs="Calibri"/>
                      <w:w w:val="70"/>
                      <w:sz w:val="20"/>
                      <w:szCs w:val="20"/>
                      <w:lang w:eastAsia="zh-CN"/>
                    </w:rPr>
                    <w:t>华福</w:t>
                  </w:r>
                  <w:r>
                    <w:rPr>
                      <w:rFonts w:eastAsia="楷体_GB2312" w:cs="Calibri"/>
                      <w:w w:val="70"/>
                      <w:sz w:val="20"/>
                      <w:szCs w:val="20"/>
                    </w:rPr>
                    <w:t>国际及其某些关联公司可从事投资银行业务和/或对本研究中的特定股票或公司进行做市或持有自营头寸。就本研究报告而言，如需了解其中提到的某一公司信息，</w:t>
                  </w:r>
                  <w:r>
                    <w:fldChar w:fldCharType="begin"/>
                  </w:r>
                  <w:r>
                    <w:instrText xml:space="preserve"> HYPERLINK "mailto:请发邮件至lcd@hfisec.com.hk" </w:instrText>
                  </w:r>
                  <w:r>
                    <w:fldChar w:fldCharType="separate"/>
                  </w:r>
                  <w:r>
                    <w:rPr>
                      <w:rStyle w:val="32"/>
                      <w:rFonts w:eastAsia="楷体_GB2312" w:cs="Calibri"/>
                      <w:w w:val="70"/>
                      <w:sz w:val="20"/>
                      <w:szCs w:val="20"/>
                    </w:rPr>
                    <w:t>请发邮件至lcd@hfisec.com.hk</w:t>
                  </w:r>
                  <w:r>
                    <w:rPr>
                      <w:rStyle w:val="32"/>
                      <w:rFonts w:eastAsia="楷体_GB2312" w:cs="Calibri"/>
                      <w:w w:val="70"/>
                      <w:sz w:val="20"/>
                      <w:szCs w:val="20"/>
                    </w:rPr>
                    <w:fldChar w:fldCharType="end"/>
                  </w:r>
                  <w:r>
                    <w:rPr>
                      <w:rFonts w:eastAsia="楷体_GB2312" w:cs="Calibri"/>
                      <w:w w:val="70"/>
                      <w:sz w:val="20"/>
                      <w:szCs w:val="20"/>
                    </w:rPr>
                    <w:t>）</w:t>
                  </w:r>
                </w:p>
                <w:p w14:paraId="22D90444">
                  <w:pPr>
                    <w:pStyle w:val="44"/>
                    <w:rPr>
                      <w:rFonts w:eastAsia="楷体_GB2312" w:cs="Calibri"/>
                      <w:b/>
                      <w:bCs/>
                      <w:w w:val="70"/>
                      <w:sz w:val="20"/>
                      <w:szCs w:val="20"/>
                      <w:lang w:eastAsia="zh-CN"/>
                    </w:rPr>
                  </w:pPr>
                  <w:r>
                    <w:rPr>
                      <w:rFonts w:eastAsia="楷体_GB2312" w:cs="Calibri"/>
                      <w:w w:val="70"/>
                      <w:sz w:val="20"/>
                      <w:szCs w:val="20"/>
                      <w:lang w:eastAsia="zh-CN"/>
                    </w:rPr>
                    <w:t>HuaFu International</w:t>
                  </w:r>
                  <w:r>
                    <w:rPr>
                      <w:rFonts w:eastAsia="楷体_GB2312" w:cs="Calibri"/>
                      <w:w w:val="70"/>
                      <w:sz w:val="20"/>
                      <w:szCs w:val="20"/>
                    </w:rPr>
                    <w:t xml:space="preserve"> and some of its affiliates may engage in investment banking and / or serve as a market maker or hold proprietary trading positions of certain stocks or companies in this research report. As far as this research report is concerned, </w:t>
                  </w:r>
                  <w:r>
                    <w:rPr>
                      <w:rFonts w:eastAsia="楷体_GB2312" w:cs="Calibri"/>
                      <w:color w:val="000000" w:themeColor="text1"/>
                      <w:w w:val="70"/>
                      <w:sz w:val="20"/>
                      <w:szCs w:val="20"/>
                      <w14:textFill>
                        <w14:solidFill>
                          <w14:schemeClr w14:val="tx1"/>
                        </w14:solidFill>
                      </w14:textFill>
                    </w:rPr>
                    <w:t xml:space="preserve">please send an email to </w:t>
                  </w:r>
                  <w:r>
                    <w:rPr>
                      <w:rFonts w:eastAsia="楷体_GB2312" w:cs="Calibri"/>
                      <w:color w:val="000000" w:themeColor="text1"/>
                      <w:w w:val="70"/>
                      <w:sz w:val="20"/>
                      <w:szCs w:val="20"/>
                      <w:lang w:eastAsia="zh-CN"/>
                      <w14:textFill>
                        <w14:solidFill>
                          <w14:schemeClr w14:val="tx1"/>
                        </w14:solidFill>
                      </w14:textFill>
                    </w:rPr>
                    <w:t>lcd</w:t>
                  </w:r>
                  <w:r>
                    <w:rPr>
                      <w:rFonts w:eastAsia="楷体_GB2312" w:cs="Calibri"/>
                      <w:color w:val="000000" w:themeColor="text1"/>
                      <w:w w:val="70"/>
                      <w:sz w:val="20"/>
                      <w:szCs w:val="20"/>
                      <w14:textFill>
                        <w14:solidFill>
                          <w14:schemeClr w14:val="tx1"/>
                        </w14:solidFill>
                      </w14:textFill>
                    </w:rPr>
                    <w:t>@</w:t>
                  </w:r>
                  <w:r>
                    <w:rPr>
                      <w:rFonts w:eastAsia="楷体_GB2312" w:cs="Calibri"/>
                      <w:color w:val="000000" w:themeColor="text1"/>
                      <w:w w:val="70"/>
                      <w:sz w:val="20"/>
                      <w:szCs w:val="20"/>
                      <w:lang w:eastAsia="zh-CN"/>
                      <w14:textFill>
                        <w14:solidFill>
                          <w14:schemeClr w14:val="tx1"/>
                        </w14:solidFill>
                      </w14:textFill>
                    </w:rPr>
                    <w:t>hfisec</w:t>
                  </w:r>
                  <w:r>
                    <w:rPr>
                      <w:rFonts w:eastAsia="楷体_GB2312" w:cs="Calibri"/>
                      <w:color w:val="000000" w:themeColor="text1"/>
                      <w:w w:val="70"/>
                      <w:sz w:val="20"/>
                      <w:szCs w:val="20"/>
                      <w14:textFill>
                        <w14:solidFill>
                          <w14:schemeClr w14:val="tx1"/>
                        </w14:solidFill>
                      </w14:textFill>
                    </w:rPr>
                    <w:t>.com</w:t>
                  </w:r>
                  <w:r>
                    <w:rPr>
                      <w:rFonts w:eastAsia="楷体_GB2312" w:cs="Calibri"/>
                      <w:color w:val="000000" w:themeColor="text1"/>
                      <w:w w:val="70"/>
                      <w:sz w:val="20"/>
                      <w:szCs w:val="20"/>
                      <w:lang w:eastAsia="zh-CN"/>
                      <w14:textFill>
                        <w14:solidFill>
                          <w14:schemeClr w14:val="tx1"/>
                        </w14:solidFill>
                      </w14:textFill>
                    </w:rPr>
                    <w:t>.hk</w:t>
                  </w:r>
                  <w:r>
                    <w:rPr>
                      <w:rFonts w:eastAsia="楷体_GB2312" w:cs="Calibri"/>
                      <w:color w:val="000000" w:themeColor="text1"/>
                      <w:w w:val="70"/>
                      <w:sz w:val="20"/>
                      <w:szCs w:val="20"/>
                      <w14:textFill>
                        <w14:solidFill>
                          <w14:schemeClr w14:val="tx1"/>
                        </w14:solidFill>
                      </w14:textFill>
                    </w:rPr>
                    <w:t xml:space="preserve"> if </w:t>
                  </w:r>
                  <w:r>
                    <w:rPr>
                      <w:rFonts w:eastAsia="楷体_GB2312" w:cs="Calibri"/>
                      <w:color w:val="000000" w:themeColor="text1"/>
                      <w:w w:val="70"/>
                      <w:sz w:val="20"/>
                      <w:szCs w:val="20"/>
                      <w:lang w:eastAsia="zh-CN"/>
                      <w14:textFill>
                        <w14:solidFill>
                          <w14:schemeClr w14:val="tx1"/>
                        </w14:solidFill>
                      </w14:textFill>
                    </w:rPr>
                    <w:t>the</w:t>
                  </w:r>
                  <w:r>
                    <w:rPr>
                      <w:rFonts w:eastAsia="楷体_GB2312" w:cs="Calibri"/>
                      <w:color w:val="000000" w:themeColor="text1"/>
                      <w:w w:val="70"/>
                      <w:sz w:val="20"/>
                      <w:szCs w:val="20"/>
                      <w14:textFill>
                        <w14:solidFill>
                          <w14:schemeClr w14:val="tx1"/>
                        </w14:solidFill>
                      </w14:textFill>
                    </w:rPr>
                    <w:t xml:space="preserve"> information </w:t>
                  </w:r>
                  <w:r>
                    <w:rPr>
                      <w:rFonts w:eastAsia="楷体_GB2312" w:cs="Calibri"/>
                      <w:color w:val="000000" w:themeColor="text1"/>
                      <w:w w:val="70"/>
                      <w:sz w:val="20"/>
                      <w:szCs w:val="20"/>
                      <w:lang w:eastAsia="zh-CN"/>
                      <w14:textFill>
                        <w14:solidFill>
                          <w14:schemeClr w14:val="tx1"/>
                        </w14:solidFill>
                      </w14:textFill>
                    </w:rPr>
                    <w:t xml:space="preserve">about any company mentioned in this report </w:t>
                  </w:r>
                  <w:r>
                    <w:rPr>
                      <w:rFonts w:eastAsia="楷体_GB2312" w:cs="Calibri"/>
                      <w:color w:val="000000" w:themeColor="text1"/>
                      <w:w w:val="70"/>
                      <w:sz w:val="20"/>
                      <w:szCs w:val="20"/>
                      <w14:textFill>
                        <w14:solidFill>
                          <w14:schemeClr w14:val="tx1"/>
                        </w14:solidFill>
                      </w14:textFill>
                    </w:rPr>
                    <w:t>is needed).</w:t>
                  </w:r>
                </w:p>
              </w:tc>
            </w:tr>
            <w:tr w14:paraId="6189F10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6BDEE87D">
                  <w:pPr>
                    <w:pStyle w:val="44"/>
                    <w:rPr>
                      <w:rFonts w:eastAsia="楷体_GB2312" w:cs="Calibri"/>
                      <w:w w:val="70"/>
                      <w:sz w:val="20"/>
                      <w:szCs w:val="20"/>
                    </w:rPr>
                  </w:pPr>
                </w:p>
              </w:tc>
            </w:tr>
            <w:tr w14:paraId="6A112B2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rPr>
                <w:trHeight w:val="5096" w:hRule="atLeast"/>
              </w:trPr>
              <w:tc>
                <w:tcPr>
                  <w:tcW w:w="11196" w:type="dxa"/>
                  <w:tcBorders>
                    <w:top w:val="single" w:color="C0C0C0" w:sz="4" w:space="0"/>
                  </w:tcBorders>
                </w:tcPr>
                <w:p w14:paraId="03F08FDC">
                  <w:pPr>
                    <w:pStyle w:val="44"/>
                    <w:rPr>
                      <w:rFonts w:eastAsia="楷体_GB2312" w:cs="Calibri"/>
                      <w:b/>
                      <w:w w:val="70"/>
                      <w:sz w:val="20"/>
                      <w:szCs w:val="20"/>
                    </w:rPr>
                  </w:pPr>
                  <w:r>
                    <w:rPr>
                      <w:rFonts w:eastAsia="楷体_GB2312" w:cs="Calibri"/>
                      <w:b/>
                      <w:w w:val="70"/>
                      <w:sz w:val="20"/>
                      <w:szCs w:val="20"/>
                    </w:rPr>
                    <w:t>评级定义</w:t>
                  </w:r>
                  <w:r>
                    <w:rPr>
                      <w:rFonts w:eastAsia="楷体_GB2312" w:cs="Calibri"/>
                      <w:b/>
                      <w:w w:val="70"/>
                      <w:sz w:val="20"/>
                      <w:szCs w:val="20"/>
                      <w:lang w:eastAsia="zh-CN"/>
                    </w:rPr>
                    <w:t>（从2020年7月1日开始执行）</w:t>
                  </w:r>
                  <w:r>
                    <w:rPr>
                      <w:rFonts w:eastAsia="楷体_GB2312" w:cs="Calibri"/>
                      <w:b/>
                      <w:w w:val="70"/>
                      <w:sz w:val="20"/>
                      <w:szCs w:val="20"/>
                    </w:rPr>
                    <w:t>：</w:t>
                  </w:r>
                </w:p>
                <w:p w14:paraId="3ECB9721">
                  <w:pPr>
                    <w:pStyle w:val="44"/>
                    <w:rPr>
                      <w:rFonts w:eastAsia="楷体_GB2312" w:cs="Calibri"/>
                      <w:w w:val="70"/>
                      <w:sz w:val="20"/>
                      <w:szCs w:val="20"/>
                    </w:rPr>
                  </w:pPr>
                  <w:r>
                    <w:rPr>
                      <w:rFonts w:eastAsia="楷体_GB2312" w:cs="Calibri"/>
                      <w:w w:val="70"/>
                      <w:sz w:val="20"/>
                      <w:szCs w:val="20"/>
                      <w:lang w:eastAsia="zh-CN"/>
                    </w:rPr>
                    <w:t>华福</w:t>
                  </w:r>
                  <w:r>
                    <w:rPr>
                      <w:rFonts w:eastAsia="楷体_GB2312" w:cs="Calibri"/>
                      <w:w w:val="70"/>
                      <w:sz w:val="20"/>
                      <w:szCs w:val="20"/>
                    </w:rPr>
                    <w:t>国际采用相对评级系统</w:t>
                  </w:r>
                  <w:r>
                    <w:rPr>
                      <w:rFonts w:eastAsia="楷体_GB2312" w:cs="Calibri"/>
                      <w:w w:val="70"/>
                      <w:sz w:val="20"/>
                      <w:szCs w:val="20"/>
                      <w:lang w:eastAsia="zh-CN"/>
                    </w:rPr>
                    <w:t>来为投资者推荐我们覆盖的公司</w:t>
                  </w:r>
                  <w:r>
                    <w:rPr>
                      <w:rFonts w:eastAsia="楷体_GB2312" w:cs="Calibri"/>
                      <w:w w:val="70"/>
                      <w:sz w:val="20"/>
                      <w:szCs w:val="20"/>
                    </w:rPr>
                    <w:t>：</w:t>
                  </w:r>
                  <w:r>
                    <w:rPr>
                      <w:rFonts w:eastAsia="楷体_GB2312" w:cs="Calibri"/>
                      <w:w w:val="70"/>
                      <w:sz w:val="20"/>
                      <w:szCs w:val="20"/>
                      <w:lang w:eastAsia="zh-CN"/>
                    </w:rPr>
                    <w:t>优于大市</w:t>
                  </w:r>
                  <w:r>
                    <w:rPr>
                      <w:rFonts w:eastAsia="楷体_GB2312" w:cs="Calibri"/>
                      <w:w w:val="70"/>
                      <w:sz w:val="20"/>
                      <w:szCs w:val="20"/>
                    </w:rPr>
                    <w:t>、中性</w:t>
                  </w:r>
                  <w:r>
                    <w:rPr>
                      <w:rFonts w:eastAsia="楷体_GB2312" w:cs="Calibri"/>
                      <w:w w:val="70"/>
                      <w:sz w:val="20"/>
                      <w:szCs w:val="20"/>
                      <w:lang w:eastAsia="zh-CN"/>
                    </w:rPr>
                    <w:t>或弱于大市</w:t>
                  </w:r>
                  <w:r>
                    <w:rPr>
                      <w:rFonts w:eastAsia="楷体_GB2312" w:cs="Calibri"/>
                      <w:w w:val="70"/>
                      <w:sz w:val="20"/>
                      <w:szCs w:val="20"/>
                    </w:rPr>
                    <w:t>。</w:t>
                  </w:r>
                  <w:r>
                    <w:rPr>
                      <w:rFonts w:eastAsia="楷体_GB2312" w:cs="Calibri"/>
                      <w:w w:val="70"/>
                      <w:sz w:val="20"/>
                      <w:szCs w:val="20"/>
                      <w:lang w:eastAsia="zh-CN"/>
                    </w:rPr>
                    <w:t>投资者应仔细阅读华福</w:t>
                  </w:r>
                  <w:r>
                    <w:rPr>
                      <w:rFonts w:eastAsia="楷体_GB2312" w:cs="Calibri"/>
                      <w:w w:val="70"/>
                      <w:sz w:val="20"/>
                      <w:szCs w:val="20"/>
                    </w:rPr>
                    <w:t>国际</w:t>
                  </w:r>
                  <w:r>
                    <w:rPr>
                      <w:rFonts w:eastAsia="楷体_GB2312" w:cs="Calibri"/>
                      <w:w w:val="70"/>
                      <w:sz w:val="20"/>
                      <w:szCs w:val="20"/>
                      <w:lang w:eastAsia="zh-CN"/>
                    </w:rPr>
                    <w:t>的评级定义。并且华福</w:t>
                  </w:r>
                  <w:r>
                    <w:rPr>
                      <w:rFonts w:eastAsia="楷体_GB2312" w:cs="Calibri"/>
                      <w:w w:val="70"/>
                      <w:sz w:val="20"/>
                      <w:szCs w:val="20"/>
                    </w:rPr>
                    <w:t>国际</w:t>
                  </w:r>
                  <w:r>
                    <w:rPr>
                      <w:rFonts w:eastAsia="楷体_GB2312" w:cs="Calibri"/>
                      <w:w w:val="70"/>
                      <w:sz w:val="20"/>
                      <w:szCs w:val="20"/>
                      <w:lang w:eastAsia="zh-CN"/>
                    </w:rPr>
                    <w:t>发布分析师观点的完整信息，投资者应仔细阅读全文而非仅看评级。在任何情况下，分析师的评级和研究都不能作为投资建议。投资者的买卖股票的决策应基于各自情况（比如投资者的现有持仓）以及其他因素。</w:t>
                  </w:r>
                </w:p>
                <w:p w14:paraId="2371AD46">
                  <w:pPr>
                    <w:pStyle w:val="44"/>
                    <w:rPr>
                      <w:rFonts w:eastAsia="楷体_GB2312" w:cs="Calibri"/>
                      <w:b/>
                      <w:w w:val="70"/>
                      <w:sz w:val="20"/>
                      <w:szCs w:val="20"/>
                      <w:lang w:eastAsia="zh-CN"/>
                    </w:rPr>
                  </w:pPr>
                  <w:r>
                    <w:rPr>
                      <w:rFonts w:eastAsia="楷体_GB2312" w:cs="Calibri"/>
                      <w:b/>
                      <w:w w:val="70"/>
                      <w:sz w:val="20"/>
                      <w:szCs w:val="20"/>
                      <w:lang w:eastAsia="zh-CN"/>
                    </w:rPr>
                    <w:t>分析师股票评级</w:t>
                  </w:r>
                </w:p>
                <w:p w14:paraId="5B111990">
                  <w:pPr>
                    <w:pStyle w:val="44"/>
                    <w:rPr>
                      <w:rFonts w:eastAsia="楷体_GB2312" w:cs="Calibri"/>
                      <w:w w:val="70"/>
                      <w:sz w:val="20"/>
                      <w:szCs w:val="20"/>
                      <w:lang w:eastAsia="zh-CN"/>
                    </w:rPr>
                  </w:pPr>
                  <w:r>
                    <w:rPr>
                      <w:rFonts w:eastAsia="楷体_GB2312" w:cs="Calibri"/>
                      <w:b/>
                      <w:w w:val="70"/>
                      <w:sz w:val="20"/>
                      <w:szCs w:val="20"/>
                    </w:rPr>
                    <w:t>优于大市</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预期相对基准指数涨幅在10%以上，基准定义如下</w:t>
                  </w:r>
                </w:p>
                <w:p w14:paraId="3A0E9FED">
                  <w:pPr>
                    <w:pStyle w:val="44"/>
                    <w:rPr>
                      <w:rFonts w:eastAsia="楷体_GB2312" w:cs="Calibri"/>
                      <w:w w:val="70"/>
                      <w:sz w:val="20"/>
                      <w:szCs w:val="20"/>
                      <w:lang w:eastAsia="zh-CN"/>
                    </w:rPr>
                  </w:pPr>
                  <w:r>
                    <w:rPr>
                      <w:rFonts w:eastAsia="楷体_GB2312" w:cs="Calibri"/>
                      <w:b/>
                      <w:w w:val="70"/>
                      <w:sz w:val="20"/>
                      <w:szCs w:val="20"/>
                    </w:rPr>
                    <w:t>中性</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预期相对基准指数变化不大，基准定义如下</w:t>
                  </w:r>
                </w:p>
                <w:p w14:paraId="5E1A0F2D">
                  <w:pPr>
                    <w:pStyle w:val="44"/>
                    <w:rPr>
                      <w:rFonts w:eastAsia="楷体_GB2312" w:cs="Calibri"/>
                      <w:w w:val="70"/>
                      <w:sz w:val="20"/>
                      <w:szCs w:val="20"/>
                    </w:rPr>
                  </w:pPr>
                  <w:r>
                    <w:rPr>
                      <w:rFonts w:eastAsia="楷体_GB2312" w:cs="Calibri"/>
                      <w:b/>
                      <w:w w:val="70"/>
                      <w:sz w:val="20"/>
                      <w:szCs w:val="20"/>
                      <w:lang w:eastAsia="zh-CN"/>
                    </w:rPr>
                    <w:t>弱于大市</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预期相对基准指数跌幅在10%以上，基准定义如下</w:t>
                  </w:r>
                </w:p>
                <w:p w14:paraId="28C52783">
                  <w:pPr>
                    <w:pStyle w:val="44"/>
                    <w:rPr>
                      <w:rFonts w:eastAsia="楷体_GB2312" w:cs="Calibri"/>
                      <w:w w:val="70"/>
                      <w:sz w:val="20"/>
                      <w:szCs w:val="20"/>
                      <w:lang w:eastAsia="zh-CN"/>
                    </w:rPr>
                  </w:pPr>
                  <w:r>
                    <w:rPr>
                      <w:rFonts w:eastAsia="楷体_GB2312" w:cs="Calibri"/>
                      <w:w w:val="70"/>
                      <w:sz w:val="20"/>
                      <w:szCs w:val="20"/>
                      <w:lang w:eastAsia="zh-CN"/>
                    </w:rPr>
                    <w:t>各地股票基准指数：日本 – TOPIX, 韩国 – KOSPI, 台湾 – TAIEX, 印度 – Nifty100, 美国 – SP500; 其他所有中国概念股 – MSCI China.</w:t>
                  </w:r>
                </w:p>
                <w:p w14:paraId="2E89913A">
                  <w:pPr>
                    <w:pStyle w:val="44"/>
                    <w:rPr>
                      <w:rFonts w:eastAsia="楷体_GB2312" w:cs="Calibri"/>
                      <w:w w:val="79"/>
                      <w:sz w:val="20"/>
                      <w:szCs w:val="20"/>
                    </w:rPr>
                  </w:pPr>
                  <w:r>
                    <w:rPr>
                      <w:rFonts w:eastAsia="楷体_GB2312" w:cs="Calibri"/>
                      <w:b/>
                      <w:w w:val="79"/>
                      <w:sz w:val="20"/>
                      <w:szCs w:val="20"/>
                    </w:rPr>
                    <w:t xml:space="preserve">Ratings Definitions (from 1 Jul 2020): </w:t>
                  </w:r>
                </w:p>
                <w:p w14:paraId="6E95203B">
                  <w:pPr>
                    <w:pStyle w:val="44"/>
                    <w:rPr>
                      <w:rFonts w:eastAsia="楷体_GB2312" w:cs="Calibri"/>
                      <w:w w:val="79"/>
                      <w:sz w:val="20"/>
                      <w:szCs w:val="20"/>
                    </w:rPr>
                  </w:pPr>
                  <w:r>
                    <w:rPr>
                      <w:rFonts w:eastAsia="楷体_GB2312" w:cs="Calibri"/>
                      <w:w w:val="79"/>
                      <w:sz w:val="20"/>
                      <w:szCs w:val="20"/>
                      <w:lang w:eastAsia="zh-CN"/>
                    </w:rPr>
                    <w:t>HuaFu</w:t>
                  </w:r>
                  <w:r>
                    <w:rPr>
                      <w:rFonts w:eastAsia="楷体_GB2312" w:cs="Calibri"/>
                      <w:w w:val="79"/>
                      <w:sz w:val="20"/>
                      <w:szCs w:val="20"/>
                    </w:rPr>
                    <w:t xml:space="preserve"> International uses a relative rating system using </w:t>
                  </w:r>
                  <w:r>
                    <w:rPr>
                      <w:rFonts w:eastAsia="楷体_GB2312" w:cs="Calibri"/>
                      <w:w w:val="79"/>
                      <w:sz w:val="20"/>
                      <w:szCs w:val="20"/>
                      <w:lang w:eastAsia="zh-HK"/>
                    </w:rPr>
                    <w:t>Outperform</w:t>
                  </w:r>
                  <w:r>
                    <w:rPr>
                      <w:rFonts w:eastAsia="楷体_GB2312" w:cs="Calibri"/>
                      <w:w w:val="79"/>
                      <w:sz w:val="20"/>
                      <w:szCs w:val="20"/>
                    </w:rPr>
                    <w:t>, Neutral</w:t>
                  </w:r>
                  <w:r>
                    <w:rPr>
                      <w:rFonts w:eastAsia="楷体_GB2312" w:cs="Calibri"/>
                      <w:w w:val="79"/>
                      <w:sz w:val="20"/>
                      <w:szCs w:val="20"/>
                      <w:lang w:eastAsia="zh-HK"/>
                    </w:rPr>
                    <w:t>,</w:t>
                  </w:r>
                  <w:r>
                    <w:rPr>
                      <w:rFonts w:eastAsia="楷体_GB2312" w:cs="Calibri"/>
                      <w:w w:val="79"/>
                      <w:sz w:val="20"/>
                      <w:szCs w:val="20"/>
                    </w:rPr>
                    <w:t xml:space="preserve"> or </w:t>
                  </w:r>
                  <w:r>
                    <w:rPr>
                      <w:rFonts w:eastAsia="楷体_GB2312" w:cs="Calibri"/>
                      <w:w w:val="79"/>
                      <w:sz w:val="20"/>
                      <w:szCs w:val="20"/>
                      <w:lang w:eastAsia="zh-HK"/>
                    </w:rPr>
                    <w:t xml:space="preserve">Underperform </w:t>
                  </w:r>
                  <w:r>
                    <w:rPr>
                      <w:rFonts w:eastAsia="楷体_GB2312" w:cs="Calibri"/>
                      <w:w w:val="79"/>
                      <w:sz w:val="20"/>
                      <w:szCs w:val="20"/>
                    </w:rPr>
                    <w:t xml:space="preserve">for recommending the stocks we cover to investors. Investors should carefully read the definitions of all ratings used in </w:t>
                  </w:r>
                  <w:r>
                    <w:rPr>
                      <w:rFonts w:eastAsia="楷体_GB2312" w:cs="Calibri"/>
                      <w:w w:val="79"/>
                      <w:sz w:val="20"/>
                      <w:szCs w:val="20"/>
                      <w:lang w:eastAsia="zh-CN"/>
                    </w:rPr>
                    <w:t>HuaFu</w:t>
                  </w:r>
                  <w:r>
                    <w:rPr>
                      <w:rFonts w:eastAsia="楷体_GB2312" w:cs="Calibri"/>
                      <w:w w:val="79"/>
                      <w:sz w:val="20"/>
                      <w:szCs w:val="20"/>
                    </w:rPr>
                    <w:t xml:space="preserve"> International Research. In addition, since </w:t>
                  </w:r>
                  <w:r>
                    <w:rPr>
                      <w:rFonts w:eastAsia="楷体_GB2312" w:cs="Calibri"/>
                      <w:w w:val="79"/>
                      <w:sz w:val="20"/>
                      <w:szCs w:val="20"/>
                      <w:lang w:eastAsia="zh-CN"/>
                    </w:rPr>
                    <w:t>HuaFu</w:t>
                  </w:r>
                  <w:r>
                    <w:rPr>
                      <w:rFonts w:eastAsia="楷体_GB2312" w:cs="Calibri"/>
                      <w:w w:val="79"/>
                      <w:sz w:val="20"/>
                      <w:szCs w:val="20"/>
                    </w:rPr>
                    <w:t xml:space="preserve"> International Research contains more complete information concerning the analyst's views, investors should carefully read </w:t>
                  </w:r>
                  <w:r>
                    <w:rPr>
                      <w:rFonts w:eastAsia="楷体_GB2312" w:cs="Calibri"/>
                      <w:w w:val="79"/>
                      <w:sz w:val="20"/>
                      <w:szCs w:val="20"/>
                      <w:lang w:eastAsia="zh-CN"/>
                    </w:rPr>
                    <w:t xml:space="preserve">HuaFu </w:t>
                  </w:r>
                  <w:r>
                    <w:rPr>
                      <w:rFonts w:eastAsia="楷体_GB2312" w:cs="Calibri"/>
                      <w:w w:val="79"/>
                      <w:sz w:val="20"/>
                      <w:szCs w:val="20"/>
                    </w:rPr>
                    <w:t>International Research, in its entirety, and not infer the contents from the rating alone. In any case, ratings (or research) should not be used or relied upon as investment advice. An investor's decision to buy or sell a stock should depend on individual circumstances (such as the investor's existing holdings) and other considerations.</w:t>
                  </w:r>
                </w:p>
                <w:p w14:paraId="6A02602E">
                  <w:pPr>
                    <w:pStyle w:val="44"/>
                    <w:rPr>
                      <w:rFonts w:eastAsia="楷体_GB2312" w:cs="Calibri"/>
                      <w:b/>
                      <w:w w:val="79"/>
                      <w:sz w:val="20"/>
                      <w:szCs w:val="20"/>
                    </w:rPr>
                  </w:pPr>
                  <w:r>
                    <w:rPr>
                      <w:rFonts w:eastAsia="楷体_GB2312" w:cs="Calibri"/>
                      <w:b/>
                      <w:w w:val="79"/>
                      <w:sz w:val="20"/>
                      <w:szCs w:val="20"/>
                    </w:rPr>
                    <w:t>Analyst Stock Ratings</w:t>
                  </w:r>
                </w:p>
                <w:p w14:paraId="7830C283">
                  <w:pPr>
                    <w:pStyle w:val="44"/>
                    <w:rPr>
                      <w:rFonts w:eastAsia="楷体_GB2312" w:cs="Calibri"/>
                      <w:w w:val="79"/>
                      <w:sz w:val="20"/>
                      <w:szCs w:val="20"/>
                    </w:rPr>
                  </w:pPr>
                  <w:r>
                    <w:rPr>
                      <w:rFonts w:eastAsia="楷体_GB2312" w:cs="Calibri"/>
                      <w:b/>
                      <w:w w:val="79"/>
                      <w:sz w:val="20"/>
                      <w:szCs w:val="20"/>
                      <w:lang w:eastAsia="zh-HK"/>
                    </w:rPr>
                    <w:t>Outperform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exceed the return of its relevant broad market benchmark</w:t>
                  </w:r>
                  <w:r>
                    <w:rPr>
                      <w:rFonts w:eastAsia="楷体_GB2312" w:cs="Calibri"/>
                      <w:w w:val="79"/>
                      <w:sz w:val="20"/>
                      <w:szCs w:val="20"/>
                      <w:lang w:eastAsia="zh-CN"/>
                    </w:rPr>
                    <w:t xml:space="preserve"> by over 10%</w:t>
                  </w:r>
                  <w:r>
                    <w:rPr>
                      <w:rFonts w:eastAsia="楷体_GB2312" w:cs="Calibri"/>
                      <w:w w:val="79"/>
                      <w:sz w:val="20"/>
                      <w:szCs w:val="20"/>
                    </w:rPr>
                    <w:t xml:space="preserve">, as indicated below. </w:t>
                  </w:r>
                </w:p>
                <w:p w14:paraId="01A31AD2">
                  <w:pPr>
                    <w:pStyle w:val="44"/>
                    <w:rPr>
                      <w:rFonts w:eastAsia="楷体_GB2312" w:cs="Calibri"/>
                      <w:w w:val="79"/>
                      <w:sz w:val="20"/>
                      <w:szCs w:val="20"/>
                    </w:rPr>
                  </w:pPr>
                  <w:r>
                    <w:rPr>
                      <w:rFonts w:eastAsia="楷体_GB2312" w:cs="Calibri"/>
                      <w:b/>
                      <w:w w:val="79"/>
                      <w:sz w:val="20"/>
                      <w:szCs w:val="20"/>
                    </w:rPr>
                    <w:t>Neutral:</w:t>
                  </w:r>
                  <w:r>
                    <w:rPr>
                      <w:rFonts w:eastAsia="楷体_GB2312" w:cs="Calibri"/>
                      <w:w w:val="79"/>
                      <w:sz w:val="20"/>
                      <w:szCs w:val="20"/>
                    </w:rPr>
                    <w:t xml:space="preserve"> The stock’s total return over the next 12-18 months is expected to be in line with the return of its relevant broad market benchmark, as indicated below. </w:t>
                  </w:r>
                  <w:r>
                    <w:rPr>
                      <w:rFonts w:eastAsia="楷体_GB2312" w:cs="Calibri"/>
                      <w:b/>
                      <w:w w:val="79"/>
                      <w:sz w:val="20"/>
                      <w:szCs w:val="20"/>
                      <w:lang w:eastAsia="zh-HK"/>
                    </w:rPr>
                    <w:t>Underperform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be below the return of its relevant broad market benchmark</w:t>
                  </w:r>
                  <w:r>
                    <w:rPr>
                      <w:rFonts w:eastAsia="楷体_GB2312" w:cs="Calibri"/>
                      <w:w w:val="79"/>
                      <w:sz w:val="20"/>
                      <w:szCs w:val="20"/>
                      <w:lang w:eastAsia="zh-CN"/>
                    </w:rPr>
                    <w:t xml:space="preserve"> by over 10%</w:t>
                  </w:r>
                  <w:r>
                    <w:rPr>
                      <w:rFonts w:eastAsia="楷体_GB2312" w:cs="Calibri"/>
                      <w:w w:val="79"/>
                      <w:sz w:val="20"/>
                      <w:szCs w:val="20"/>
                    </w:rPr>
                    <w:t>, as indicated below.</w:t>
                  </w:r>
                </w:p>
                <w:p w14:paraId="6948AE3F">
                  <w:pPr>
                    <w:pStyle w:val="44"/>
                    <w:rPr>
                      <w:rFonts w:eastAsia="楷体_GB2312" w:cs="Calibri"/>
                      <w:b/>
                      <w:w w:val="79"/>
                      <w:sz w:val="20"/>
                      <w:szCs w:val="20"/>
                    </w:rPr>
                  </w:pPr>
                  <w:r>
                    <w:rPr>
                      <w:rFonts w:eastAsia="楷体_GB2312" w:cs="Calibri"/>
                      <w:b/>
                      <w:w w:val="79"/>
                      <w:sz w:val="20"/>
                      <w:szCs w:val="20"/>
                    </w:rPr>
                    <w:t>Benchmarks for each stock’s listed region are as follows: Japan – TOPIX, Korea – KOSPI, Taiwan – TAIEX, India – Nifty100, US – SP500; for all other China-concept stocks – MSCI China.</w:t>
                  </w:r>
                </w:p>
                <w:p w14:paraId="24519D6D">
                  <w:pPr>
                    <w:pStyle w:val="44"/>
                    <w:rPr>
                      <w:rFonts w:eastAsia="楷体_GB2312" w:cs="Calibri"/>
                      <w:w w:val="70"/>
                      <w:sz w:val="20"/>
                      <w:szCs w:val="20"/>
                      <w:lang w:eastAsia="zh-CN"/>
                    </w:rPr>
                  </w:pPr>
                </w:p>
              </w:tc>
            </w:tr>
            <w:tr w14:paraId="592761E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2FB22940">
                  <w:pPr>
                    <w:pStyle w:val="44"/>
                    <w:spacing w:after="60"/>
                    <w:rPr>
                      <w:rFonts w:eastAsia="楷体_GB2312" w:cs="Calibri"/>
                      <w:w w:val="70"/>
                      <w:sz w:val="20"/>
                      <w:szCs w:val="20"/>
                    </w:rPr>
                  </w:pPr>
                  <w:r>
                    <w:rPr>
                      <w:rFonts w:eastAsia="楷体_GB2312" w:cs="Calibri"/>
                      <w:b/>
                      <w:w w:val="70"/>
                      <w:sz w:val="20"/>
                      <w:szCs w:val="20"/>
                      <w:lang w:eastAsia="zh-CN"/>
                    </w:rPr>
                    <w:t>华福</w:t>
                  </w:r>
                  <w:r>
                    <w:rPr>
                      <w:rFonts w:eastAsia="楷体_GB2312" w:cs="Calibri"/>
                      <w:b/>
                      <w:w w:val="70"/>
                      <w:sz w:val="20"/>
                      <w:szCs w:val="20"/>
                    </w:rPr>
                    <w:t>国际非评级研究：</w:t>
                  </w:r>
                  <w:r>
                    <w:rPr>
                      <w:rFonts w:eastAsia="楷体_GB2312" w:cs="Calibri"/>
                      <w:bCs/>
                      <w:w w:val="70"/>
                      <w:sz w:val="20"/>
                      <w:szCs w:val="20"/>
                      <w:lang w:eastAsia="zh-CN"/>
                    </w:rPr>
                    <w:t>华福</w:t>
                  </w:r>
                  <w:r>
                    <w:rPr>
                      <w:rFonts w:eastAsia="楷体_GB2312" w:cs="Calibri"/>
                      <w:w w:val="70"/>
                      <w:sz w:val="20"/>
                      <w:szCs w:val="20"/>
                    </w:rPr>
                    <w:t>国际发布</w:t>
                  </w:r>
                  <w:r>
                    <w:rPr>
                      <w:rFonts w:eastAsia="楷体_GB2312" w:cs="Calibri"/>
                      <w:w w:val="70"/>
                      <w:sz w:val="20"/>
                      <w:szCs w:val="20"/>
                      <w:lang w:eastAsia="zh-CN"/>
                    </w:rPr>
                    <w:t>计</w:t>
                  </w:r>
                  <w:r>
                    <w:rPr>
                      <w:rFonts w:eastAsia="楷体_GB2312" w:cs="Calibri"/>
                      <w:w w:val="70"/>
                      <w:sz w:val="20"/>
                      <w:szCs w:val="20"/>
                    </w:rPr>
                    <w:t>量、筛选或短篇报告，并在报告中根据估值和其他指标对股票进行排名，或者基于可能的估值倍数提出建议价格。这种排名或建议价格并非为了进行股票评级、提出目标价格或进行基本面估值，而仅供参考使用。</w:t>
                  </w:r>
                </w:p>
                <w:p w14:paraId="60E5562A">
                  <w:pPr>
                    <w:pStyle w:val="44"/>
                    <w:rPr>
                      <w:rFonts w:eastAsia="楷体_GB2312" w:cs="Calibri"/>
                      <w:w w:val="70"/>
                      <w:sz w:val="20"/>
                      <w:szCs w:val="20"/>
                      <w:lang w:eastAsia="zh-CN"/>
                    </w:rPr>
                  </w:pPr>
                  <w:r>
                    <w:rPr>
                      <w:rFonts w:eastAsia="楷体_GB2312" w:cs="Calibri"/>
                      <w:b/>
                      <w:w w:val="70"/>
                      <w:sz w:val="20"/>
                      <w:szCs w:val="20"/>
                      <w:lang w:eastAsia="zh-CN"/>
                    </w:rPr>
                    <w:t>HuaFu</w:t>
                  </w:r>
                  <w:r>
                    <w:rPr>
                      <w:rFonts w:eastAsia="楷体_GB2312" w:cs="Calibri"/>
                      <w:b/>
                      <w:w w:val="70"/>
                      <w:sz w:val="20"/>
                      <w:szCs w:val="20"/>
                    </w:rPr>
                    <w:t xml:space="preserve"> International Non-Rated Research</w:t>
                  </w:r>
                  <w:r>
                    <w:rPr>
                      <w:rFonts w:eastAsia="楷体_GB2312" w:cs="Calibri"/>
                      <w:b/>
                      <w:bCs/>
                      <w:w w:val="70"/>
                      <w:sz w:val="20"/>
                      <w:szCs w:val="20"/>
                    </w:rPr>
                    <w:t>:</w:t>
                  </w:r>
                  <w:r>
                    <w:rPr>
                      <w:rFonts w:eastAsia="楷体_GB2312" w:cs="Calibri"/>
                      <w:w w:val="70"/>
                      <w:sz w:val="20"/>
                      <w:szCs w:val="20"/>
                    </w:rPr>
                    <w:t xml:space="preserve">  </w:t>
                  </w:r>
                  <w:r>
                    <w:rPr>
                      <w:rFonts w:eastAsia="楷体_GB2312" w:cs="Calibri"/>
                      <w:w w:val="70"/>
                      <w:sz w:val="20"/>
                      <w:szCs w:val="20"/>
                      <w:lang w:eastAsia="zh-CN"/>
                    </w:rPr>
                    <w:t>HuaFu</w:t>
                  </w:r>
                  <w:r>
                    <w:rPr>
                      <w:rFonts w:eastAsia="楷体_GB2312" w:cs="Calibri"/>
                      <w:w w:val="70"/>
                      <w:sz w:val="20"/>
                      <w:szCs w:val="20"/>
                    </w:rPr>
                    <w:t xml:space="preserve"> International publishes quantitative, screening or short reports which may rank stocks according to valuation and other metrics or may suggest prices based on possible valuation multiples. Such rankings or suggested prices do not purport to be stock ratings or target prices or fundamental values and are for information only.</w:t>
                  </w:r>
                </w:p>
              </w:tc>
            </w:tr>
            <w:tr w14:paraId="7E33AFD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56E389D2">
                  <w:pPr>
                    <w:pStyle w:val="44"/>
                    <w:spacing w:after="60"/>
                    <w:rPr>
                      <w:rFonts w:eastAsia="楷体_GB2312" w:cs="Calibri"/>
                      <w:w w:val="70"/>
                      <w:sz w:val="20"/>
                      <w:szCs w:val="20"/>
                      <w:lang w:eastAsia="zh-CN"/>
                    </w:rPr>
                  </w:pPr>
                  <w:r>
                    <w:rPr>
                      <w:rFonts w:eastAsia="楷体_GB2312" w:cs="Calibri"/>
                      <w:b/>
                      <w:w w:val="70"/>
                      <w:sz w:val="20"/>
                      <w:szCs w:val="20"/>
                      <w:lang w:eastAsia="zh-CN"/>
                    </w:rPr>
                    <w:t>华福</w:t>
                  </w:r>
                  <w:r>
                    <w:rPr>
                      <w:rFonts w:eastAsia="楷体_GB2312" w:cs="Calibri"/>
                      <w:b/>
                      <w:w w:val="70"/>
                      <w:sz w:val="20"/>
                      <w:szCs w:val="20"/>
                    </w:rPr>
                    <w:t>国际</w:t>
                  </w:r>
                  <w:r>
                    <w:rPr>
                      <w:rFonts w:eastAsia="楷体_GB2312" w:cs="Calibri"/>
                      <w:b/>
                      <w:w w:val="70"/>
                      <w:sz w:val="20"/>
                      <w:szCs w:val="20"/>
                      <w:lang w:eastAsia="zh-CN"/>
                    </w:rPr>
                    <w:t>A股覆盖</w:t>
                  </w:r>
                  <w:r>
                    <w:rPr>
                      <w:rFonts w:eastAsia="楷体_GB2312" w:cs="Calibri"/>
                      <w:b/>
                      <w:w w:val="70"/>
                      <w:sz w:val="20"/>
                      <w:szCs w:val="20"/>
                    </w:rPr>
                    <w:t>：</w:t>
                  </w:r>
                  <w:r>
                    <w:rPr>
                      <w:rFonts w:eastAsia="楷体_GB2312" w:cs="Calibri"/>
                      <w:bCs/>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可能会就中国A股进行覆盖及评级。华福证券，华福国际于福州的母公司，也会于中国发布中国A股的研究报告。但是，华福</w:t>
                  </w:r>
                  <w:r>
                    <w:rPr>
                      <w:rFonts w:eastAsia="楷体_GB2312" w:cs="Calibri"/>
                      <w:w w:val="70"/>
                      <w:sz w:val="20"/>
                      <w:szCs w:val="20"/>
                    </w:rPr>
                    <w:t>国际</w:t>
                  </w:r>
                  <w:r>
                    <w:rPr>
                      <w:rFonts w:eastAsia="楷体_GB2312" w:cs="Calibri"/>
                      <w:w w:val="70"/>
                      <w:sz w:val="20"/>
                      <w:szCs w:val="20"/>
                      <w:lang w:eastAsia="zh-CN"/>
                    </w:rPr>
                    <w:t>使用与华福证券不同的评级系统，且可能有完全独立的不同研究覆盖团队，所以华福</w:t>
                  </w:r>
                  <w:r>
                    <w:rPr>
                      <w:rFonts w:eastAsia="楷体_GB2312" w:cs="Calibri"/>
                      <w:w w:val="70"/>
                      <w:sz w:val="20"/>
                      <w:szCs w:val="20"/>
                    </w:rPr>
                    <w:t>国际</w:t>
                  </w:r>
                  <w:r>
                    <w:rPr>
                      <w:rFonts w:eastAsia="楷体_GB2312" w:cs="Calibri"/>
                      <w:w w:val="70"/>
                      <w:sz w:val="20"/>
                      <w:szCs w:val="20"/>
                      <w:lang w:eastAsia="zh-CN"/>
                    </w:rPr>
                    <w:t>与华福证券的中国A股评级、目标价乃至分析逻辑可能有所不同。</w:t>
                  </w:r>
                </w:p>
                <w:p w14:paraId="722B3240">
                  <w:pPr>
                    <w:pStyle w:val="44"/>
                    <w:rPr>
                      <w:rFonts w:eastAsia="楷体_GB2312" w:cs="Calibri"/>
                      <w:w w:val="70"/>
                      <w:sz w:val="20"/>
                      <w:szCs w:val="20"/>
                    </w:rPr>
                  </w:pPr>
                  <w:r>
                    <w:rPr>
                      <w:rFonts w:eastAsia="楷体_GB2312" w:cs="Calibri"/>
                      <w:b/>
                      <w:w w:val="70"/>
                      <w:sz w:val="20"/>
                      <w:szCs w:val="20"/>
                      <w:lang w:eastAsia="zh-CN"/>
                    </w:rPr>
                    <w:t>HuaFu</w:t>
                  </w:r>
                  <w:r>
                    <w:rPr>
                      <w:rFonts w:eastAsia="楷体_GB2312" w:cs="Calibri"/>
                      <w:b/>
                      <w:w w:val="70"/>
                      <w:sz w:val="20"/>
                      <w:szCs w:val="20"/>
                    </w:rPr>
                    <w:t xml:space="preserve"> International Coverage of A-Shares</w:t>
                  </w:r>
                  <w:r>
                    <w:rPr>
                      <w:rFonts w:eastAsia="楷体_GB2312" w:cs="Calibri"/>
                      <w:b/>
                      <w:bCs/>
                      <w:w w:val="70"/>
                      <w:sz w:val="20"/>
                      <w:szCs w:val="20"/>
                    </w:rPr>
                    <w:t>:</w:t>
                  </w:r>
                  <w:r>
                    <w:rPr>
                      <w:rFonts w:eastAsia="楷体_GB2312" w:cs="Calibri"/>
                      <w:w w:val="70"/>
                      <w:sz w:val="20"/>
                      <w:szCs w:val="20"/>
                    </w:rPr>
                    <w:t xml:space="preserve">  </w:t>
                  </w:r>
                  <w:r>
                    <w:rPr>
                      <w:rFonts w:eastAsia="楷体_GB2312" w:cs="Calibri"/>
                      <w:w w:val="70"/>
                      <w:sz w:val="20"/>
                      <w:szCs w:val="20"/>
                      <w:lang w:eastAsia="zh-CN"/>
                    </w:rPr>
                    <w:t>HuaFu</w:t>
                  </w:r>
                  <w:r>
                    <w:rPr>
                      <w:rFonts w:eastAsia="楷体_GB2312" w:cs="Calibri"/>
                      <w:w w:val="70"/>
                      <w:sz w:val="20"/>
                      <w:szCs w:val="20"/>
                    </w:rPr>
                    <w:t xml:space="preserve"> International may cover and rate A-Shares . </w:t>
                  </w:r>
                  <w:r>
                    <w:rPr>
                      <w:rFonts w:eastAsia="楷体_GB2312" w:cs="Calibri"/>
                      <w:w w:val="70"/>
                      <w:sz w:val="20"/>
                      <w:szCs w:val="20"/>
                      <w:lang w:eastAsia="zh-CN"/>
                    </w:rPr>
                    <w:t>HuaFu</w:t>
                  </w:r>
                  <w:r>
                    <w:rPr>
                      <w:rFonts w:eastAsia="楷体_GB2312" w:cs="Calibri"/>
                      <w:w w:val="70"/>
                      <w:sz w:val="20"/>
                      <w:szCs w:val="20"/>
                    </w:rPr>
                    <w:t xml:space="preserve"> Securities, the ultimate parent company of </w:t>
                  </w:r>
                  <w:r>
                    <w:rPr>
                      <w:rFonts w:eastAsia="楷体_GB2312" w:cs="Calibri"/>
                      <w:w w:val="70"/>
                      <w:sz w:val="20"/>
                      <w:szCs w:val="20"/>
                      <w:lang w:eastAsia="zh-CN"/>
                    </w:rPr>
                    <w:t>HuaFu International</w:t>
                  </w:r>
                  <w:r>
                    <w:rPr>
                      <w:rFonts w:eastAsia="楷体_GB2312" w:cs="Calibri"/>
                      <w:w w:val="70"/>
                      <w:sz w:val="20"/>
                      <w:szCs w:val="20"/>
                    </w:rPr>
                    <w:t xml:space="preserve"> based in </w:t>
                  </w:r>
                  <w:r>
                    <w:rPr>
                      <w:rFonts w:eastAsia="楷体_GB2312" w:cs="Calibri"/>
                      <w:w w:val="70"/>
                      <w:sz w:val="20"/>
                      <w:szCs w:val="20"/>
                      <w:lang w:eastAsia="zh-CN"/>
                    </w:rPr>
                    <w:t>FuZhou</w:t>
                  </w:r>
                  <w:r>
                    <w:rPr>
                      <w:rFonts w:eastAsia="楷体_GB2312" w:cs="Calibri"/>
                      <w:w w:val="70"/>
                      <w:sz w:val="20"/>
                      <w:szCs w:val="20"/>
                    </w:rPr>
                    <w:t>, covers and publishes research on these same A-Shares for distribution in mainland China. However, the rating system employed by H</w:t>
                  </w:r>
                  <w:r>
                    <w:rPr>
                      <w:rFonts w:eastAsia="楷体_GB2312" w:cs="Calibri"/>
                      <w:w w:val="70"/>
                      <w:sz w:val="20"/>
                      <w:szCs w:val="20"/>
                      <w:lang w:eastAsia="zh-CN"/>
                    </w:rPr>
                    <w:t>uaFu International</w:t>
                  </w:r>
                  <w:r>
                    <w:rPr>
                      <w:rFonts w:eastAsia="楷体_GB2312" w:cs="Calibri"/>
                      <w:w w:val="70"/>
                      <w:sz w:val="20"/>
                      <w:szCs w:val="20"/>
                    </w:rPr>
                    <w:t xml:space="preserve"> differs from that used by </w:t>
                  </w:r>
                  <w:r>
                    <w:rPr>
                      <w:rFonts w:eastAsia="楷体_GB2312" w:cs="Calibri"/>
                      <w:w w:val="70"/>
                      <w:sz w:val="20"/>
                      <w:szCs w:val="20"/>
                      <w:lang w:eastAsia="zh-CN"/>
                    </w:rPr>
                    <w:t>HuaFu Securites</w:t>
                  </w:r>
                  <w:r>
                    <w:rPr>
                      <w:rFonts w:eastAsia="楷体_GB2312" w:cs="Calibri"/>
                      <w:w w:val="70"/>
                      <w:sz w:val="20"/>
                      <w:szCs w:val="20"/>
                    </w:rPr>
                    <w:t xml:space="preserve"> and </w:t>
                  </w:r>
                  <w:r>
                    <w:rPr>
                      <w:rFonts w:eastAsia="楷体_GB2312" w:cs="Calibri"/>
                      <w:w w:val="70"/>
                      <w:sz w:val="20"/>
                      <w:szCs w:val="20"/>
                      <w:lang w:eastAsia="zh-CN"/>
                    </w:rPr>
                    <w:t xml:space="preserve">even the teams covering the same A-share stocks might be totally independently different, </w:t>
                  </w:r>
                  <w:r>
                    <w:rPr>
                      <w:rFonts w:eastAsia="楷体_GB2312" w:cs="Calibri"/>
                      <w:w w:val="70"/>
                      <w:sz w:val="20"/>
                      <w:szCs w:val="20"/>
                    </w:rPr>
                    <w:t xml:space="preserve">as a result there may be a difference in </w:t>
                  </w:r>
                  <w:r>
                    <w:rPr>
                      <w:rFonts w:eastAsia="楷体_GB2312" w:cs="Calibri"/>
                      <w:w w:val="70"/>
                      <w:sz w:val="20"/>
                      <w:szCs w:val="20"/>
                      <w:lang w:eastAsia="zh-CN"/>
                    </w:rPr>
                    <w:t>their coverage</w:t>
                  </w:r>
                  <w:r>
                    <w:rPr>
                      <w:rFonts w:eastAsia="楷体_GB2312" w:cs="Calibri"/>
                      <w:w w:val="70"/>
                      <w:sz w:val="20"/>
                      <w:szCs w:val="20"/>
                    </w:rPr>
                    <w:t xml:space="preserve"> ratings</w:t>
                  </w:r>
                  <w:r>
                    <w:rPr>
                      <w:rFonts w:eastAsia="楷体_GB2312" w:cs="Calibri"/>
                      <w:w w:val="70"/>
                      <w:sz w:val="20"/>
                      <w:szCs w:val="20"/>
                      <w:lang w:eastAsia="zh-CN"/>
                    </w:rPr>
                    <w:t>, target prices</w:t>
                  </w:r>
                  <w:r>
                    <w:rPr>
                      <w:rFonts w:eastAsia="楷体_GB2312" w:cs="Calibri"/>
                      <w:w w:val="70"/>
                      <w:sz w:val="20"/>
                      <w:szCs w:val="20"/>
                    </w:rPr>
                    <w:t xml:space="preserve"> </w:t>
                  </w:r>
                  <w:r>
                    <w:rPr>
                      <w:rFonts w:eastAsia="楷体_GB2312" w:cs="Calibri"/>
                      <w:w w:val="70"/>
                      <w:sz w:val="20"/>
                      <w:szCs w:val="20"/>
                      <w:lang w:eastAsia="zh-CN"/>
                    </w:rPr>
                    <w:t xml:space="preserve">and research logics </w:t>
                  </w:r>
                  <w:r>
                    <w:rPr>
                      <w:rFonts w:eastAsia="楷体_GB2312" w:cs="Calibri"/>
                      <w:w w:val="70"/>
                      <w:sz w:val="20"/>
                      <w:szCs w:val="20"/>
                    </w:rPr>
                    <w:t>for the same A-share stocks.</w:t>
                  </w:r>
                </w:p>
              </w:tc>
            </w:tr>
            <w:tr w14:paraId="0132E0B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1FEDCF35">
                  <w:pPr>
                    <w:pStyle w:val="44"/>
                    <w:rPr>
                      <w:rFonts w:eastAsia="楷体_GB2312" w:cs="Calibri"/>
                      <w:w w:val="70"/>
                      <w:sz w:val="20"/>
                      <w:szCs w:val="20"/>
                    </w:rPr>
                  </w:pPr>
                </w:p>
              </w:tc>
            </w:tr>
            <w:tr w14:paraId="4E28AED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c>
                <w:tcPr>
                  <w:tcW w:w="11196" w:type="dxa"/>
                  <w:tcBorders>
                    <w:top w:val="single" w:color="C0C0C0" w:sz="4" w:space="0"/>
                    <w:bottom w:val="single" w:color="C0C0C0" w:sz="4" w:space="0"/>
                  </w:tcBorders>
                </w:tcPr>
                <w:p w14:paraId="17E3E317">
                  <w:pPr>
                    <w:pStyle w:val="44"/>
                    <w:spacing w:after="60"/>
                    <w:rPr>
                      <w:rFonts w:eastAsia="楷体_GB2312" w:cs="Calibri"/>
                      <w:b/>
                      <w:w w:val="70"/>
                      <w:sz w:val="20"/>
                      <w:szCs w:val="20"/>
                    </w:rPr>
                  </w:pPr>
                  <w:r>
                    <w:rPr>
                      <w:rFonts w:eastAsia="楷体_GB2312" w:cs="Calibri"/>
                      <w:b/>
                      <w:w w:val="70"/>
                      <w:sz w:val="20"/>
                      <w:szCs w:val="20"/>
                    </w:rPr>
                    <w:t>重要免责声明：</w:t>
                  </w:r>
                </w:p>
                <w:p w14:paraId="1C8BA095">
                  <w:pPr>
                    <w:pStyle w:val="44"/>
                    <w:spacing w:after="60"/>
                    <w:rPr>
                      <w:rFonts w:eastAsia="楷体_GB2312" w:cs="Calibri"/>
                      <w:w w:val="70"/>
                      <w:sz w:val="20"/>
                      <w:szCs w:val="20"/>
                    </w:rPr>
                  </w:pPr>
                  <w:r>
                    <w:rPr>
                      <w:rFonts w:eastAsia="楷体_GB2312" w:cs="Calibri"/>
                      <w:w w:val="70"/>
                      <w:sz w:val="20"/>
                      <w:szCs w:val="20"/>
                    </w:rPr>
                    <w:t>本报告由</w:t>
                  </w:r>
                  <w:r>
                    <w:rPr>
                      <w:rFonts w:eastAsia="楷体_GB2312" w:cs="Calibri"/>
                      <w:w w:val="70"/>
                      <w:sz w:val="20"/>
                      <w:szCs w:val="20"/>
                      <w:lang w:eastAsia="zh-CN"/>
                    </w:rPr>
                    <w:t>华福</w:t>
                  </w:r>
                  <w:r>
                    <w:rPr>
                      <w:rFonts w:eastAsia="楷体_GB2312" w:cs="Calibri"/>
                      <w:w w:val="70"/>
                      <w:sz w:val="20"/>
                      <w:szCs w:val="20"/>
                    </w:rPr>
                    <w:t>国际发行，该公司</w:t>
                  </w:r>
                  <w:r>
                    <w:rPr>
                      <w:rFonts w:eastAsia="楷体_GB2312" w:cs="Calibri"/>
                      <w:w w:val="70"/>
                      <w:sz w:val="20"/>
                      <w:szCs w:val="20"/>
                      <w:lang w:eastAsia="zh-CN"/>
                    </w:rPr>
                    <w:t>是根据</w:t>
                  </w:r>
                  <w:r>
                    <w:rPr>
                      <w:rFonts w:eastAsia="楷体_GB2312" w:cs="Calibri"/>
                      <w:w w:val="70"/>
                      <w:sz w:val="20"/>
                      <w:szCs w:val="20"/>
                    </w:rPr>
                    <w:t>香港证券及期货条例（第</w:t>
                  </w:r>
                  <w:r>
                    <w:rPr>
                      <w:rFonts w:eastAsia="楷体_GB2312" w:cs="Calibri"/>
                      <w:w w:val="70"/>
                      <w:sz w:val="20"/>
                      <w:szCs w:val="20"/>
                      <w:lang w:eastAsia="zh-CN"/>
                    </w:rPr>
                    <w:t>571</w:t>
                  </w:r>
                  <w:r>
                    <w:rPr>
                      <w:rFonts w:eastAsia="楷体_GB2312" w:cs="Calibri"/>
                      <w:w w:val="70"/>
                      <w:sz w:val="20"/>
                      <w:szCs w:val="20"/>
                    </w:rPr>
                    <w:t>章）</w:t>
                  </w:r>
                  <w:r>
                    <w:rPr>
                      <w:rFonts w:eastAsia="楷体_GB2312" w:cs="Calibri"/>
                      <w:w w:val="70"/>
                      <w:sz w:val="20"/>
                      <w:szCs w:val="20"/>
                      <w:lang w:eastAsia="zh-CN"/>
                    </w:rPr>
                    <w:t>持有</w:t>
                  </w:r>
                  <w:r>
                    <w:rPr>
                      <w:rFonts w:eastAsia="楷体_GB2312" w:cs="Calibri"/>
                      <w:w w:val="70"/>
                      <w:sz w:val="20"/>
                      <w:szCs w:val="20"/>
                    </w:rPr>
                    <w:t>第</w:t>
                  </w:r>
                  <w:r>
                    <w:rPr>
                      <w:rFonts w:eastAsia="楷体_GB2312" w:cs="Calibri"/>
                      <w:w w:val="70"/>
                      <w:sz w:val="20"/>
                      <w:szCs w:val="20"/>
                      <w:lang w:eastAsia="zh-CN"/>
                    </w:rPr>
                    <w:t>4</w:t>
                  </w:r>
                  <w:r>
                    <w:rPr>
                      <w:rFonts w:eastAsia="楷体_GB2312" w:cs="Calibri"/>
                      <w:w w:val="70"/>
                      <w:sz w:val="20"/>
                      <w:szCs w:val="20"/>
                    </w:rPr>
                    <w:t>类受规管活动（就证券提供意见）的持牌法团。</w:t>
                  </w:r>
                </w:p>
                <w:p w14:paraId="339C2E16">
                  <w:pPr>
                    <w:pStyle w:val="44"/>
                    <w:spacing w:after="60"/>
                    <w:rPr>
                      <w:rFonts w:eastAsia="楷体_GB2312" w:cs="Calibri"/>
                      <w:w w:val="70"/>
                      <w:sz w:val="20"/>
                      <w:szCs w:val="20"/>
                    </w:rPr>
                  </w:pPr>
                  <w:r>
                    <w:rPr>
                      <w:rFonts w:eastAsia="楷体_GB2312" w:cs="Calibri"/>
                      <w:w w:val="70"/>
                      <w:sz w:val="20"/>
                      <w:szCs w:val="20"/>
                    </w:rPr>
                    <w:t>本文件所载信息和观点已被编译或源自可靠来源，但</w:t>
                  </w:r>
                  <w:r>
                    <w:rPr>
                      <w:rFonts w:eastAsia="楷体_GB2312" w:cs="Calibri"/>
                      <w:w w:val="70"/>
                      <w:sz w:val="20"/>
                      <w:szCs w:val="20"/>
                      <w:lang w:eastAsia="zh-CN"/>
                    </w:rPr>
                    <w:t>华福国际</w:t>
                  </w:r>
                  <w:r>
                    <w:rPr>
                      <w:rFonts w:eastAsia="楷体_GB2312" w:cs="Calibri"/>
                      <w:w w:val="70"/>
                      <w:sz w:val="20"/>
                      <w:szCs w:val="20"/>
                    </w:rPr>
                    <w:t>或任何其他属于</w:t>
                  </w:r>
                  <w:r>
                    <w:rPr>
                      <w:rFonts w:eastAsia="楷体_GB2312" w:cs="Calibri"/>
                      <w:w w:val="70"/>
                      <w:sz w:val="20"/>
                      <w:szCs w:val="20"/>
                      <w:lang w:eastAsia="zh-CN"/>
                    </w:rPr>
                    <w:t>华福</w:t>
                  </w:r>
                  <w:r>
                    <w:rPr>
                      <w:rFonts w:eastAsia="楷体_GB2312" w:cs="Calibri"/>
                      <w:w w:val="70"/>
                      <w:sz w:val="20"/>
                      <w:szCs w:val="20"/>
                    </w:rPr>
                    <w:t>国际的成员对其准确性、完整性和正确性不做任何明示或暗示的声明或保证。本文件中所有观点均截至本报告日期，如有更改，恕不另行通知。本文件仅供参考使用。文件中提及的任何公司或其股票的说明并非意图展示完整的内容，本文件并非</w:t>
                  </w:r>
                  <w:r>
                    <w:rPr>
                      <w:rFonts w:eastAsia="楷体_GB2312" w:cs="Calibri"/>
                      <w:w w:val="70"/>
                      <w:sz w:val="20"/>
                      <w:szCs w:val="20"/>
                      <w:lang w:eastAsia="zh-CN"/>
                    </w:rPr>
                    <w:t>/</w:t>
                  </w:r>
                  <w:r>
                    <w:rPr>
                      <w:rFonts w:eastAsia="楷体_GB2312" w:cs="Calibri"/>
                      <w:w w:val="70"/>
                      <w:sz w:val="20"/>
                      <w:szCs w:val="20"/>
                    </w:rPr>
                    <w:t>不应被解释为对证券买卖的明示或暗示地出价或征价。在某些司法管辖区，本文件中提及的证券可能无法进行买卖。如果投资产品以投资者本国货币以外的币种进行计价，则汇率变化可能会对投资产生不利影响。过去的表现并不一定代表将来的结果。某些特定交易，包括设计金融衍生工具的，有产生重大风险的可能性，因此并不适合所有的投资者。您还应认识到本文件中的建议并非为您量身定制。分析师并未考虑到您自身的财务情况，如您的财务状况和风险偏好。因此您必须自行分析并在适用的情况下咨询自己的法律、税收、会计、金融和其他方面的专业顾问，以期在投资之前评估该项建议是否适合于您。若由于使用本文件所载的材料而产生任何直接或间接的损失，</w:t>
                  </w:r>
                  <w:r>
                    <w:rPr>
                      <w:rFonts w:eastAsia="楷体_GB2312" w:cs="Calibri"/>
                      <w:w w:val="70"/>
                      <w:sz w:val="20"/>
                      <w:szCs w:val="20"/>
                      <w:lang w:eastAsia="zh-CN"/>
                    </w:rPr>
                    <w:t>华福国际</w:t>
                  </w:r>
                  <w:r>
                    <w:rPr>
                      <w:rFonts w:eastAsia="楷体_GB2312" w:cs="Calibri"/>
                      <w:w w:val="70"/>
                      <w:sz w:val="20"/>
                      <w:szCs w:val="20"/>
                    </w:rPr>
                    <w:t xml:space="preserve">及其董事、雇员或代理人对此均不承担任何责任。 </w:t>
                  </w:r>
                </w:p>
                <w:p w14:paraId="09A0DBCC">
                  <w:pPr>
                    <w:pStyle w:val="44"/>
                    <w:spacing w:after="60"/>
                    <w:rPr>
                      <w:rFonts w:eastAsia="楷体_GB2312" w:cs="Calibri"/>
                      <w:w w:val="70"/>
                      <w:sz w:val="20"/>
                      <w:szCs w:val="20"/>
                    </w:rPr>
                  </w:pPr>
                  <w:r>
                    <w:rPr>
                      <w:rFonts w:eastAsia="楷体_GB2312" w:cs="Calibri"/>
                      <w:w w:val="70"/>
                      <w:sz w:val="20"/>
                      <w:szCs w:val="20"/>
                    </w:rPr>
                    <w:t>除对本文内容承担责任的分析师除外，</w:t>
                  </w:r>
                  <w:r>
                    <w:rPr>
                      <w:rFonts w:eastAsia="楷体_GB2312" w:cs="Calibri"/>
                      <w:w w:val="70"/>
                      <w:sz w:val="20"/>
                      <w:szCs w:val="20"/>
                      <w:lang w:eastAsia="zh-CN"/>
                    </w:rPr>
                    <w:t>华福国际</w:t>
                  </w:r>
                  <w:r>
                    <w:rPr>
                      <w:rFonts w:eastAsia="楷体_GB2312" w:cs="Calibri"/>
                      <w:w w:val="70"/>
                      <w:sz w:val="20"/>
                      <w:szCs w:val="20"/>
                    </w:rPr>
                    <w:t>及我们的关联公司、高级管理人员、董事和雇员，均可不时作为</w:t>
                  </w:r>
                  <w:r>
                    <w:rPr>
                      <w:rFonts w:eastAsia="楷体_GB2312" w:cs="Calibri"/>
                      <w:w w:val="70"/>
                      <w:sz w:val="20"/>
                      <w:szCs w:val="20"/>
                      <w:lang w:eastAsia="zh-CN"/>
                    </w:rPr>
                    <w:t>主事人</w:t>
                  </w:r>
                  <w:r>
                    <w:rPr>
                      <w:rFonts w:eastAsia="楷体_GB2312" w:cs="Calibri"/>
                      <w:w w:val="70"/>
                      <w:sz w:val="20"/>
                      <w:szCs w:val="20"/>
                    </w:rPr>
                    <w:t>就本文件所述的任何证券或衍生品持有长仓或短仓以及进行买卖。</w:t>
                  </w:r>
                  <w:r>
                    <w:rPr>
                      <w:rFonts w:eastAsia="楷体_GB2312" w:cs="Calibri"/>
                      <w:w w:val="70"/>
                      <w:sz w:val="20"/>
                      <w:szCs w:val="20"/>
                      <w:lang w:eastAsia="zh-CN"/>
                    </w:rPr>
                    <w:t>华福国际</w:t>
                  </w:r>
                  <w:r>
                    <w:rPr>
                      <w:rFonts w:eastAsia="楷体_GB2312" w:cs="Calibri"/>
                      <w:w w:val="70"/>
                      <w:sz w:val="20"/>
                      <w:szCs w:val="20"/>
                    </w:rPr>
                    <w:t>的销售员、交易员和其他专业人士均可向</w:t>
                  </w:r>
                  <w:r>
                    <w:rPr>
                      <w:rFonts w:eastAsia="楷体_GB2312" w:cs="Calibri"/>
                      <w:w w:val="70"/>
                      <w:sz w:val="20"/>
                      <w:szCs w:val="20"/>
                      <w:lang w:eastAsia="zh-CN"/>
                    </w:rPr>
                    <w:t>华福国际</w:t>
                  </w:r>
                  <w:r>
                    <w:rPr>
                      <w:rFonts w:eastAsia="楷体_GB2312" w:cs="Calibri"/>
                      <w:w w:val="70"/>
                      <w:sz w:val="20"/>
                      <w:szCs w:val="20"/>
                    </w:rPr>
                    <w:t>的相关客户和公司提供与本文件所述意见相反的口头或书面市场评论意见或交易策略</w:t>
                  </w:r>
                  <w:r>
                    <w:rPr>
                      <w:rFonts w:eastAsia="楷体_GB2312" w:cs="Calibri"/>
                      <w:w w:val="70"/>
                      <w:sz w:val="20"/>
                      <w:szCs w:val="20"/>
                      <w:lang w:eastAsia="zh-CN"/>
                    </w:rPr>
                    <w:t>。华福国际</w:t>
                  </w:r>
                  <w:r>
                    <w:rPr>
                      <w:rFonts w:eastAsia="楷体_GB2312" w:cs="Calibri"/>
                      <w:w w:val="70"/>
                      <w:sz w:val="20"/>
                      <w:szCs w:val="20"/>
                    </w:rPr>
                    <w:t>可做出与本文件所述建议或意见不一致的投资决策。但</w:t>
                  </w:r>
                  <w:r>
                    <w:rPr>
                      <w:rFonts w:eastAsia="楷体_GB2312" w:cs="Calibri"/>
                      <w:w w:val="70"/>
                      <w:sz w:val="20"/>
                      <w:szCs w:val="20"/>
                      <w:lang w:eastAsia="zh-CN"/>
                    </w:rPr>
                    <w:t>华福国际</w:t>
                  </w:r>
                  <w:r>
                    <w:rPr>
                      <w:rFonts w:eastAsia="楷体_GB2312" w:cs="Calibri"/>
                      <w:w w:val="70"/>
                      <w:sz w:val="20"/>
                      <w:szCs w:val="20"/>
                    </w:rPr>
                    <w:t>没有义务来确保本文件的收件人了解到该等交易</w:t>
                  </w:r>
                  <w:r>
                    <w:rPr>
                      <w:rFonts w:eastAsia="楷体_GB2312" w:cs="Calibri"/>
                      <w:w w:val="70"/>
                      <w:sz w:val="20"/>
                      <w:szCs w:val="20"/>
                      <w:lang w:eastAsia="zh-CN"/>
                    </w:rPr>
                    <w:t>决定、</w:t>
                  </w:r>
                  <w:r>
                    <w:rPr>
                      <w:rFonts w:eastAsia="楷体_GB2312" w:cs="Calibri"/>
                      <w:w w:val="70"/>
                      <w:sz w:val="20"/>
                      <w:szCs w:val="20"/>
                    </w:rPr>
                    <w:t>思路或建议。</w:t>
                  </w:r>
                </w:p>
                <w:p w14:paraId="7B1CDC1D">
                  <w:pPr>
                    <w:pStyle w:val="44"/>
                    <w:spacing w:after="60"/>
                    <w:rPr>
                      <w:rFonts w:eastAsia="楷体_GB2312" w:cs="Calibri"/>
                      <w:snapToGrid/>
                      <w:w w:val="70"/>
                      <w:sz w:val="20"/>
                      <w:szCs w:val="20"/>
                    </w:rPr>
                  </w:pPr>
                  <w:r>
                    <w:rPr>
                      <w:rFonts w:eastAsia="楷体_GB2312" w:cs="Calibri"/>
                      <w:snapToGrid/>
                      <w:w w:val="70"/>
                      <w:sz w:val="20"/>
                      <w:szCs w:val="20"/>
                    </w:rPr>
                    <w:t>请访问</w:t>
                  </w:r>
                  <w:r>
                    <w:rPr>
                      <w:rFonts w:eastAsia="楷体_GB2312" w:cs="Calibri"/>
                      <w:snapToGrid/>
                      <w:w w:val="70"/>
                      <w:sz w:val="20"/>
                      <w:szCs w:val="20"/>
                      <w:lang w:eastAsia="zh-CN"/>
                    </w:rPr>
                    <w:t>华福</w:t>
                  </w:r>
                  <w:r>
                    <w:rPr>
                      <w:rFonts w:eastAsia="楷体_GB2312" w:cs="Calibri"/>
                      <w:w w:val="70"/>
                      <w:sz w:val="20"/>
                      <w:szCs w:val="20"/>
                    </w:rPr>
                    <w:t>国际</w:t>
                  </w:r>
                  <w:r>
                    <w:rPr>
                      <w:rFonts w:eastAsia="楷体_GB2312" w:cs="Calibri"/>
                      <w:snapToGrid/>
                      <w:w w:val="70"/>
                      <w:sz w:val="20"/>
                      <w:szCs w:val="20"/>
                    </w:rPr>
                    <w:t>网站</w:t>
                  </w:r>
                  <w:r>
                    <w:rPr>
                      <w:rFonts w:eastAsia="楷体_GB2312" w:cs="Calibri"/>
                      <w:snapToGrid/>
                      <w:w w:val="70"/>
                      <w:sz w:val="20"/>
                      <w:szCs w:val="20"/>
                      <w:lang w:eastAsia="zh-CN"/>
                    </w:rPr>
                    <w:t xml:space="preserve"> </w:t>
                  </w:r>
                  <w:r>
                    <w:fldChar w:fldCharType="begin"/>
                  </w:r>
                  <w:r>
                    <w:instrText xml:space="preserve"> HYPERLINK "http://www.hfisec.com.hk" </w:instrText>
                  </w:r>
                  <w:r>
                    <w:fldChar w:fldCharType="separate"/>
                  </w:r>
                  <w:r>
                    <w:rPr>
                      <w:rStyle w:val="32"/>
                      <w:rFonts w:eastAsia="楷体_GB2312" w:cs="Calibri"/>
                      <w:snapToGrid/>
                      <w:w w:val="70"/>
                      <w:sz w:val="20"/>
                      <w:szCs w:val="20"/>
                      <w:lang w:eastAsia="zh-CN"/>
                    </w:rPr>
                    <w:t>www.hfisec.com.hk</w:t>
                  </w:r>
                  <w:r>
                    <w:rPr>
                      <w:rStyle w:val="32"/>
                      <w:rFonts w:eastAsia="楷体_GB2312" w:cs="Calibri"/>
                      <w:snapToGrid/>
                      <w:w w:val="70"/>
                      <w:sz w:val="20"/>
                      <w:szCs w:val="20"/>
                      <w:lang w:eastAsia="zh-CN"/>
                    </w:rPr>
                    <w:fldChar w:fldCharType="end"/>
                  </w:r>
                  <w:r>
                    <w:rPr>
                      <w:rFonts w:eastAsia="楷体_GB2312" w:cs="Calibri"/>
                      <w:snapToGrid/>
                      <w:w w:val="70"/>
                      <w:sz w:val="20"/>
                      <w:szCs w:val="20"/>
                      <w:lang w:eastAsia="zh-CN"/>
                    </w:rPr>
                    <w:t xml:space="preserve"> </w:t>
                  </w:r>
                  <w:r>
                    <w:rPr>
                      <w:rFonts w:eastAsia="楷体_GB2312" w:cs="Calibri"/>
                      <w:snapToGrid/>
                      <w:w w:val="70"/>
                      <w:sz w:val="20"/>
                      <w:szCs w:val="20"/>
                    </w:rPr>
                    <w:t>，查阅更多有关</w:t>
                  </w:r>
                  <w:r>
                    <w:rPr>
                      <w:rFonts w:eastAsia="楷体_GB2312" w:cs="Calibri"/>
                      <w:snapToGrid/>
                      <w:w w:val="70"/>
                      <w:sz w:val="20"/>
                      <w:szCs w:val="20"/>
                      <w:lang w:eastAsia="zh-CN"/>
                    </w:rPr>
                    <w:t>华福</w:t>
                  </w:r>
                  <w:r>
                    <w:rPr>
                      <w:rFonts w:eastAsia="楷体_GB2312" w:cs="Calibri"/>
                      <w:w w:val="70"/>
                      <w:sz w:val="20"/>
                      <w:szCs w:val="20"/>
                    </w:rPr>
                    <w:t>国际</w:t>
                  </w:r>
                  <w:r>
                    <w:rPr>
                      <w:rFonts w:eastAsia="楷体_GB2312" w:cs="Calibri"/>
                      <w:snapToGrid/>
                      <w:w w:val="70"/>
                      <w:sz w:val="20"/>
                      <w:szCs w:val="20"/>
                    </w:rPr>
                    <w:t>为预防和避免利益冲突设立的组织和行政安排的内容信息。</w:t>
                  </w:r>
                </w:p>
                <w:p w14:paraId="1D35332B">
                  <w:pPr>
                    <w:pStyle w:val="44"/>
                    <w:spacing w:after="40"/>
                    <w:rPr>
                      <w:rFonts w:eastAsia="楷体_GB2312" w:cs="Calibri"/>
                      <w:b/>
                      <w:bCs/>
                      <w:w w:val="70"/>
                      <w:sz w:val="20"/>
                      <w:szCs w:val="20"/>
                    </w:rPr>
                  </w:pPr>
                  <w:r>
                    <w:rPr>
                      <w:rFonts w:eastAsia="楷体_GB2312" w:cs="Calibri"/>
                      <w:b/>
                      <w:bCs/>
                      <w:w w:val="70"/>
                      <w:sz w:val="20"/>
                      <w:szCs w:val="20"/>
                    </w:rPr>
                    <w:t>IMPORTANT DISCLAIMER</w:t>
                  </w:r>
                </w:p>
                <w:p w14:paraId="1CF8C6C6">
                  <w:pPr>
                    <w:pStyle w:val="44"/>
                    <w:spacing w:after="40"/>
                    <w:rPr>
                      <w:rFonts w:eastAsia="楷体_GB2312" w:cs="Calibri"/>
                      <w:w w:val="70"/>
                      <w:sz w:val="20"/>
                      <w:szCs w:val="20"/>
                    </w:rPr>
                  </w:pPr>
                  <w:r>
                    <w:rPr>
                      <w:rFonts w:eastAsia="楷体_GB2312" w:cs="Calibri"/>
                      <w:w w:val="70"/>
                      <w:sz w:val="20"/>
                      <w:szCs w:val="20"/>
                    </w:rPr>
                    <w:t xml:space="preserve">The research report is issued by </w:t>
                  </w:r>
                  <w:r>
                    <w:rPr>
                      <w:rFonts w:eastAsia="楷体_GB2312" w:cs="Calibri"/>
                      <w:w w:val="70"/>
                      <w:sz w:val="20"/>
                      <w:szCs w:val="20"/>
                      <w:lang w:eastAsia="zh-CN"/>
                    </w:rPr>
                    <w:t>HuaFu</w:t>
                  </w:r>
                  <w:r>
                    <w:rPr>
                      <w:rFonts w:eastAsia="楷体_GB2312" w:cs="Calibri"/>
                      <w:w w:val="70"/>
                      <w:sz w:val="20"/>
                      <w:szCs w:val="20"/>
                    </w:rPr>
                    <w:t xml:space="preserve"> International</w:t>
                  </w:r>
                  <w:r>
                    <w:rPr>
                      <w:rFonts w:eastAsia="楷体_GB2312" w:cs="Calibri"/>
                      <w:w w:val="70"/>
                      <w:sz w:val="20"/>
                      <w:szCs w:val="20"/>
                      <w:lang w:eastAsia="zh-CN"/>
                    </w:rPr>
                    <w:t xml:space="preserve">, </w:t>
                  </w:r>
                  <w:r>
                    <w:rPr>
                      <w:rFonts w:eastAsia="楷体_GB2312" w:cs="Calibri"/>
                      <w:w w:val="70"/>
                      <w:sz w:val="20"/>
                      <w:szCs w:val="20"/>
                    </w:rPr>
                    <w:t>a licensed corporation to carry on Type 4 regulated activity (advising on securities) for the purpose of the Securities and Futures Ordinance (Cap. 571)</w:t>
                  </w:r>
                  <w:r>
                    <w:rPr>
                      <w:rFonts w:eastAsia="楷体_GB2312" w:cs="Calibri"/>
                      <w:w w:val="70"/>
                      <w:sz w:val="20"/>
                      <w:szCs w:val="20"/>
                      <w:lang w:eastAsia="zh-HK"/>
                    </w:rPr>
                    <w:t xml:space="preserve"> of Hong Kong</w:t>
                  </w:r>
                  <w:r>
                    <w:rPr>
                      <w:rFonts w:eastAsia="楷体_GB2312" w:cs="Calibri"/>
                      <w:w w:val="70"/>
                      <w:sz w:val="20"/>
                      <w:szCs w:val="20"/>
                    </w:rPr>
                    <w:t>.</w:t>
                  </w:r>
                </w:p>
                <w:p w14:paraId="0EEE5EB8">
                  <w:pPr>
                    <w:pStyle w:val="44"/>
                    <w:spacing w:after="40"/>
                    <w:rPr>
                      <w:rFonts w:eastAsia="楷体_GB2312" w:cs="Calibri"/>
                      <w:w w:val="70"/>
                      <w:sz w:val="20"/>
                      <w:szCs w:val="20"/>
                    </w:rPr>
                  </w:pPr>
                  <w:r>
                    <w:rPr>
                      <w:rFonts w:eastAsia="楷体_GB2312" w:cs="Calibri"/>
                      <w:w w:val="70"/>
                      <w:sz w:val="20"/>
                      <w:szCs w:val="20"/>
                    </w:rPr>
                    <w:t xml:space="preserve">The information and opinions contained in this research report have been compiled or arrived at from sources believed to be reliable and in good faith but no representation or warranty, express or implied, is made by </w:t>
                  </w:r>
                  <w:r>
                    <w:rPr>
                      <w:rFonts w:eastAsia="楷体_GB2312" w:cs="Calibri"/>
                      <w:w w:val="70"/>
                      <w:sz w:val="20"/>
                      <w:szCs w:val="20"/>
                      <w:lang w:eastAsia="zh-CN"/>
                    </w:rPr>
                    <w:t>HuaFu International</w:t>
                  </w:r>
                  <w:r>
                    <w:rPr>
                      <w:rFonts w:eastAsia="楷体_GB2312" w:cs="Calibri"/>
                      <w:w w:val="70"/>
                      <w:sz w:val="20"/>
                      <w:szCs w:val="20"/>
                    </w:rPr>
                    <w:t xml:space="preserve"> or any other </w:t>
                  </w:r>
                  <w:r>
                    <w:rPr>
                      <w:rFonts w:eastAsia="楷体_GB2312" w:cs="Calibri"/>
                      <w:w w:val="70"/>
                      <w:sz w:val="20"/>
                      <w:szCs w:val="20"/>
                      <w:lang w:eastAsia="zh-CN"/>
                    </w:rPr>
                    <w:t xml:space="preserve">related </w:t>
                  </w:r>
                  <w:r>
                    <w:rPr>
                      <w:rFonts w:eastAsia="楷体_GB2312" w:cs="Calibri"/>
                      <w:w w:val="70"/>
                      <w:sz w:val="20"/>
                      <w:szCs w:val="20"/>
                    </w:rPr>
                    <w:t>members</w:t>
                  </w:r>
                  <w:r>
                    <w:rPr>
                      <w:rFonts w:eastAsia="楷体_GB2312" w:cs="Calibri"/>
                      <w:w w:val="70"/>
                      <w:sz w:val="20"/>
                      <w:szCs w:val="20"/>
                      <w:lang w:eastAsia="zh-CN"/>
                    </w:rPr>
                    <w:t xml:space="preserve"> </w:t>
                  </w:r>
                  <w:r>
                    <w:rPr>
                      <w:rFonts w:eastAsia="楷体_GB2312" w:cs="Calibri"/>
                      <w:w w:val="70"/>
                      <w:sz w:val="20"/>
                      <w:szCs w:val="20"/>
                    </w:rPr>
                    <w:t xml:space="preserve">from which this research report may be received, as to their accuracy, completeness or correctness. All opinions expressed herein are as of the date of this research report and are subject to change without notice. This research report is for information purpose only. Descriptions of any companies or their securities mentioned herein are not intended to be complete and this research report is not, and should not be construed expressly or impliedly as, an offer to buy or sell securities. The securities referred to in this research report may not be eligible for purchase or sale in some jurisdictions. If an investment product is denominated in a currency other than an investor's home currency, a change in exchange rates may adversely affect the investment. Past performance is not necessarily indicative of future results. Certain transactions, including those involving derivatives, give rise to substantial risk and are not suitable for all investors. You should also bear in mind that recommendations in this research report are not tailor-made for you. The analyst has not taken into account your unique financial circumstances, such as your financial situation and risk appetite. You must, therefore, analyze and should, where applicable, consult your own legal, tax, accounting, financial and other professional advisers to evaluate whether the recommendations suits you before investment. Neither </w:t>
                  </w:r>
                  <w:r>
                    <w:rPr>
                      <w:rFonts w:eastAsia="楷体_GB2312" w:cs="Calibri"/>
                      <w:w w:val="70"/>
                      <w:sz w:val="20"/>
                      <w:szCs w:val="20"/>
                      <w:lang w:eastAsia="zh-CN"/>
                    </w:rPr>
                    <w:t>HuaFu International</w:t>
                  </w:r>
                  <w:r>
                    <w:rPr>
                      <w:rFonts w:eastAsia="楷体_GB2312" w:cs="Calibri"/>
                      <w:w w:val="70"/>
                      <w:sz w:val="20"/>
                      <w:szCs w:val="20"/>
                    </w:rPr>
                    <w:t xml:space="preserve"> nor any of its directors, employees or agents accepts any liability whatsoever for any direct or consequential loss arising from any use of the materials contained in this research report. </w:t>
                  </w:r>
                </w:p>
                <w:p w14:paraId="69B46294">
                  <w:pPr>
                    <w:pStyle w:val="44"/>
                    <w:spacing w:after="40"/>
                    <w:rPr>
                      <w:rFonts w:eastAsia="楷体_GB2312" w:cs="Calibri"/>
                      <w:w w:val="70"/>
                      <w:sz w:val="20"/>
                      <w:szCs w:val="20"/>
                    </w:rPr>
                  </w:pPr>
                  <w:r>
                    <w:rPr>
                      <w:rFonts w:eastAsia="楷体_GB2312" w:cs="Calibri"/>
                      <w:w w:val="70"/>
                      <w:sz w:val="20"/>
                      <w:szCs w:val="20"/>
                      <w:lang w:eastAsia="zh-CN"/>
                    </w:rPr>
                    <w:t>HuaFu International</w:t>
                  </w:r>
                  <w:r>
                    <w:rPr>
                      <w:rFonts w:eastAsia="楷体_GB2312" w:cs="Calibri"/>
                      <w:w w:val="70"/>
                      <w:sz w:val="20"/>
                      <w:szCs w:val="20"/>
                    </w:rPr>
                    <w:t xml:space="preserve"> and </w:t>
                  </w:r>
                  <w:r>
                    <w:rPr>
                      <w:rFonts w:eastAsia="楷体_GB2312" w:cs="Calibri"/>
                      <w:w w:val="70"/>
                      <w:sz w:val="20"/>
                      <w:szCs w:val="20"/>
                      <w:lang w:eastAsia="zh-CN"/>
                    </w:rPr>
                    <w:t>its</w:t>
                  </w:r>
                  <w:r>
                    <w:rPr>
                      <w:rFonts w:eastAsia="楷体_GB2312" w:cs="Calibri"/>
                      <w:w w:val="70"/>
                      <w:sz w:val="20"/>
                      <w:szCs w:val="20"/>
                    </w:rPr>
                    <w:t xml:space="preserve"> affiliates, officers, directors, and employees, excluding the analysts responsible for the content of this document, will from time to time have long or short positions in, act as principal in, and buy or sell, the securities or derivatives, if any, referred to in this research report. Sales, traders, and other professionals of </w:t>
                  </w:r>
                  <w:r>
                    <w:rPr>
                      <w:rFonts w:eastAsia="楷体_GB2312" w:cs="Calibri"/>
                      <w:w w:val="70"/>
                      <w:sz w:val="20"/>
                      <w:szCs w:val="20"/>
                      <w:lang w:eastAsia="zh-CN"/>
                    </w:rPr>
                    <w:t xml:space="preserve">HuaFu International </w:t>
                  </w:r>
                  <w:r>
                    <w:rPr>
                      <w:rFonts w:eastAsia="楷体_GB2312" w:cs="Calibri"/>
                      <w:w w:val="70"/>
                      <w:sz w:val="20"/>
                      <w:szCs w:val="20"/>
                    </w:rPr>
                    <w:t xml:space="preserve">may provide oral or written market commentary or trading strategies to the relevant clients and the companies within </w:t>
                  </w:r>
                  <w:r>
                    <w:rPr>
                      <w:rFonts w:eastAsia="楷体_GB2312" w:cs="Calibri"/>
                      <w:w w:val="70"/>
                      <w:sz w:val="20"/>
                      <w:szCs w:val="20"/>
                      <w:lang w:eastAsia="zh-CN"/>
                    </w:rPr>
                    <w:t>HuaFu International</w:t>
                  </w:r>
                  <w:r>
                    <w:rPr>
                      <w:rFonts w:eastAsia="楷体_GB2312" w:cs="Calibri"/>
                      <w:w w:val="70"/>
                      <w:sz w:val="20"/>
                      <w:szCs w:val="20"/>
                    </w:rPr>
                    <w:t xml:space="preserve"> that reflect opinions that are contrary to the opinions expressed in this research report. </w:t>
                  </w:r>
                  <w:r>
                    <w:rPr>
                      <w:rFonts w:eastAsia="楷体_GB2312" w:cs="Calibri"/>
                      <w:w w:val="70"/>
                      <w:sz w:val="20"/>
                      <w:szCs w:val="20"/>
                      <w:lang w:eastAsia="zh-CN"/>
                    </w:rPr>
                    <w:t>HuaFu Internatioal</w:t>
                  </w:r>
                  <w:r>
                    <w:rPr>
                      <w:rFonts w:eastAsia="楷体_GB2312" w:cs="Calibri"/>
                      <w:w w:val="70"/>
                      <w:sz w:val="20"/>
                      <w:szCs w:val="20"/>
                    </w:rPr>
                    <w:t xml:space="preserve"> may make investment decisions that are inconsistent with the recommendations or views expressed in this research report. </w:t>
                  </w:r>
                  <w:r>
                    <w:rPr>
                      <w:rFonts w:eastAsia="楷体_GB2312" w:cs="Calibri"/>
                      <w:w w:val="70"/>
                      <w:sz w:val="20"/>
                      <w:szCs w:val="20"/>
                      <w:lang w:eastAsia="zh-CN"/>
                    </w:rPr>
                    <w:t xml:space="preserve">HuaFu International </w:t>
                  </w:r>
                  <w:r>
                    <w:rPr>
                      <w:rFonts w:eastAsia="楷体_GB2312" w:cs="Calibri"/>
                      <w:w w:val="70"/>
                      <w:sz w:val="20"/>
                      <w:szCs w:val="20"/>
                    </w:rPr>
                    <w:t>is under no obligation to ensure that such other trading decisions, ideas or recommendations are brought to the attention of any recipient of this research report.</w:t>
                  </w:r>
                </w:p>
                <w:p w14:paraId="4836A846">
                  <w:pPr>
                    <w:pStyle w:val="44"/>
                    <w:spacing w:after="40"/>
                    <w:rPr>
                      <w:rFonts w:eastAsia="楷体_GB2312" w:cs="Calibri"/>
                      <w:bCs/>
                      <w:w w:val="70"/>
                      <w:sz w:val="20"/>
                      <w:szCs w:val="20"/>
                    </w:rPr>
                  </w:pPr>
                  <w:r>
                    <w:rPr>
                      <w:rFonts w:eastAsia="楷体_GB2312" w:cs="Calibri"/>
                      <w:bCs/>
                      <w:w w:val="70"/>
                      <w:sz w:val="20"/>
                      <w:szCs w:val="20"/>
                    </w:rPr>
                    <w:t xml:space="preserve">Please refer to </w:t>
                  </w:r>
                  <w:r>
                    <w:rPr>
                      <w:rFonts w:eastAsia="楷体_GB2312" w:cs="Calibri"/>
                      <w:bCs/>
                      <w:w w:val="70"/>
                      <w:sz w:val="20"/>
                      <w:szCs w:val="20"/>
                      <w:lang w:eastAsia="zh-CN"/>
                    </w:rPr>
                    <w:t xml:space="preserve">HuaFu International’s </w:t>
                  </w:r>
                  <w:r>
                    <w:rPr>
                      <w:rFonts w:eastAsia="楷体_GB2312" w:cs="Calibri"/>
                      <w:bCs/>
                      <w:w w:val="70"/>
                      <w:sz w:val="20"/>
                      <w:szCs w:val="20"/>
                    </w:rPr>
                    <w:t xml:space="preserve">website </w:t>
                  </w:r>
                  <w:r>
                    <w:fldChar w:fldCharType="begin"/>
                  </w:r>
                  <w:r>
                    <w:instrText xml:space="preserve"> HYPERLINK "http://www.hfisec.com.hk" </w:instrText>
                  </w:r>
                  <w:r>
                    <w:fldChar w:fldCharType="separate"/>
                  </w:r>
                  <w:r>
                    <w:rPr>
                      <w:rStyle w:val="32"/>
                      <w:rFonts w:eastAsia="楷体_GB2312" w:cs="Calibri"/>
                      <w:bCs/>
                      <w:w w:val="70"/>
                      <w:sz w:val="20"/>
                      <w:szCs w:val="20"/>
                    </w:rPr>
                    <w:t>www.hfisec.com.hk</w:t>
                  </w:r>
                  <w:r>
                    <w:rPr>
                      <w:rStyle w:val="32"/>
                      <w:rFonts w:eastAsia="楷体_GB2312" w:cs="Calibri"/>
                      <w:bCs/>
                      <w:w w:val="70"/>
                      <w:sz w:val="20"/>
                      <w:szCs w:val="20"/>
                    </w:rPr>
                    <w:fldChar w:fldCharType="end"/>
                  </w:r>
                  <w:r>
                    <w:rPr>
                      <w:rFonts w:eastAsia="楷体_GB2312" w:cs="Calibri"/>
                      <w:w w:val="70"/>
                      <w:sz w:val="20"/>
                      <w:szCs w:val="20"/>
                    </w:rPr>
                    <w:t xml:space="preserve"> </w:t>
                  </w:r>
                  <w:r>
                    <w:rPr>
                      <w:rFonts w:eastAsia="楷体_GB2312" w:cs="Calibri"/>
                      <w:bCs/>
                      <w:w w:val="70"/>
                      <w:sz w:val="20"/>
                      <w:szCs w:val="20"/>
                    </w:rPr>
                    <w:t xml:space="preserve">for further </w:t>
                  </w:r>
                  <w:r>
                    <w:rPr>
                      <w:rFonts w:eastAsia="楷体_GB2312" w:cs="Calibri"/>
                      <w:w w:val="70"/>
                      <w:sz w:val="20"/>
                      <w:szCs w:val="20"/>
                    </w:rPr>
                    <w:t>information</w:t>
                  </w:r>
                  <w:r>
                    <w:rPr>
                      <w:rFonts w:eastAsia="楷体_GB2312" w:cs="Calibri"/>
                      <w:bCs/>
                      <w:w w:val="70"/>
                      <w:sz w:val="20"/>
                      <w:szCs w:val="20"/>
                    </w:rPr>
                    <w:t xml:space="preserve"> on </w:t>
                  </w:r>
                  <w:r>
                    <w:rPr>
                      <w:rFonts w:eastAsia="楷体_GB2312" w:cs="Calibri"/>
                      <w:bCs/>
                      <w:w w:val="70"/>
                      <w:sz w:val="20"/>
                      <w:szCs w:val="20"/>
                      <w:lang w:eastAsia="zh-CN"/>
                    </w:rPr>
                    <w:t xml:space="preserve">HuaFu International’s </w:t>
                  </w:r>
                  <w:r>
                    <w:rPr>
                      <w:rFonts w:eastAsia="楷体_GB2312" w:cs="Calibri"/>
                      <w:bCs/>
                      <w:w w:val="70"/>
                      <w:sz w:val="20"/>
                      <w:szCs w:val="20"/>
                    </w:rPr>
                    <w:t>organizational and administrative arrangements set up for the prevention and avoidance of conflicts of interest with respect to Research.</w:t>
                  </w:r>
                </w:p>
                <w:p w14:paraId="73E25D78">
                  <w:pPr>
                    <w:pStyle w:val="44"/>
                    <w:spacing w:after="60"/>
                    <w:rPr>
                      <w:rFonts w:eastAsia="楷体_GB2312" w:cs="Calibri"/>
                      <w:b/>
                      <w:w w:val="70"/>
                      <w:sz w:val="20"/>
                      <w:szCs w:val="20"/>
                    </w:rPr>
                  </w:pPr>
                </w:p>
              </w:tc>
            </w:tr>
            <w:tr w14:paraId="4E72FFE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09C85DD4">
                  <w:pPr>
                    <w:pStyle w:val="44"/>
                    <w:spacing w:after="60"/>
                    <w:rPr>
                      <w:rFonts w:eastAsia="楷体_GB2312" w:cs="Calibri"/>
                      <w:b/>
                      <w:snapToGrid/>
                      <w:w w:val="70"/>
                      <w:sz w:val="20"/>
                      <w:szCs w:val="20"/>
                    </w:rPr>
                  </w:pPr>
                  <w:r>
                    <w:rPr>
                      <w:rFonts w:eastAsia="楷体_GB2312" w:cs="Calibri"/>
                      <w:b/>
                      <w:snapToGrid/>
                      <w:w w:val="70"/>
                      <w:sz w:val="20"/>
                      <w:szCs w:val="20"/>
                    </w:rPr>
                    <w:t>分发和地区通知：</w:t>
                  </w:r>
                </w:p>
                <w:p w14:paraId="66C43AD2">
                  <w:pPr>
                    <w:pStyle w:val="44"/>
                    <w:spacing w:after="60"/>
                    <w:rPr>
                      <w:rFonts w:eastAsia="楷体_GB2312" w:cs="Calibri"/>
                      <w:snapToGrid/>
                      <w:w w:val="70"/>
                      <w:sz w:val="20"/>
                      <w:szCs w:val="20"/>
                    </w:rPr>
                  </w:pPr>
                  <w:r>
                    <w:rPr>
                      <w:rFonts w:eastAsia="楷体_GB2312" w:cs="Calibri"/>
                      <w:snapToGrid/>
                      <w:w w:val="70"/>
                      <w:sz w:val="20"/>
                      <w:szCs w:val="20"/>
                    </w:rPr>
                    <w:t>除非下文另有规定，否则任何希望讨论本报告或者就本项研究中讨论的任何证券进行任何交易的收件人均应联系其所在国家或地区的</w:t>
                  </w:r>
                  <w:r>
                    <w:rPr>
                      <w:rFonts w:eastAsia="楷体_GB2312" w:cs="Calibri"/>
                      <w:snapToGrid/>
                      <w:w w:val="70"/>
                      <w:sz w:val="20"/>
                      <w:szCs w:val="20"/>
                      <w:lang w:eastAsia="zh-CN"/>
                    </w:rPr>
                    <w:t>华福</w:t>
                  </w:r>
                  <w:r>
                    <w:rPr>
                      <w:rFonts w:eastAsia="楷体_GB2312" w:cs="Calibri"/>
                      <w:snapToGrid/>
                      <w:w w:val="70"/>
                      <w:sz w:val="20"/>
                      <w:szCs w:val="20"/>
                    </w:rPr>
                    <w:t xml:space="preserve">国际销售人员。  </w:t>
                  </w:r>
                </w:p>
                <w:p w14:paraId="11117BF5">
                  <w:pPr>
                    <w:pStyle w:val="44"/>
                    <w:spacing w:after="60"/>
                    <w:rPr>
                      <w:rFonts w:eastAsia="楷体_GB2312" w:cs="Calibri"/>
                      <w:snapToGrid/>
                      <w:w w:val="70"/>
                      <w:sz w:val="20"/>
                      <w:szCs w:val="20"/>
                    </w:rPr>
                  </w:pPr>
                  <w:r>
                    <w:rPr>
                      <w:rFonts w:eastAsia="楷体_GB2312" w:cs="Calibri"/>
                      <w:b/>
                      <w:snapToGrid/>
                      <w:w w:val="70"/>
                      <w:sz w:val="20"/>
                      <w:szCs w:val="20"/>
                    </w:rPr>
                    <w:t>香港投资者的通知事项：</w:t>
                  </w:r>
                  <w:r>
                    <w:rPr>
                      <w:rFonts w:eastAsia="楷体_GB2312" w:cs="Calibri"/>
                      <w:bCs/>
                      <w:snapToGrid/>
                      <w:w w:val="70"/>
                      <w:sz w:val="20"/>
                      <w:szCs w:val="20"/>
                      <w:lang w:eastAsia="zh-CN"/>
                    </w:rPr>
                    <w:t>华福</w:t>
                  </w:r>
                  <w:r>
                    <w:rPr>
                      <w:rFonts w:eastAsia="楷体_GB2312" w:cs="Calibri"/>
                      <w:snapToGrid/>
                      <w:w w:val="70"/>
                      <w:sz w:val="20"/>
                      <w:szCs w:val="20"/>
                    </w:rPr>
                    <w:t>国际负责分发该研究报告，</w:t>
                  </w:r>
                  <w:r>
                    <w:rPr>
                      <w:rFonts w:eastAsia="楷体_GB2312" w:cs="Calibri"/>
                      <w:snapToGrid/>
                      <w:w w:val="70"/>
                      <w:sz w:val="20"/>
                      <w:szCs w:val="20"/>
                      <w:lang w:eastAsia="zh-CN"/>
                    </w:rPr>
                    <w:t>华福国际是</w:t>
                  </w:r>
                  <w:r>
                    <w:rPr>
                      <w:rFonts w:eastAsia="楷体_GB2312" w:cs="Calibri"/>
                      <w:snapToGrid/>
                      <w:w w:val="70"/>
                      <w:sz w:val="20"/>
                      <w:szCs w:val="20"/>
                    </w:rPr>
                    <w:t>在香港有权实施第</w:t>
                  </w:r>
                  <w:r>
                    <w:rPr>
                      <w:rFonts w:eastAsia="楷体_GB2312" w:cs="Calibri"/>
                      <w:snapToGrid/>
                      <w:w w:val="70"/>
                      <w:sz w:val="20"/>
                      <w:szCs w:val="20"/>
                      <w:lang w:eastAsia="zh-CN"/>
                    </w:rPr>
                    <w:t>1</w:t>
                  </w:r>
                  <w:r>
                    <w:rPr>
                      <w:rFonts w:eastAsia="楷体_GB2312" w:cs="Calibri"/>
                      <w:snapToGrid/>
                      <w:w w:val="70"/>
                      <w:sz w:val="20"/>
                      <w:szCs w:val="20"/>
                    </w:rPr>
                    <w:t>类受规管活动（从事证券交易）的持牌公司。该研究报告并不构成《证券及期货条例》</w:t>
                  </w:r>
                  <w:r>
                    <w:rPr>
                      <w:rFonts w:eastAsia="楷体_GB2312" w:cs="Calibri"/>
                      <w:w w:val="70"/>
                      <w:sz w:val="20"/>
                      <w:szCs w:val="20"/>
                    </w:rPr>
                    <w:t>（</w:t>
                  </w:r>
                  <w:r>
                    <w:rPr>
                      <w:rFonts w:eastAsia="楷体_GB2312" w:cs="Calibri"/>
                      <w:snapToGrid/>
                      <w:w w:val="70"/>
                      <w:sz w:val="20"/>
                      <w:szCs w:val="20"/>
                    </w:rPr>
                    <w:t>香港法例第</w:t>
                  </w:r>
                  <w:r>
                    <w:rPr>
                      <w:rFonts w:eastAsia="楷体_GB2312" w:cs="Calibri"/>
                      <w:snapToGrid/>
                      <w:w w:val="70"/>
                      <w:sz w:val="20"/>
                      <w:szCs w:val="20"/>
                      <w:lang w:eastAsia="zh-CN"/>
                    </w:rPr>
                    <w:t>571</w:t>
                  </w:r>
                  <w:r>
                    <w:rPr>
                      <w:rFonts w:eastAsia="楷体_GB2312" w:cs="Calibri"/>
                      <w:snapToGrid/>
                      <w:w w:val="70"/>
                      <w:sz w:val="20"/>
                      <w:szCs w:val="20"/>
                    </w:rPr>
                    <w:t>章</w:t>
                  </w:r>
                  <w:r>
                    <w:rPr>
                      <w:rFonts w:eastAsia="楷体_GB2312" w:cs="Calibri"/>
                      <w:w w:val="70"/>
                      <w:sz w:val="20"/>
                      <w:szCs w:val="20"/>
                    </w:rPr>
                    <w:t>）（</w:t>
                  </w:r>
                  <w:r>
                    <w:rPr>
                      <w:rFonts w:eastAsia="楷体_GB2312" w:cs="Calibri"/>
                      <w:snapToGrid/>
                      <w:w w:val="70"/>
                      <w:sz w:val="20"/>
                      <w:szCs w:val="20"/>
                    </w:rPr>
                    <w:t>以下简称“</w:t>
                  </w:r>
                  <w:r>
                    <w:rPr>
                      <w:rFonts w:eastAsia="楷体_GB2312" w:cs="Calibri"/>
                      <w:snapToGrid/>
                      <w:w w:val="70"/>
                      <w:sz w:val="20"/>
                      <w:szCs w:val="20"/>
                      <w:lang w:eastAsia="zh-CN"/>
                    </w:rPr>
                    <w:t>SFO”</w:t>
                  </w:r>
                  <w:r>
                    <w:rPr>
                      <w:rFonts w:eastAsia="楷体_GB2312" w:cs="Calibri"/>
                      <w:w w:val="70"/>
                      <w:sz w:val="20"/>
                      <w:szCs w:val="20"/>
                    </w:rPr>
                    <w:t>）</w:t>
                  </w:r>
                  <w:r>
                    <w:rPr>
                      <w:rFonts w:eastAsia="楷体_GB2312" w:cs="Calibri"/>
                      <w:snapToGrid/>
                      <w:w w:val="70"/>
                      <w:sz w:val="20"/>
                      <w:szCs w:val="20"/>
                    </w:rPr>
                    <w:t>所界定的要约邀请，证券要约或公众要约。本研究报告仅提供给</w:t>
                  </w:r>
                  <w:r>
                    <w:rPr>
                      <w:rFonts w:eastAsia="楷体_GB2312" w:cs="Calibri"/>
                      <w:snapToGrid/>
                      <w:w w:val="70"/>
                      <w:sz w:val="20"/>
                      <w:szCs w:val="20"/>
                      <w:lang w:eastAsia="zh-CN"/>
                    </w:rPr>
                    <w:t>SFO</w:t>
                  </w:r>
                  <w:r>
                    <w:rPr>
                      <w:rFonts w:eastAsia="楷体_GB2312" w:cs="Calibri"/>
                      <w:snapToGrid/>
                      <w:w w:val="70"/>
                      <w:sz w:val="20"/>
                      <w:szCs w:val="20"/>
                    </w:rPr>
                    <w:t>所界定的“专业投资者”。本研究报告未经过证券及期货事务监察委员会的审查。您不应仅根据本研究报告中所载的信息做出投资决定。本研究报告的收件人就研究报告中产生或与之相关的任何事宜请联系</w:t>
                  </w:r>
                  <w:r>
                    <w:rPr>
                      <w:rFonts w:eastAsia="楷体_GB2312" w:cs="Calibri"/>
                      <w:snapToGrid/>
                      <w:w w:val="70"/>
                      <w:sz w:val="20"/>
                      <w:szCs w:val="20"/>
                      <w:lang w:eastAsia="zh-CN"/>
                    </w:rPr>
                    <w:t>华福国际</w:t>
                  </w:r>
                  <w:r>
                    <w:rPr>
                      <w:rFonts w:eastAsia="楷体_GB2312" w:cs="Calibri"/>
                      <w:snapToGrid/>
                      <w:w w:val="70"/>
                      <w:sz w:val="20"/>
                      <w:szCs w:val="20"/>
                    </w:rPr>
                    <w:t>销售人员。</w:t>
                  </w:r>
                </w:p>
                <w:p w14:paraId="66CD2E88">
                  <w:pPr>
                    <w:pStyle w:val="44"/>
                    <w:spacing w:after="40"/>
                    <w:rPr>
                      <w:rFonts w:eastAsia="楷体_GB2312" w:cs="Calibri"/>
                      <w:b/>
                      <w:bCs/>
                      <w:w w:val="70"/>
                      <w:sz w:val="20"/>
                      <w:szCs w:val="20"/>
                    </w:rPr>
                  </w:pPr>
                  <w:r>
                    <w:rPr>
                      <w:rFonts w:eastAsia="楷体_GB2312" w:cs="Calibri"/>
                      <w:b/>
                      <w:bCs/>
                      <w:w w:val="70"/>
                      <w:sz w:val="20"/>
                      <w:szCs w:val="20"/>
                    </w:rPr>
                    <w:t>DISTRIBUTION AND REGIONAL NOTICES</w:t>
                  </w:r>
                </w:p>
                <w:p w14:paraId="687F1103">
                  <w:pPr>
                    <w:pStyle w:val="44"/>
                    <w:spacing w:after="40"/>
                    <w:rPr>
                      <w:rFonts w:eastAsia="楷体_GB2312" w:cs="Calibri"/>
                      <w:w w:val="70"/>
                      <w:sz w:val="20"/>
                      <w:szCs w:val="20"/>
                    </w:rPr>
                  </w:pPr>
                  <w:r>
                    <w:rPr>
                      <w:rFonts w:eastAsia="楷体_GB2312" w:cs="Calibri"/>
                      <w:w w:val="70"/>
                      <w:sz w:val="20"/>
                      <w:szCs w:val="20"/>
                    </w:rPr>
                    <w:t xml:space="preserve">Except as otherwise indicated below, any Recipient wishing to discuss this research report or effect any transaction in any security discussed in </w:t>
                  </w:r>
                  <w:r>
                    <w:rPr>
                      <w:rFonts w:eastAsia="楷体_GB2312" w:cs="Calibri"/>
                      <w:w w:val="70"/>
                      <w:sz w:val="20"/>
                      <w:szCs w:val="20"/>
                      <w:lang w:eastAsia="zh-CN"/>
                    </w:rPr>
                    <w:t>HuaFu International</w:t>
                  </w:r>
                  <w:r>
                    <w:rPr>
                      <w:rFonts w:eastAsia="楷体_GB2312" w:cs="Calibri"/>
                      <w:w w:val="70"/>
                      <w:sz w:val="20"/>
                      <w:szCs w:val="20"/>
                    </w:rPr>
                    <w:t xml:space="preserve">’s research should contact the </w:t>
                  </w:r>
                  <w:r>
                    <w:rPr>
                      <w:rFonts w:eastAsia="楷体_GB2312" w:cs="Calibri"/>
                      <w:w w:val="70"/>
                      <w:sz w:val="20"/>
                      <w:szCs w:val="20"/>
                      <w:lang w:eastAsia="zh-CN"/>
                    </w:rPr>
                    <w:t xml:space="preserve">HuaFu </w:t>
                  </w:r>
                  <w:r>
                    <w:rPr>
                      <w:rFonts w:eastAsia="楷体_GB2312" w:cs="Calibri"/>
                      <w:w w:val="70"/>
                      <w:sz w:val="20"/>
                      <w:szCs w:val="20"/>
                    </w:rPr>
                    <w:t xml:space="preserve">International salesperson in their own country or region.  </w:t>
                  </w:r>
                </w:p>
                <w:p w14:paraId="6DBC98B9">
                  <w:pPr>
                    <w:pStyle w:val="44"/>
                    <w:spacing w:after="40"/>
                    <w:rPr>
                      <w:rFonts w:eastAsia="楷体_GB2312" w:cs="Calibri"/>
                      <w:w w:val="70"/>
                      <w:sz w:val="20"/>
                      <w:szCs w:val="20"/>
                    </w:rPr>
                  </w:pPr>
                  <w:r>
                    <w:rPr>
                      <w:rFonts w:eastAsia="楷体_GB2312" w:cs="Calibri"/>
                      <w:b/>
                      <w:bCs/>
                      <w:w w:val="70"/>
                      <w:sz w:val="20"/>
                      <w:szCs w:val="20"/>
                    </w:rPr>
                    <w:t xml:space="preserve">Notice to Hong Kong investors: </w:t>
                  </w:r>
                  <w:r>
                    <w:rPr>
                      <w:rFonts w:eastAsia="楷体_GB2312" w:cs="Calibri"/>
                      <w:w w:val="70"/>
                      <w:sz w:val="20"/>
                      <w:szCs w:val="20"/>
                    </w:rPr>
                    <w:t xml:space="preserve">The research report is distributed by </w:t>
                  </w:r>
                  <w:r>
                    <w:rPr>
                      <w:rFonts w:eastAsia="楷体_GB2312" w:cs="Calibri"/>
                      <w:w w:val="70"/>
                      <w:sz w:val="20"/>
                      <w:szCs w:val="20"/>
                      <w:lang w:eastAsia="zh-CN"/>
                    </w:rPr>
                    <w:t>HuaFu</w:t>
                  </w:r>
                  <w:r>
                    <w:rPr>
                      <w:rFonts w:eastAsia="楷体_GB2312" w:cs="Calibri"/>
                      <w:w w:val="70"/>
                      <w:sz w:val="20"/>
                      <w:szCs w:val="20"/>
                    </w:rPr>
                    <w:t xml:space="preserve"> International, which is a licensed corporation to carry on Type 1 regulated activity (dealing in securities) in Hong Kong. This research report does not constitute a solicitation or an offer of securities or an invitation to the public within the meaning of the SFO. This research report is only to be circulated to "Professional Investors" as defined in the SFO. This research report has not been reviewed by the Securities and Futures Commission. You should not make investment decisions solely on the basis of the information contained in this research report. Recipients of this research report are to contact </w:t>
                  </w:r>
                  <w:r>
                    <w:rPr>
                      <w:rFonts w:eastAsia="楷体_GB2312" w:cs="Calibri"/>
                      <w:w w:val="70"/>
                      <w:sz w:val="20"/>
                      <w:szCs w:val="20"/>
                      <w:lang w:eastAsia="zh-CN"/>
                    </w:rPr>
                    <w:t>HuaFu International</w:t>
                  </w:r>
                  <w:r>
                    <w:rPr>
                      <w:rFonts w:eastAsia="楷体_GB2312" w:cs="Calibri"/>
                      <w:w w:val="70"/>
                      <w:sz w:val="20"/>
                      <w:szCs w:val="20"/>
                    </w:rPr>
                    <w:t xml:space="preserve"> salespersons in respect of any matters arising from, or in connection with, the research report.</w:t>
                  </w:r>
                </w:p>
                <w:p w14:paraId="773BDBFA">
                  <w:pPr>
                    <w:pStyle w:val="44"/>
                    <w:spacing w:after="60"/>
                    <w:rPr>
                      <w:rFonts w:eastAsia="楷体_GB2312" w:cs="Calibri"/>
                      <w:b/>
                      <w:w w:val="70"/>
                      <w:sz w:val="20"/>
                      <w:szCs w:val="20"/>
                    </w:rPr>
                  </w:pPr>
                </w:p>
              </w:tc>
            </w:tr>
            <w:tr w14:paraId="314AE25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2CCF3088">
                  <w:pPr>
                    <w:pStyle w:val="44"/>
                    <w:spacing w:after="60"/>
                    <w:rPr>
                      <w:rFonts w:eastAsia="楷体_GB2312" w:cs="Calibri"/>
                      <w:w w:val="70"/>
                      <w:sz w:val="20"/>
                      <w:szCs w:val="20"/>
                    </w:rPr>
                  </w:pPr>
                  <w:r>
                    <w:rPr>
                      <w:rFonts w:eastAsia="楷体_GB2312" w:cs="Calibri"/>
                      <w:b/>
                      <w:w w:val="70"/>
                      <w:sz w:val="20"/>
                      <w:szCs w:val="20"/>
                    </w:rPr>
                    <w:t>中华人民共和国的通知事项：</w:t>
                  </w:r>
                  <w:r>
                    <w:rPr>
                      <w:rFonts w:eastAsia="楷体_GB2312" w:cs="Calibri"/>
                      <w:w w:val="70"/>
                      <w:sz w:val="20"/>
                      <w:szCs w:val="20"/>
                    </w:rPr>
                    <w:t>在中华人民共和国</w:t>
                  </w:r>
                  <w:r>
                    <w:rPr>
                      <w:rFonts w:eastAsia="楷体_GB2312" w:cs="Calibri"/>
                      <w:snapToGrid/>
                      <w:w w:val="70"/>
                      <w:sz w:val="20"/>
                      <w:szCs w:val="20"/>
                    </w:rPr>
                    <w:t>（</w:t>
                  </w:r>
                  <w:r>
                    <w:rPr>
                      <w:rFonts w:eastAsia="楷体_GB2312" w:cs="Calibri"/>
                      <w:w w:val="70"/>
                      <w:sz w:val="20"/>
                      <w:szCs w:val="20"/>
                    </w:rPr>
                    <w:t>下称“中国”，就本报告目的而言，不包括香港特别行政区、澳门特别行政区和台湾）只有根据适用的中国法律法规而收到该材料的人员方可使用该材料。并且根据相关法律法规，该材料中的信息并不构成“在中国从事生产、经营活动”。本文件在中国并不构成相关证券的公共发售或认购。无论根据法律规定或其他任何规定，在取得中国政府所有的批准或许可之前，任何法人或自然人均不得直接或间接地购买本材料中的任何证券或任何实益权益。接收本文件的人员须遵守上述限制性规定。</w:t>
                  </w:r>
                </w:p>
                <w:p w14:paraId="2385AA6C">
                  <w:pPr>
                    <w:pStyle w:val="44"/>
                    <w:spacing w:after="60"/>
                    <w:rPr>
                      <w:rFonts w:eastAsia="楷体_GB2312" w:cs="Calibri"/>
                      <w:w w:val="70"/>
                      <w:sz w:val="20"/>
                      <w:szCs w:val="20"/>
                    </w:rPr>
                  </w:pPr>
                  <w:r>
                    <w:rPr>
                      <w:rFonts w:eastAsia="楷体_GB2312" w:cs="Calibri"/>
                      <w:w w:val="70"/>
                      <w:sz w:val="20"/>
                      <w:szCs w:val="20"/>
                    </w:rPr>
                    <w:t>本项研究仅供收件人使用，未经</w:t>
                  </w:r>
                  <w:r>
                    <w:rPr>
                      <w:rFonts w:eastAsia="楷体_GB2312" w:cs="Calibri"/>
                      <w:w w:val="70"/>
                      <w:sz w:val="20"/>
                      <w:szCs w:val="20"/>
                      <w:lang w:eastAsia="zh-CN"/>
                    </w:rPr>
                    <w:t>华福</w:t>
                  </w:r>
                  <w:r>
                    <w:rPr>
                      <w:rFonts w:eastAsia="楷体_GB2312" w:cs="Calibri"/>
                      <w:w w:val="70"/>
                      <w:sz w:val="20"/>
                      <w:szCs w:val="20"/>
                    </w:rPr>
                    <w:t>国际的书面同意不得予以复制和再次分发。</w:t>
                  </w:r>
                </w:p>
                <w:p w14:paraId="59E7C2FB">
                  <w:pPr>
                    <w:pStyle w:val="44"/>
                    <w:rPr>
                      <w:rFonts w:eastAsia="楷体_GB2312" w:cs="Calibri"/>
                      <w:w w:val="70"/>
                      <w:sz w:val="20"/>
                      <w:szCs w:val="20"/>
                    </w:rPr>
                  </w:pPr>
                  <w:r>
                    <w:rPr>
                      <w:rFonts w:eastAsia="楷体_GB2312" w:cs="Calibri"/>
                      <w:w w:val="70"/>
                      <w:sz w:val="20"/>
                      <w:szCs w:val="20"/>
                    </w:rPr>
                    <w:t>版权所有：</w:t>
                  </w:r>
                  <w:r>
                    <w:rPr>
                      <w:rFonts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2025</w:t>
                  </w:r>
                  <w:r>
                    <w:rPr>
                      <w:rFonts w:eastAsia="楷体_GB2312" w:cs="Calibri"/>
                      <w:w w:val="70"/>
                      <w:sz w:val="20"/>
                      <w:szCs w:val="20"/>
                    </w:rPr>
                    <w:t>年。保留所有权利。</w:t>
                  </w:r>
                </w:p>
                <w:p w14:paraId="2B2FF78B">
                  <w:pPr>
                    <w:pStyle w:val="44"/>
                    <w:spacing w:after="120"/>
                    <w:rPr>
                      <w:rFonts w:eastAsia="楷体_GB2312" w:cs="Calibri"/>
                      <w:w w:val="70"/>
                      <w:sz w:val="20"/>
                      <w:szCs w:val="20"/>
                    </w:rPr>
                  </w:pPr>
                  <w:r>
                    <w:rPr>
                      <w:rFonts w:eastAsia="楷体_GB2312" w:cs="Calibri"/>
                      <w:b/>
                      <w:w w:val="70"/>
                      <w:sz w:val="20"/>
                      <w:szCs w:val="20"/>
                    </w:rPr>
                    <w:t>People’s Republic of China (PRC):</w:t>
                  </w:r>
                  <w:r>
                    <w:rPr>
                      <w:rFonts w:eastAsia="楷体_GB2312" w:cs="Calibri"/>
                      <w:w w:val="70"/>
                      <w:sz w:val="20"/>
                      <w:szCs w:val="20"/>
                    </w:rPr>
                    <w:t xml:space="preserve"> In the PRC, the research report is directed for the sole use of those who receive the research report in accordance with the applicable PRC laws and regulations. Further, the information on the research report does not constitute "production and business activities in the PRC" under relevant PRC laws. This research report does not constitute a public offer of the security, whether by sale or subscription, in the PRC. Further, no legal or natural persons of the PRC may directly or indirectly purchase any of the security or any beneficial interest therein without obtaining all prior PRC government approvals or licenses that are required, whether statutorily or otherwise. Persons who come into possession of this research are required to observe these restrictions.</w:t>
                  </w:r>
                </w:p>
                <w:p w14:paraId="6A385999">
                  <w:pPr>
                    <w:pStyle w:val="44"/>
                    <w:spacing w:after="120"/>
                    <w:rPr>
                      <w:rFonts w:eastAsia="楷体_GB2312" w:cs="Calibri"/>
                      <w:w w:val="70"/>
                      <w:sz w:val="20"/>
                      <w:szCs w:val="20"/>
                    </w:rPr>
                  </w:pPr>
                  <w:r>
                    <w:rPr>
                      <w:rFonts w:eastAsia="楷体_GB2312" w:cs="Calibri"/>
                      <w:w w:val="70"/>
                      <w:sz w:val="20"/>
                      <w:szCs w:val="20"/>
                    </w:rPr>
                    <w:t xml:space="preserve">This research report is intended for the recipients only and may not be reproduced or redistributed without the written consent of an authorized signatory of </w:t>
                  </w:r>
                  <w:r>
                    <w:rPr>
                      <w:rFonts w:eastAsia="楷体_GB2312" w:cs="Calibri"/>
                      <w:w w:val="70"/>
                      <w:sz w:val="20"/>
                      <w:szCs w:val="20"/>
                      <w:lang w:eastAsia="zh-CN"/>
                    </w:rPr>
                    <w:t>HuaFu International</w:t>
                  </w:r>
                  <w:r>
                    <w:rPr>
                      <w:rFonts w:eastAsia="楷体_GB2312" w:cs="Calibri"/>
                      <w:w w:val="70"/>
                      <w:sz w:val="20"/>
                      <w:szCs w:val="20"/>
                    </w:rPr>
                    <w:t>.</w:t>
                  </w:r>
                </w:p>
                <w:p w14:paraId="0ED23513">
                  <w:pPr>
                    <w:pStyle w:val="44"/>
                    <w:spacing w:after="60"/>
                    <w:rPr>
                      <w:rFonts w:eastAsia="楷体_GB2312" w:cs="Calibri"/>
                      <w:b/>
                      <w:w w:val="70"/>
                      <w:sz w:val="20"/>
                      <w:szCs w:val="20"/>
                    </w:rPr>
                  </w:pPr>
                  <w:r>
                    <w:rPr>
                      <w:rFonts w:eastAsia="楷体_GB2312" w:cs="Calibri"/>
                      <w:w w:val="70"/>
                      <w:sz w:val="20"/>
                      <w:szCs w:val="20"/>
                    </w:rPr>
                    <w:t xml:space="preserve">Copyright: </w:t>
                  </w:r>
                  <w:r>
                    <w:rPr>
                      <w:rFonts w:eastAsia="楷体_GB2312" w:cs="Calibri"/>
                      <w:w w:val="70"/>
                      <w:sz w:val="20"/>
                      <w:szCs w:val="20"/>
                      <w:lang w:eastAsia="zh-CN"/>
                    </w:rPr>
                    <w:t>HuaFu</w:t>
                  </w:r>
                  <w:r>
                    <w:rPr>
                      <w:rFonts w:eastAsia="楷体_GB2312" w:cs="Calibri"/>
                      <w:w w:val="70"/>
                      <w:sz w:val="20"/>
                      <w:szCs w:val="20"/>
                    </w:rPr>
                    <w:t xml:space="preserve"> International </w:t>
                  </w:r>
                  <w:r>
                    <w:rPr>
                      <w:rFonts w:eastAsia="楷体_GB2312" w:cs="Calibri"/>
                      <w:w w:val="70"/>
                      <w:sz w:val="20"/>
                      <w:szCs w:val="20"/>
                      <w:lang w:eastAsia="zh-CN"/>
                    </w:rPr>
                    <w:t>2025</w:t>
                  </w:r>
                  <w:r>
                    <w:rPr>
                      <w:rFonts w:eastAsia="楷体_GB2312" w:cs="Calibri"/>
                      <w:w w:val="70"/>
                      <w:sz w:val="20"/>
                      <w:szCs w:val="20"/>
                    </w:rPr>
                    <w:t>. All rights reserved</w:t>
                  </w:r>
                </w:p>
              </w:tc>
            </w:tr>
            <w:tr w14:paraId="00933C6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20DAAFB3">
                  <w:pPr>
                    <w:pStyle w:val="44"/>
                    <w:spacing w:after="60"/>
                    <w:rPr>
                      <w:rFonts w:eastAsia="楷体_GB2312" w:cs="Calibri"/>
                      <w:b/>
                      <w:w w:val="70"/>
                      <w:sz w:val="20"/>
                      <w:szCs w:val="20"/>
                    </w:rPr>
                  </w:pPr>
                </w:p>
              </w:tc>
            </w:tr>
            <w:tr w14:paraId="2B93913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nil"/>
                  </w:tcBorders>
                </w:tcPr>
                <w:p w14:paraId="2B81BF45">
                  <w:pPr>
                    <w:pStyle w:val="44"/>
                    <w:spacing w:after="60"/>
                    <w:rPr>
                      <w:rFonts w:eastAsia="楷体_GB2312" w:cs="Calibri"/>
                      <w:b/>
                      <w:w w:val="70"/>
                      <w:sz w:val="20"/>
                      <w:szCs w:val="20"/>
                      <w:lang w:eastAsia="zh-CN"/>
                    </w:rPr>
                  </w:pPr>
                </w:p>
              </w:tc>
            </w:tr>
          </w:tbl>
          <w:p w14:paraId="57368D1C">
            <w:pPr>
              <w:pStyle w:val="81"/>
              <w:rPr>
                <w:rFonts w:eastAsia="楷体_GB2312" w:cs="Calibri"/>
                <w:sz w:val="16"/>
              </w:rPr>
            </w:pPr>
          </w:p>
          <w:p w14:paraId="62D04E1D">
            <w:pPr>
              <w:rPr>
                <w:rFonts w:eastAsia="楷体_GB2312" w:cs="Calibri"/>
              </w:rPr>
            </w:pPr>
          </w:p>
        </w:tc>
      </w:tr>
    </w:tbl>
    <w:p w14:paraId="10F7A4E2">
      <w:pPr>
        <w:pStyle w:val="81"/>
        <w:rPr>
          <w:rFonts w:eastAsia="楷体_GB2312" w:cs="Calibri"/>
          <w:w w:val="70"/>
          <w:sz w:val="20"/>
          <w:szCs w:val="20"/>
          <w:lang w:val="en-GB"/>
        </w:rPr>
      </w:pPr>
    </w:p>
    <w:p w14:paraId="077D3252">
      <w:pPr>
        <w:pStyle w:val="81"/>
        <w:rPr>
          <w:rFonts w:eastAsia="楷体_GB2312" w:cs="Calibri"/>
          <w:lang w:val="en-GB"/>
        </w:rPr>
      </w:pPr>
    </w:p>
    <w:sectPr>
      <w:headerReference r:id="rId12" w:type="first"/>
      <w:footerReference r:id="rId14" w:type="first"/>
      <w:headerReference r:id="rId11" w:type="default"/>
      <w:footerReference r:id="rId13" w:type="default"/>
      <w:pgSz w:w="11909" w:h="16834"/>
      <w:pgMar w:top="1077" w:right="567" w:bottom="1021" w:left="329" w:header="720" w:footer="1156"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ＭＳ 明朝">
    <w:altName w:val="Segoe Print"/>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E0002EFF" w:usb1="C000785B" w:usb2="00000009" w:usb3="00000000" w:csb0="400001FF" w:csb1="FFFF0000"/>
  </w:font>
  <w:font w:name="Cambria">
    <w:panose1 w:val="02040503050406030204"/>
    <w:charset w:val="00"/>
    <w:family w:val="roman"/>
    <w:pitch w:val="default"/>
    <w:sig w:usb0="E00006FF" w:usb1="420024FF" w:usb2="02000000" w:usb3="00000000" w:csb0="2000019F" w:csb1="00000000"/>
  </w:font>
  <w:font w:name="楷体_GB2312">
    <w:panose1 w:val="02010609030101010101"/>
    <w:charset w:val="86"/>
    <w:family w:val="modern"/>
    <w:pitch w:val="default"/>
    <w:sig w:usb0="00000001" w:usb1="080E0000" w:usb2="00000000" w:usb3="00000000" w:csb0="00040000" w:csb1="00000000"/>
  </w:font>
  <w:font w:name="汉仪楷体简">
    <w:altName w:val="宋体"/>
    <w:panose1 w:val="00000000000000000000"/>
    <w:charset w:val="86"/>
    <w:family w:val="modern"/>
    <w:pitch w:val="default"/>
    <w:sig w:usb0="00000000" w:usb1="00000000" w:usb2="00000012" w:usb3="00000000" w:csb0="00040000" w:csb1="00000000"/>
  </w:font>
  <w:font w:name="汉仪大黑简">
    <w:altName w:val="黑体"/>
    <w:panose1 w:val="00000000000000000000"/>
    <w:charset w:val="86"/>
    <w:family w:val="modern"/>
    <w:pitch w:val="default"/>
    <w:sig w:usb0="00000000" w:usb1="00000000" w:usb2="00000012" w:usb3="00000000" w:csb0="00040000" w:csb1="00000000"/>
  </w:font>
  <w:font w:name="Tahoma">
    <w:panose1 w:val="020B0604030504040204"/>
    <w:charset w:val="00"/>
    <w:family w:val="swiss"/>
    <w:pitch w:val="default"/>
    <w:sig w:usb0="E1002EFF" w:usb1="C000605B" w:usb2="00000029" w:usb3="00000000" w:csb0="200101FF" w:csb1="20280000"/>
  </w:font>
  <w:font w:name="Wingdings 3">
    <w:panose1 w:val="05040102010807070707"/>
    <w:charset w:val="02"/>
    <w:family w:val="roman"/>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PMingLiU">
    <w:altName w:val="PMingLiU-ExtB"/>
    <w:panose1 w:val="02020500000000000000"/>
    <w:charset w:val="88"/>
    <w:family w:val="roman"/>
    <w:pitch w:val="default"/>
    <w:sig w:usb0="00000000" w:usb1="00000000" w:usb2="00000016" w:usb3="00000000" w:csb0="00100001" w:csb1="00000000"/>
  </w:font>
  <w:font w:name="PMingLiU">
    <w:altName w:val="Segoe Print"/>
    <w:panose1 w:val="00000000000000000000"/>
    <w:charset w:val="00"/>
    <w:family w:val="auto"/>
    <w:pitch w:val="default"/>
    <w:sig w:usb0="00000000" w:usb1="00000000" w:usb2="00000000" w:usb3="00000000" w:csb0="00000000" w:csb1="00000000"/>
  </w:font>
  <w:font w:name="Yu Gothic UI">
    <w:panose1 w:val="020B0500000000000000"/>
    <w:charset w:val="80"/>
    <w:family w:val="auto"/>
    <w:pitch w:val="default"/>
    <w:sig w:usb0="E00002FF" w:usb1="2AC7FDFF" w:usb2="00000016" w:usb3="00000000" w:csb0="2002009F" w:csb1="00000000"/>
  </w:font>
  <w:font w:name="Segoe Print">
    <w:panose1 w:val="02000600000000000000"/>
    <w:charset w:val="00"/>
    <w:family w:val="auto"/>
    <w:pitch w:val="default"/>
    <w:sig w:usb0="0000028F" w:usb1="00000000" w:usb2="00000000" w:usb3="00000000" w:csb0="2000009F" w:csb1="47010000"/>
  </w:font>
  <w:font w:name="PMingLiU-ExtB">
    <w:panose1 w:val="02020500000000000000"/>
    <w:charset w:val="88"/>
    <w:family w:val="auto"/>
    <w:pitch w:val="default"/>
    <w:sig w:usb0="8000002F" w:usb1="02000008" w:usb2="00000000"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C2070F">
    <w:pPr>
      <w:pStyle w:val="42"/>
    </w:pPr>
    <w:r>
      <w:rPr>
        <w:lang w:eastAsia="zh-CN"/>
      </w:rPr>
      <mc:AlternateContent>
        <mc:Choice Requires="wps">
          <w:drawing>
            <wp:anchor distT="0" distB="0" distL="114300" distR="114300" simplePos="0" relativeHeight="251659264" behindDoc="0" locked="0" layoutInCell="1" allowOverlap="1">
              <wp:simplePos x="0" y="0"/>
              <wp:positionH relativeFrom="page">
                <wp:posOffset>75565</wp:posOffset>
              </wp:positionH>
              <wp:positionV relativeFrom="page">
                <wp:posOffset>9812020</wp:posOffset>
              </wp:positionV>
              <wp:extent cx="7404100" cy="50165"/>
              <wp:effectExtent l="0" t="0" r="2540" b="10795"/>
              <wp:wrapNone/>
              <wp:docPr id="15" name="Text Box 73"/>
              <wp:cNvGraphicFramePr/>
              <a:graphic xmlns:a="http://schemas.openxmlformats.org/drawingml/2006/main">
                <a:graphicData uri="http://schemas.microsoft.com/office/word/2010/wordprocessingShape">
                  <wps:wsp>
                    <wps:cNvSpPr txBox="1">
                      <a:spLocks noChangeArrowheads="1"/>
                    </wps:cNvSpPr>
                    <wps:spPr bwMode="auto">
                      <a:xfrm>
                        <a:off x="0" y="0"/>
                        <a:ext cx="7404100" cy="50165"/>
                      </a:xfrm>
                      <a:prstGeom prst="rect">
                        <a:avLst/>
                      </a:prstGeom>
                      <a:solidFill>
                        <a:srgbClr val="005BAC"/>
                      </a:solidFill>
                      <a:ln>
                        <a:noFill/>
                      </a:ln>
                    </wps:spPr>
                    <wps:txbx>
                      <w:txbxContent>
                        <w:p w14:paraId="1CD26502">
                          <w:pPr>
                            <w:ind w:left="-180"/>
                          </w:pPr>
                        </w:p>
                      </w:txbxContent>
                    </wps:txbx>
                    <wps:bodyPr rot="0" vert="horz" wrap="square" lIns="91440" tIns="45720" rIns="91440" bIns="45720" anchor="t" anchorCtr="0" upright="1">
                      <a:noAutofit/>
                    </wps:bodyPr>
                  </wps:wsp>
                </a:graphicData>
              </a:graphic>
            </wp:anchor>
          </w:drawing>
        </mc:Choice>
        <mc:Fallback>
          <w:pict>
            <v:shape id="Text Box 73" o:spid="_x0000_s1026" o:spt="202" type="#_x0000_t202" style="position:absolute;left:0pt;margin-left:5.95pt;margin-top:772.6pt;height:3.95pt;width:583pt;mso-position-horizontal-relative:page;mso-position-vertical-relative:page;z-index:251659264;mso-width-relative:page;mso-height-relative:page;" fillcolor="#005BAC" filled="t" stroked="f" coordsize="21600,21600" o:gfxdata="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h2Z/+NoA&#10;AAANAQAADwAAAAAAAAABACAAAAAiAAAAZHJzL2Rvd25yZXYueG1sUEsBAhQAFAAAAAgAh07iQI7t&#10;BuodAgAAPgQAAA4AAAAAAAAAAQAgAAAAKQEAAGRycy9lMm9Eb2MueG1sUEsFBgAAAAAGAAYAWQEA&#10;ALgFAAAAAA==&#10;">
              <v:fill on="t" focussize="0,0"/>
              <v:stroke on="f"/>
              <v:imagedata o:title=""/>
              <o:lock v:ext="edit" aspectratio="f"/>
              <v:textbox>
                <w:txbxContent>
                  <w:p w14:paraId="1CD26502">
                    <w:pPr>
                      <w:ind w:left="-180"/>
                    </w:pPr>
                  </w:p>
                </w:txbxContent>
              </v:textbox>
            </v:shape>
          </w:pict>
        </mc:Fallback>
      </mc:AlternateContent>
    </w:r>
    <w:r>
      <w:rPr>
        <w:lang w:eastAsia="zh-CN"/>
      </w:rPr>
      <mc:AlternateContent>
        <mc:Choice Requires="wps">
          <w:drawing>
            <wp:anchor distT="0" distB="0" distL="114300" distR="114300" simplePos="0" relativeHeight="251661312" behindDoc="0" locked="1" layoutInCell="1" allowOverlap="1">
              <wp:simplePos x="0" y="0"/>
              <wp:positionH relativeFrom="column">
                <wp:posOffset>-448945</wp:posOffset>
              </wp:positionH>
              <wp:positionV relativeFrom="page">
                <wp:posOffset>9860280</wp:posOffset>
              </wp:positionV>
              <wp:extent cx="7421880" cy="807720"/>
              <wp:effectExtent l="0" t="0" r="0" b="0"/>
              <wp:wrapNone/>
              <wp:docPr id="20" name="Text Box 281"/>
              <wp:cNvGraphicFramePr/>
              <a:graphic xmlns:a="http://schemas.openxmlformats.org/drawingml/2006/main">
                <a:graphicData uri="http://schemas.microsoft.com/office/word/2010/wordprocessingShape">
                  <wps:wsp>
                    <wps:cNvSpPr txBox="1">
                      <a:spLocks noChangeArrowheads="1"/>
                    </wps:cNvSpPr>
                    <wps:spPr bwMode="auto">
                      <a:xfrm>
                        <a:off x="0" y="0"/>
                        <a:ext cx="7421880" cy="807720"/>
                      </a:xfrm>
                      <a:prstGeom prst="rect">
                        <a:avLst/>
                      </a:prstGeom>
                      <a:noFill/>
                      <a:ln>
                        <a:noFill/>
                      </a:ln>
                    </wps:spPr>
                    <wps:txbx>
                      <w:txbxContent>
                        <w:tbl>
                          <w:tblPr>
                            <w:tblStyle w:val="27"/>
                            <w:tblW w:w="11624" w:type="dxa"/>
                            <w:tblCaption w:val="[Table_yejiao1]"/>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624"/>
                          </w:tblGrid>
                          <w:tr w14:paraId="16D7F69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624" w:type="dxa"/>
                              </w:tcPr>
                              <w:p w14:paraId="2E83F197">
                                <w:pPr>
                                  <w:pStyle w:val="59"/>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14:paraId="4438B28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624" w:type="dxa"/>
                              </w:tcPr>
                              <w:p w14:paraId="761CA6D2">
                                <w:pPr>
                                  <w:pStyle w:val="59"/>
                                  <w:rPr>
                                    <w:rFonts w:cs="Calibri"/>
                                    <w:b w:val="0"/>
                                    <w:sz w:val="21"/>
                                    <w:szCs w:val="21"/>
                                  </w:rPr>
                                </w:pPr>
                                <w:r>
                                  <w:rPr>
                                    <w:rFonts w:hint="eastAsia" w:eastAsia="楷体_GB2312" w:cs="Calibri"/>
                                    <w:b w:val="0"/>
                                    <w:sz w:val="21"/>
                                    <w:szCs w:val="21"/>
                                    <w:lang w:eastAsia="zh-CN"/>
                                  </w:rPr>
                                  <w:t>本研究报告由华福国际分销，在其许可的司法管辖区内从事证券活动。关于华福国际的分析师证明，重要披露声明和免责声明，请参阅附录。</w:t>
                                </w:r>
                                <w:r>
                                  <w:rPr>
                                    <w:rFonts w:eastAsia="楷体_GB2312" w:cs="Calibri"/>
                                    <w:b w:val="0"/>
                                    <w:sz w:val="21"/>
                                    <w:szCs w:val="21"/>
                                    <w:lang w:eastAsia="zh-CN"/>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4E2703EC">
                          <w:pPr>
                            <w:pStyle w:val="59"/>
                            <w:rPr>
                              <w:rFonts w:eastAsia="楷体_GB2312" w:cs="Calibri"/>
                              <w:b w:val="0"/>
                              <w:sz w:val="21"/>
                              <w:szCs w:val="21"/>
                            </w:rPr>
                          </w:pPr>
                        </w:p>
                      </w:txbxContent>
                    </wps:txbx>
                    <wps:bodyPr rot="0" vert="horz" wrap="square" lIns="0" tIns="0" rIns="0" bIns="0" anchor="t" anchorCtr="0" upright="1">
                      <a:noAutofit/>
                    </wps:bodyPr>
                  </wps:wsp>
                </a:graphicData>
              </a:graphic>
            </wp:anchor>
          </w:drawing>
        </mc:Choice>
        <mc:Fallback>
          <w:pict>
            <v:shape id="Text Box 281" o:spid="_x0000_s1026" o:spt="202" type="#_x0000_t202" style="position:absolute;left:0pt;margin-left:-35.35pt;margin-top:776.4pt;height:63.6pt;width:584.4pt;mso-position-vertical-relative:page;z-index:251661312;mso-width-relative:page;mso-height-relative:page;" filled="f" stroked="f" coordsize="21600,21600" o:gfxdata="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u2Al72wAAAA4BAAAPAAAAAAAAAAEAIAAAACIAAABkcnMvZG93&#10;bnJldi54bWxQSwECFAAUAAAACACHTuJAfGiuMv0BAAAHBAAADgAAAAAAAAABACAAAAAqAQAAZHJz&#10;L2Uyb0RvYy54bWxQSwUGAAAAAAYABgBZAQAAmQUAAAAA&#10;">
              <v:fill on="f" focussize="0,0"/>
              <v:stroke on="f"/>
              <v:imagedata o:title=""/>
              <o:lock v:ext="edit" aspectratio="f"/>
              <v:textbox inset="0mm,0mm,0mm,0mm">
                <w:txbxContent>
                  <w:tbl>
                    <w:tblPr>
                      <w:tblStyle w:val="27"/>
                      <w:tblW w:w="11624" w:type="dxa"/>
                      <w:tblCaption w:val="[Table_yejiao1]"/>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624"/>
                    </w:tblGrid>
                    <w:tr w14:paraId="16D7F69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624" w:type="dxa"/>
                        </w:tcPr>
                        <w:p w14:paraId="2E83F197">
                          <w:pPr>
                            <w:pStyle w:val="59"/>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14:paraId="4438B28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624" w:type="dxa"/>
                        </w:tcPr>
                        <w:p w14:paraId="761CA6D2">
                          <w:pPr>
                            <w:pStyle w:val="59"/>
                            <w:rPr>
                              <w:rFonts w:cs="Calibri"/>
                              <w:b w:val="0"/>
                              <w:sz w:val="21"/>
                              <w:szCs w:val="21"/>
                            </w:rPr>
                          </w:pPr>
                          <w:r>
                            <w:rPr>
                              <w:rFonts w:hint="eastAsia" w:eastAsia="楷体_GB2312" w:cs="Calibri"/>
                              <w:b w:val="0"/>
                              <w:sz w:val="21"/>
                              <w:szCs w:val="21"/>
                              <w:lang w:eastAsia="zh-CN"/>
                            </w:rPr>
                            <w:t>本研究报告由华福国际分销，在其许可的司法管辖区内从事证券活动。关于华福国际的分析师证明，重要披露声明和免责声明，请参阅附录。</w:t>
                          </w:r>
                          <w:r>
                            <w:rPr>
                              <w:rFonts w:eastAsia="楷体_GB2312" w:cs="Calibri"/>
                              <w:b w:val="0"/>
                              <w:sz w:val="21"/>
                              <w:szCs w:val="21"/>
                              <w:lang w:eastAsia="zh-CN"/>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4E2703EC">
                    <w:pPr>
                      <w:pStyle w:val="59"/>
                      <w:rPr>
                        <w:rFonts w:eastAsia="楷体_GB2312" w:cs="Calibri"/>
                        <w:b w:val="0"/>
                        <w:sz w:val="21"/>
                        <w:szCs w:val="21"/>
                      </w:rPr>
                    </w:pPr>
                  </w:p>
                </w:txbxContent>
              </v:textbox>
              <w10:anchorlock/>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293888">
    <w:pPr>
      <w:pStyle w:val="1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F308B7">
    <w:pPr>
      <w:pStyle w:val="1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6"/>
      <w:tblpPr w:vertAnchor="page" w:horzAnchor="page" w:tblpX="347" w:tblpY="15481"/>
      <w:tblOverlap w:val="never"/>
      <w:tblW w:w="107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1"/>
    </w:tblGrid>
    <w:tr w14:paraId="45C9A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721" w:type="dxa"/>
          <w:tcBorders>
            <w:top w:val="nil"/>
            <w:left w:val="nil"/>
            <w:bottom w:val="nil"/>
            <w:right w:val="nil"/>
          </w:tcBorders>
          <w:vAlign w:val="center"/>
        </w:tcPr>
        <w:p w14:paraId="00AE9CFF">
          <w:pPr>
            <w:pStyle w:val="49"/>
            <w:framePr w:wrap="auto" w:vAnchor="margin" w:hAnchor="text" w:xAlign="left" w:yAlign="inline"/>
          </w:pPr>
          <w:r>
            <w:fldChar w:fldCharType="begin"/>
          </w:r>
          <w:r>
            <w:instrText xml:space="preserve"> DATE  \@ "d MMM yyyy"  \* MERGEFORMAT </w:instrText>
          </w:r>
          <w:r>
            <w:fldChar w:fldCharType="separate"/>
          </w:r>
          <w:r>
            <w:t>17 Mar 2026</w:t>
          </w:r>
          <w:r>
            <w:fldChar w:fldCharType="end"/>
          </w:r>
          <w:r>
            <w:tab/>
          </w:r>
          <w:r>
            <w:fldChar w:fldCharType="begin"/>
          </w:r>
          <w:r>
            <w:instrText xml:space="preserve"> PAGE </w:instrText>
          </w:r>
          <w:r>
            <w:fldChar w:fldCharType="separate"/>
          </w:r>
          <w:r>
            <w:t>4</w:t>
          </w:r>
          <w:r>
            <w:fldChar w:fldCharType="end"/>
          </w:r>
        </w:p>
      </w:tc>
    </w:tr>
  </w:tbl>
  <w:p w14:paraId="63345553">
    <w:pPr>
      <w:pStyle w:val="42"/>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DD5138">
    <w:pPr>
      <w:pStyle w:val="42"/>
      <w:spacing w:line="20" w:lineRule="exact"/>
    </w:pPr>
  </w:p>
  <w:tbl>
    <w:tblPr>
      <w:tblStyle w:val="26"/>
      <w:tblpPr w:vertAnchor="page" w:horzAnchor="page" w:tblpX="347" w:tblpY="15481"/>
      <w:tblOverlap w:val="never"/>
      <w:tblW w:w="107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1"/>
    </w:tblGrid>
    <w:tr w14:paraId="105DE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721" w:type="dxa"/>
          <w:tcBorders>
            <w:top w:val="nil"/>
            <w:left w:val="nil"/>
            <w:bottom w:val="nil"/>
            <w:right w:val="nil"/>
          </w:tcBorders>
          <w:vAlign w:val="center"/>
        </w:tcPr>
        <w:p w14:paraId="07818F2A">
          <w:pPr>
            <w:pStyle w:val="49"/>
            <w:framePr w:wrap="auto" w:vAnchor="margin" w:hAnchor="text" w:xAlign="left" w:yAlign="inline"/>
          </w:pPr>
          <w:r>
            <w:tab/>
          </w:r>
          <w:r>
            <w:fldChar w:fldCharType="begin"/>
          </w:r>
          <w:r>
            <w:instrText xml:space="preserve"> PAGE </w:instrText>
          </w:r>
          <w:r>
            <w:fldChar w:fldCharType="separate"/>
          </w:r>
          <w:r>
            <w:t>6</w:t>
          </w:r>
          <w:r>
            <w:fldChar w:fldCharType="end"/>
          </w:r>
        </w:p>
      </w:tc>
    </w:tr>
  </w:tbl>
  <w:p w14:paraId="7E37F4AA">
    <w:pPr>
      <w:pStyle w:val="42"/>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3A09DA">
    <w:pPr>
      <w:pStyle w:val="1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74667A">
    <w:pPr>
      <w:pStyle w:val="42"/>
    </w:pPr>
  </w:p>
  <w:p w14:paraId="128C370E"/>
  <w:p w14:paraId="2828DAAC">
    <w:r>
      <w:rPr>
        <w:snapToGrid/>
      </w:rPr>
      <w:drawing>
        <wp:anchor distT="0" distB="0" distL="114300" distR="114300" simplePos="0" relativeHeight="251663360" behindDoc="0" locked="0" layoutInCell="1" allowOverlap="1">
          <wp:simplePos x="0" y="0"/>
          <wp:positionH relativeFrom="margin">
            <wp:align>right</wp:align>
          </wp:positionH>
          <wp:positionV relativeFrom="paragraph">
            <wp:posOffset>81915</wp:posOffset>
          </wp:positionV>
          <wp:extent cx="1925955" cy="651510"/>
          <wp:effectExtent l="0" t="0" r="9525" b="3810"/>
          <wp:wrapNone/>
          <wp:docPr id="1012953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53970"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926000" cy="651600"/>
                  </a:xfrm>
                  <a:prstGeom prst="rect">
                    <a:avLst/>
                  </a:prstGeom>
                </pic:spPr>
              </pic:pic>
            </a:graphicData>
          </a:graphic>
        </wp:anchor>
      </w:drawing>
    </w:r>
    <w:r>
      <w:rPr>
        <w:lang w:val="en-US" w:eastAsia="zh-CN"/>
      </w:rPr>
      <mc:AlternateContent>
        <mc:Choice Requires="wps">
          <w:drawing>
            <wp:anchor distT="0" distB="0" distL="114300" distR="114300" simplePos="0" relativeHeight="251662336" behindDoc="0" locked="0" layoutInCell="1" allowOverlap="1">
              <wp:simplePos x="0" y="0"/>
              <wp:positionH relativeFrom="column">
                <wp:posOffset>335915</wp:posOffset>
              </wp:positionH>
              <wp:positionV relativeFrom="paragraph">
                <wp:posOffset>2215515</wp:posOffset>
              </wp:positionV>
              <wp:extent cx="2291715" cy="289560"/>
              <wp:effectExtent l="0" t="0" r="0" b="0"/>
              <wp:wrapNone/>
              <wp:docPr id="30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291715" cy="289560"/>
                      </a:xfrm>
                      <a:prstGeom prst="rect">
                        <a:avLst/>
                      </a:prstGeom>
                      <a:noFill/>
                      <a:ln w="9525">
                        <a:noFill/>
                        <a:miter lim="800000"/>
                      </a:ln>
                    </wps:spPr>
                    <wps:txbx>
                      <w:txbxContent>
                        <w:tbl>
                          <w:tblPr>
                            <w:tblStyle w:val="27"/>
                            <w:tblW w:w="0" w:type="auto"/>
                            <w:tblCaption w:val="[Table_yemei1]"/>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3322"/>
                          </w:tblGrid>
                          <w:tr w14:paraId="7968B0E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3" w:hRule="exact"/>
                            </w:trPr>
                            <w:tc>
                              <w:tcPr>
                                <w:tcW w:w="3322" w:type="dxa"/>
                              </w:tcPr>
                              <w:p w14:paraId="630607DE">
                                <w:pPr>
                                  <w:rPr>
                                    <w:rFonts w:eastAsia="楷体_GB2312"/>
                                    <w:color w:val="FF0000"/>
                                    <w:sz w:val="20"/>
                                    <w:szCs w:val="20"/>
                                  </w:rPr>
                                </w:pPr>
                                <w:r>
                                  <w:rPr>
                                    <w:rFonts w:eastAsia="楷体_GB2312"/>
                                    <w:color w:val="FFFFFF" w:themeColor="background1"/>
                                    <w:sz w:val="20"/>
                                    <w:szCs w:val="20"/>
                                    <w14:textFill>
                                      <w14:solidFill>
                                        <w14:schemeClr w14:val="bg1"/>
                                      </w14:solidFill>
                                    </w14:textFill>
                                  </w:rPr>
                                  <w:t>[Table_yemei1]</w:t>
                                </w:r>
                              </w:p>
                            </w:tc>
                          </w:tr>
                          <w:tr w14:paraId="78A0DC44">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3322" w:type="dxa"/>
                              </w:tcPr>
                              <w:p w14:paraId="40578547">
                                <w:pPr>
                                  <w:rPr>
                                    <w:color w:val="23558C"/>
                                    <w:sz w:val="20"/>
                                    <w:szCs w:val="20"/>
                                  </w:rPr>
                                </w:pPr>
                                <w:r>
                                  <w:rPr>
                                    <w:rFonts w:hint="eastAsia" w:eastAsia="楷体_GB2312"/>
                                    <w:color w:val="23558C"/>
                                    <w:sz w:val="20"/>
                                    <w:szCs w:val="20"/>
                                    <w:lang w:eastAsia="zh-CN"/>
                                  </w:rPr>
                                  <w:t xml:space="preserve">观点聚焦 </w:t>
                                </w:r>
                                <w:r>
                                  <w:rPr>
                                    <w:rFonts w:eastAsia="楷体_GB2312"/>
                                    <w:color w:val="23558C"/>
                                    <w:sz w:val="20"/>
                                    <w:szCs w:val="20"/>
                                    <w:lang w:eastAsia="zh-CN"/>
                                  </w:rPr>
                                  <w:t>Investment Focus</w:t>
                                </w:r>
                              </w:p>
                            </w:tc>
                          </w:tr>
                        </w:tbl>
                        <w:p w14:paraId="4E2F16FC">
                          <w:pPr>
                            <w:spacing w:line="40" w:lineRule="exact"/>
                            <w:rPr>
                              <w:rFonts w:eastAsia="楷体_GB2312"/>
                              <w:color w:val="23558C"/>
                              <w:sz w:val="10"/>
                              <w:szCs w:val="10"/>
                              <w:lang w:eastAsia="zh-CN"/>
                            </w:rPr>
                          </w:pP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26.45pt;margin-top:174.45pt;height:22.8pt;width:180.45pt;z-index:251662336;mso-width-relative:page;mso-height-relative:page;" filled="f" stroked="f" coordsize="21600,21600" o:gfxdata="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FTle1rYAAAACgEAAA8AAAAAAAAAAQAgAAAAIgAAAGRycy9kb3ducmV2LnhtbFBLAQIUABQAAAAI&#10;AIdO4kBEPAoLJgIAACsEAAAOAAAAAAAAAAEAIAAAACcBAABkcnMvZTJvRG9jLnhtbFBLBQYAAAAA&#10;BgAGAFkBAAC/BQAAAAA=&#10;">
              <v:fill on="f" focussize="0,0"/>
              <v:stroke on="f" miterlimit="8" joinstyle="miter"/>
              <v:imagedata o:title=""/>
              <o:lock v:ext="edit" aspectratio="f"/>
              <v:textbox>
                <w:txbxContent>
                  <w:tbl>
                    <w:tblPr>
                      <w:tblStyle w:val="27"/>
                      <w:tblW w:w="0" w:type="auto"/>
                      <w:tblCaption w:val="[Table_yemei1]"/>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3322"/>
                    </w:tblGrid>
                    <w:tr w14:paraId="7968B0E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3" w:hRule="exact"/>
                      </w:trPr>
                      <w:tc>
                        <w:tcPr>
                          <w:tcW w:w="3322" w:type="dxa"/>
                        </w:tcPr>
                        <w:p w14:paraId="630607DE">
                          <w:pPr>
                            <w:rPr>
                              <w:rFonts w:eastAsia="楷体_GB2312"/>
                              <w:color w:val="FF0000"/>
                              <w:sz w:val="20"/>
                              <w:szCs w:val="20"/>
                            </w:rPr>
                          </w:pPr>
                          <w:r>
                            <w:rPr>
                              <w:rFonts w:eastAsia="楷体_GB2312"/>
                              <w:color w:val="FFFFFF" w:themeColor="background1"/>
                              <w:sz w:val="20"/>
                              <w:szCs w:val="20"/>
                              <w14:textFill>
                                <w14:solidFill>
                                  <w14:schemeClr w14:val="bg1"/>
                                </w14:solidFill>
                              </w14:textFill>
                            </w:rPr>
                            <w:t>[Table_yemei1]</w:t>
                          </w:r>
                        </w:p>
                      </w:tc>
                    </w:tr>
                    <w:tr w14:paraId="78A0DC44">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3322" w:type="dxa"/>
                        </w:tcPr>
                        <w:p w14:paraId="40578547">
                          <w:pPr>
                            <w:rPr>
                              <w:color w:val="23558C"/>
                              <w:sz w:val="20"/>
                              <w:szCs w:val="20"/>
                            </w:rPr>
                          </w:pPr>
                          <w:r>
                            <w:rPr>
                              <w:rFonts w:hint="eastAsia" w:eastAsia="楷体_GB2312"/>
                              <w:color w:val="23558C"/>
                              <w:sz w:val="20"/>
                              <w:szCs w:val="20"/>
                              <w:lang w:eastAsia="zh-CN"/>
                            </w:rPr>
                            <w:t xml:space="preserve">观点聚焦 </w:t>
                          </w:r>
                          <w:r>
                            <w:rPr>
                              <w:rFonts w:eastAsia="楷体_GB2312"/>
                              <w:color w:val="23558C"/>
                              <w:sz w:val="20"/>
                              <w:szCs w:val="20"/>
                              <w:lang w:eastAsia="zh-CN"/>
                            </w:rPr>
                            <w:t>Investment Focus</w:t>
                          </w:r>
                        </w:p>
                      </w:tc>
                    </w:tr>
                  </w:tbl>
                  <w:p w14:paraId="4E2F16FC">
                    <w:pPr>
                      <w:spacing w:line="40" w:lineRule="exact"/>
                      <w:rPr>
                        <w:rFonts w:eastAsia="楷体_GB2312"/>
                        <w:color w:val="23558C"/>
                        <w:sz w:val="10"/>
                        <w:szCs w:val="10"/>
                        <w:lang w:eastAsia="zh-CN"/>
                      </w:rPr>
                    </w:pPr>
                  </w:p>
                </w:txbxContent>
              </v:textbox>
            </v:shape>
          </w:pict>
        </mc:Fallback>
      </mc:AlternateContent>
    </w:r>
    <w:r>
      <w:rPr>
        <w:lang w:val="en-US" w:eastAsia="zh-CN"/>
      </w:rPr>
      <w:drawing>
        <wp:anchor distT="0" distB="0" distL="114300" distR="114300" simplePos="0" relativeHeight="251660288" behindDoc="1" locked="0" layoutInCell="1" allowOverlap="1">
          <wp:simplePos x="0" y="0"/>
          <wp:positionH relativeFrom="column">
            <wp:posOffset>-60960</wp:posOffset>
          </wp:positionH>
          <wp:positionV relativeFrom="paragraph">
            <wp:posOffset>2253615</wp:posOffset>
          </wp:positionV>
          <wp:extent cx="360045" cy="179705"/>
          <wp:effectExtent l="0" t="0" r="5715" b="3175"/>
          <wp:wrapNone/>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360000" cy="18000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E3EE3A">
    <w:pPr>
      <w:pStyle w:val="1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75E796">
    <w:pPr>
      <w:pStyle w:val="1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7"/>
      <w:tblW w:w="0" w:type="auto"/>
      <w:tblCaption w:val="[Table_header2]"/>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10594"/>
    </w:tblGrid>
    <w:tr w14:paraId="2001E769">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90" w:hRule="exact"/>
      </w:trPr>
      <w:tc>
        <w:tcPr>
          <w:tcW w:w="10685" w:type="dxa"/>
        </w:tcPr>
        <w:p w14:paraId="5C4D63FE">
          <w:pPr>
            <w:pStyle w:val="42"/>
            <w:rPr>
              <w:color w:val="FF0000"/>
            </w:rPr>
          </w:pPr>
          <w:r>
            <w:rPr>
              <w:color w:val="FFFFFF" w:themeColor="background1"/>
              <w14:textFill>
                <w14:solidFill>
                  <w14:schemeClr w14:val="bg1"/>
                </w14:solidFill>
              </w14:textFill>
            </w:rPr>
            <w:t>[Table_header2]</w:t>
          </w:r>
        </w:p>
      </w:tc>
    </w:tr>
    <w:tr w14:paraId="0F3E747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0685" w:type="dxa"/>
        </w:tcPr>
        <w:p w14:paraId="04175C59">
          <w:pPr>
            <w:pStyle w:val="42"/>
            <w:jc w:val="right"/>
            <w:rPr>
              <w:rFonts w:eastAsia="楷体_GB2312" w:cs="Calibri"/>
              <w:b/>
              <w:color w:val="005BAC"/>
              <w:sz w:val="24"/>
              <w:szCs w:val="24"/>
            </w:rPr>
          </w:pPr>
          <w:r>
            <w:rPr>
              <w:rFonts w:hint="eastAsia" w:eastAsia="楷体_GB2312"/>
              <w:color w:val="215E99"/>
              <w:sz w:val="24"/>
              <w:lang w:eastAsia="zh-CN"/>
            </w:rPr>
            <w:t>全球</w:t>
          </w:r>
          <w:r>
            <w:rPr>
              <w:rFonts w:hint="eastAsia" w:eastAsia="楷体_GB2312"/>
              <w:color w:val="215E99"/>
              <w:sz w:val="24"/>
            </w:rPr>
            <w:t>宏观</w:t>
          </w:r>
          <w:r>
            <w:rPr>
              <w:rFonts w:hint="eastAsia" w:eastAsia="楷体_GB2312"/>
              <w:color w:val="215E99"/>
              <w:sz w:val="24"/>
              <w:lang w:eastAsia="zh-CN"/>
            </w:rPr>
            <w:t>World</w:t>
          </w:r>
          <w:r>
            <w:rPr>
              <w:rFonts w:eastAsia="楷体_GB2312"/>
              <w:color w:val="215E99"/>
              <w:sz w:val="24"/>
            </w:rPr>
            <w:t xml:space="preserve"> Macro</w:t>
          </w:r>
        </w:p>
      </w:tc>
    </w:tr>
  </w:tbl>
  <w:p w14:paraId="6A069A32">
    <w:pPr>
      <w:pStyle w:val="42"/>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885BFC">
    <w:pPr>
      <w:pStyle w:val="42"/>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765537">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634AC8"/>
    <w:multiLevelType w:val="multilevel"/>
    <w:tmpl w:val="02634AC8"/>
    <w:lvl w:ilvl="0" w:tentative="0">
      <w:start w:val="1"/>
      <w:numFmt w:val="bullet"/>
      <w:pStyle w:val="138"/>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
    <w:nsid w:val="03935DA5"/>
    <w:multiLevelType w:val="multilevel"/>
    <w:tmpl w:val="03935DA5"/>
    <w:lvl w:ilvl="0" w:tentative="0">
      <w:start w:val="1"/>
      <w:numFmt w:val="bullet"/>
      <w:pStyle w:val="46"/>
      <w:lvlText w:val=""/>
      <w:lvlJc w:val="left"/>
      <w:pPr>
        <w:ind w:left="720" w:hanging="360"/>
      </w:pPr>
      <w:rPr>
        <w:rFonts w:hint="default" w:ascii="Wingdings" w:hAnsi="Wingdings"/>
        <w:b w:val="0"/>
        <w:i w:val="0"/>
        <w:color w:val="3333AD"/>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C657F7"/>
    <w:multiLevelType w:val="multilevel"/>
    <w:tmpl w:val="04C657F7"/>
    <w:lvl w:ilvl="0" w:tentative="0">
      <w:start w:val="1"/>
      <w:numFmt w:val="decimal"/>
      <w:lvlText w:val="%1."/>
      <w:lvlJc w:val="left"/>
      <w:pPr>
        <w:tabs>
          <w:tab w:val="left" w:pos="425"/>
        </w:tabs>
        <w:ind w:left="425" w:hanging="425"/>
      </w:pPr>
      <w:rPr>
        <w:rFonts w:hint="eastAsia"/>
      </w:rPr>
    </w:lvl>
    <w:lvl w:ilvl="1" w:tentative="0">
      <w:start w:val="1"/>
      <w:numFmt w:val="decimal"/>
      <w:lvlText w:val="%1.%2."/>
      <w:lvlJc w:val="left"/>
      <w:pPr>
        <w:tabs>
          <w:tab w:val="left" w:pos="567"/>
        </w:tabs>
        <w:ind w:left="567" w:hanging="567"/>
      </w:pPr>
      <w:rPr>
        <w:rFonts w:hint="default" w:ascii="Times New Roman" w:hAnsi="Times New Roman"/>
      </w:rPr>
    </w:lvl>
    <w:lvl w:ilvl="2" w:tentative="0">
      <w:start w:val="1"/>
      <w:numFmt w:val="decimal"/>
      <w:lvlText w:val="%1.%2.%3."/>
      <w:lvlJc w:val="left"/>
      <w:pPr>
        <w:tabs>
          <w:tab w:val="left" w:pos="709"/>
        </w:tabs>
        <w:ind w:left="709" w:hanging="709"/>
      </w:pPr>
      <w:rPr>
        <w:rFonts w:hint="eastAsia"/>
      </w:rPr>
    </w:lvl>
    <w:lvl w:ilvl="3" w:tentative="0">
      <w:start w:val="1"/>
      <w:numFmt w:val="decimal"/>
      <w:pStyle w:val="5"/>
      <w:lvlText w:val="%1.%2.%3.%4."/>
      <w:lvlJc w:val="left"/>
      <w:pPr>
        <w:tabs>
          <w:tab w:val="left" w:pos="3911"/>
        </w:tabs>
        <w:ind w:left="391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3">
    <w:nsid w:val="238731C4"/>
    <w:multiLevelType w:val="multilevel"/>
    <w:tmpl w:val="238731C4"/>
    <w:lvl w:ilvl="0" w:tentative="0">
      <w:start w:val="1"/>
      <w:numFmt w:val="upperRoman"/>
      <w:pStyle w:val="87"/>
      <w:lvlText w:val="PART %1:"/>
      <w:lvlJc w:val="left"/>
      <w:pPr>
        <w:ind w:left="720" w:hanging="360"/>
      </w:pPr>
      <w:rPr>
        <w:rFonts w:hint="eastAsia"/>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331A2D25"/>
    <w:multiLevelType w:val="multilevel"/>
    <w:tmpl w:val="331A2D25"/>
    <w:lvl w:ilvl="0" w:tentative="0">
      <w:start w:val="1"/>
      <w:numFmt w:val="bullet"/>
      <w:pStyle w:val="68"/>
      <w:lvlText w:val=""/>
      <w:lvlJc w:val="left"/>
      <w:pPr>
        <w:ind w:left="720" w:hanging="360"/>
      </w:pPr>
      <w:rPr>
        <w:rFonts w:hint="default" w:ascii="Wingdings" w:hAnsi="Wingdings"/>
        <w:b w:val="0"/>
        <w:i w:val="0"/>
        <w:color w:val="A5879B"/>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38A55B35"/>
    <w:multiLevelType w:val="multilevel"/>
    <w:tmpl w:val="38A55B35"/>
    <w:lvl w:ilvl="0" w:tentative="0">
      <w:start w:val="1"/>
      <w:numFmt w:val="bullet"/>
      <w:pStyle w:val="92"/>
      <w:lvlText w:val=""/>
      <w:lvlJc w:val="left"/>
      <w:pPr>
        <w:ind w:left="480" w:hanging="480"/>
      </w:pPr>
      <w:rPr>
        <w:rFonts w:hint="default" w:ascii="Symbol" w:hAnsi="Symbol"/>
        <w:b/>
        <w:color w:val="23558C"/>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6">
    <w:nsid w:val="41772804"/>
    <w:multiLevelType w:val="multilevel"/>
    <w:tmpl w:val="41772804"/>
    <w:lvl w:ilvl="0" w:tentative="0">
      <w:start w:val="1"/>
      <w:numFmt w:val="bullet"/>
      <w:pStyle w:val="67"/>
      <w:lvlText w:val=""/>
      <w:lvlJc w:val="left"/>
      <w:pPr>
        <w:ind w:left="720" w:hanging="360"/>
      </w:pPr>
      <w:rPr>
        <w:rFonts w:hint="default" w:ascii="Wingdings" w:hAnsi="Wingdings"/>
        <w:b w:val="0"/>
        <w:i w:val="0"/>
        <w:color w:val="99CCFF"/>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41EA01BD"/>
    <w:multiLevelType w:val="multilevel"/>
    <w:tmpl w:val="41EA01BD"/>
    <w:lvl w:ilvl="0" w:tentative="0">
      <w:start w:val="1"/>
      <w:numFmt w:val="bullet"/>
      <w:pStyle w:val="84"/>
      <w:lvlText w:val=""/>
      <w:lvlJc w:val="left"/>
      <w:pPr>
        <w:ind w:left="720" w:hanging="360"/>
      </w:pPr>
      <w:rPr>
        <w:rFonts w:hint="default" w:ascii="Wingdings 3" w:hAnsi="Wingdings 3"/>
        <w:sz w:val="20"/>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479321DC"/>
    <w:multiLevelType w:val="multilevel"/>
    <w:tmpl w:val="479321DC"/>
    <w:lvl w:ilvl="0" w:tentative="0">
      <w:start w:val="1"/>
      <w:numFmt w:val="bullet"/>
      <w:pStyle w:val="39"/>
      <w:lvlText w:val=""/>
      <w:lvlJc w:val="left"/>
      <w:pPr>
        <w:ind w:left="720" w:hanging="360"/>
      </w:pPr>
      <w:rPr>
        <w:rFonts w:hint="default" w:ascii="Wingdings 3" w:hAnsi="Wingdings 3"/>
        <w:sz w:val="20"/>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662B5102"/>
    <w:multiLevelType w:val="multilevel"/>
    <w:tmpl w:val="662B5102"/>
    <w:lvl w:ilvl="0" w:tentative="0">
      <w:start w:val="1"/>
      <w:numFmt w:val="bullet"/>
      <w:pStyle w:val="93"/>
      <w:lvlText w:val=""/>
      <w:lvlJc w:val="left"/>
      <w:pPr>
        <w:ind w:left="280" w:hanging="280"/>
      </w:pPr>
      <w:rPr>
        <w:rFonts w:hint="default" w:ascii="Symbol" w:hAnsi="Symbol"/>
        <w:b/>
        <w:color w:val="23558C"/>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10">
    <w:nsid w:val="6B531506"/>
    <w:multiLevelType w:val="multilevel"/>
    <w:tmpl w:val="6B531506"/>
    <w:lvl w:ilvl="0" w:tentative="0">
      <w:start w:val="1"/>
      <w:numFmt w:val="upperRoman"/>
      <w:pStyle w:val="99"/>
      <w:lvlText w:val="PART %1."/>
      <w:lvlJc w:val="left"/>
      <w:pPr>
        <w:ind w:left="480" w:hanging="480"/>
      </w:pPr>
      <w:rPr>
        <w:rFonts w:hint="eastAsia"/>
      </w:rPr>
    </w:lvl>
    <w:lvl w:ilvl="1" w:tentative="0">
      <w:start w:val="1"/>
      <w:numFmt w:val="ideographTraditional"/>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ideographTraditional"/>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ideographTraditional"/>
      <w:lvlText w:val="%8、"/>
      <w:lvlJc w:val="left"/>
      <w:pPr>
        <w:ind w:left="3840" w:hanging="480"/>
      </w:pPr>
    </w:lvl>
    <w:lvl w:ilvl="8" w:tentative="0">
      <w:start w:val="1"/>
      <w:numFmt w:val="lowerRoman"/>
      <w:lvlText w:val="%9."/>
      <w:lvlJc w:val="right"/>
      <w:pPr>
        <w:ind w:left="4320" w:hanging="480"/>
      </w:pPr>
    </w:lvl>
  </w:abstractNum>
  <w:abstractNum w:abstractNumId="11">
    <w:nsid w:val="6C4E34EC"/>
    <w:multiLevelType w:val="multilevel"/>
    <w:tmpl w:val="6C4E34EC"/>
    <w:lvl w:ilvl="0" w:tentative="0">
      <w:start w:val="1"/>
      <w:numFmt w:val="bullet"/>
      <w:pStyle w:val="66"/>
      <w:lvlText w:val=""/>
      <w:lvlJc w:val="left"/>
      <w:pPr>
        <w:ind w:left="720" w:hanging="360"/>
      </w:pPr>
      <w:rPr>
        <w:rFonts w:hint="default" w:ascii="Wingdings" w:hAnsi="Wingdings"/>
        <w:b w:val="0"/>
        <w:i w:val="0"/>
        <w:color w:val="86C091"/>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8"/>
  </w:num>
  <w:num w:numId="3">
    <w:abstractNumId w:val="1"/>
  </w:num>
  <w:num w:numId="4">
    <w:abstractNumId w:val="11"/>
  </w:num>
  <w:num w:numId="5">
    <w:abstractNumId w:val="6"/>
  </w:num>
  <w:num w:numId="6">
    <w:abstractNumId w:val="4"/>
  </w:num>
  <w:num w:numId="7">
    <w:abstractNumId w:val="7"/>
  </w:num>
  <w:num w:numId="8">
    <w:abstractNumId w:val="3"/>
  </w:num>
  <w:num w:numId="9">
    <w:abstractNumId w:val="5"/>
  </w:num>
  <w:num w:numId="10">
    <w:abstractNumId w:val="9"/>
  </w:num>
  <w:num w:numId="11">
    <w:abstractNumId w:val="10"/>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B01" w:allStyles="1" w:customStyles="0" w:latentStyles="0" w:stylesInUse="0" w:headingStyles="0" w:numberingStyles="0" w:tableStyles="0" w:directFormattingOnRuns="1" w:directFormattingOnParagraphs="1" w:directFormattingOnNumbering="0" w:directFormattingOnTables="1" w:clearFormatting="1" w:top3HeadingStyles="1" w:visibleStyles="0" w:alternateStyleNames="0"/>
  <w:attachedTemplate r:id="rId1"/>
  <w:documentProtection w:enforcement="0"/>
  <w:defaultTabStop w:val="400"/>
  <w:drawingGridHorizontalSpacing w:val="80"/>
  <w:drawingGridVerticalSpacing w:val="200"/>
  <w:noPunctuationKerning w:val="1"/>
  <w:characterSpacingControl w:val="doNotCompress"/>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APWAFVersion" w:val="5.0"/>
    <w:docVar w:name="EFAAccountID" w:val="1010"/>
    <w:docVar w:name="EFAAnnMonth" w:val="12"/>
    <w:docVar w:name="EFAAnnualise" w:val="False"/>
    <w:docVar w:name="EFAAuthorEmails" w:val="andy.cy.so@htisec.com"/>
    <w:docVar w:name="EFAAuthorIDs" w:val="2081"/>
    <w:docVar w:name="EFAAuthorNames" w:val="Andy So, CFA"/>
    <w:docVar w:name="EFAComputerName" w:val="DESKTOP-RSKMA3J"/>
    <w:docVar w:name="EFACorpID" w:val="-1"/>
    <w:docVar w:name="EFADefaultPriceDate" w:val="True"/>
    <w:docVar w:name="EFADevData" w:val="False"/>
    <w:docVar w:name="EFADisclaimerHiddenTextStyle" w:val="EFADisclaimerHiddenText"/>
    <w:docVar w:name="EFADisclaimerTextStyle" w:val="EFADisclaimerText"/>
    <w:docVar w:name="EFADocID" w:val="38659"/>
    <w:docVar w:name="EFADocTemplateVer" w:val="HaiTong"/>
    <w:docVar w:name="EFAExcelVersion" w:val="14"/>
    <w:docVar w:name="EFAFirstIntOffset" w:val="1"/>
    <w:docVar w:name="EFAGUID" w:val="A0D1E583-EDD7-40CD-ACA9-CF552EE34C59"/>
    <w:docVar w:name="EFAIntEndYear" w:val="0"/>
    <w:docVar w:name="EFAIntPeriodNumber" w:val="0"/>
    <w:docVar w:name="EFAIntStartYear" w:val="0"/>
    <w:docVar w:name="EFALanguageID" w:val="2057"/>
    <w:docVar w:name="EFALastRefreshDate" w:val="20190728 11:52:34"/>
    <w:docVar w:name="EFALogonSvr" w:val="\\DESKTOP-RSKMA3J"/>
    <w:docVar w:name="EFAMarket" w:val="HK"/>
    <w:docVar w:name="EFAOperatingSys" w:val="Windows_NT"/>
    <w:docVar w:name="EFAPageCount" w:val="14"/>
    <w:docVar w:name="EFAPriceDate" w:val="20190727 00:00:00"/>
    <w:docVar w:name="EFASecurityIndex" w:val="0"/>
    <w:docVar w:name="EFAStartYear" w:val="0"/>
    <w:docVar w:name="EFATemplate" w:val="Macro note - HTI.dotx"/>
    <w:docVar w:name="EFATemplateID" w:val="203"/>
    <w:docVar w:name="EFAUnits" w:val="Use Default"/>
    <w:docVar w:name="EFAUseIntTables" w:val="False"/>
    <w:docVar w:name="EFAUserID" w:val="2100"/>
    <w:docVar w:name="EFAUserName" w:val="Nicolas Wang"/>
    <w:docVar w:name="EFAUsrDomain" w:val="DESKTOP-RSKMA3J"/>
    <w:docVar w:name="EFAWinUserName" w:val="zhoulinhong"/>
    <w:docVar w:name="EFAWordVersion" w:val="14"/>
  </w:docVars>
  <w:rsids>
    <w:rsidRoot w:val="00B006B9"/>
    <w:rsid w:val="0000020F"/>
    <w:rsid w:val="00000236"/>
    <w:rsid w:val="0000097F"/>
    <w:rsid w:val="00001979"/>
    <w:rsid w:val="000019ED"/>
    <w:rsid w:val="00001C0E"/>
    <w:rsid w:val="0000224B"/>
    <w:rsid w:val="00002DDC"/>
    <w:rsid w:val="00003E75"/>
    <w:rsid w:val="00004BAA"/>
    <w:rsid w:val="00004FB5"/>
    <w:rsid w:val="0000558A"/>
    <w:rsid w:val="000063F1"/>
    <w:rsid w:val="0000732D"/>
    <w:rsid w:val="00010774"/>
    <w:rsid w:val="00010D9C"/>
    <w:rsid w:val="0001184F"/>
    <w:rsid w:val="00013043"/>
    <w:rsid w:val="000130D9"/>
    <w:rsid w:val="00013244"/>
    <w:rsid w:val="00014086"/>
    <w:rsid w:val="000146CB"/>
    <w:rsid w:val="000152DE"/>
    <w:rsid w:val="000158A6"/>
    <w:rsid w:val="000171D2"/>
    <w:rsid w:val="000201AE"/>
    <w:rsid w:val="00020B7A"/>
    <w:rsid w:val="00021DAC"/>
    <w:rsid w:val="00021DD0"/>
    <w:rsid w:val="00022C11"/>
    <w:rsid w:val="00023367"/>
    <w:rsid w:val="00024051"/>
    <w:rsid w:val="00024F59"/>
    <w:rsid w:val="0002500A"/>
    <w:rsid w:val="00025E71"/>
    <w:rsid w:val="00025F59"/>
    <w:rsid w:val="00026DCC"/>
    <w:rsid w:val="00027183"/>
    <w:rsid w:val="000277C4"/>
    <w:rsid w:val="00027FEF"/>
    <w:rsid w:val="0003028B"/>
    <w:rsid w:val="00031D6F"/>
    <w:rsid w:val="00032B31"/>
    <w:rsid w:val="000334F3"/>
    <w:rsid w:val="000336AF"/>
    <w:rsid w:val="00033DF7"/>
    <w:rsid w:val="000347D5"/>
    <w:rsid w:val="00035535"/>
    <w:rsid w:val="00035E45"/>
    <w:rsid w:val="0003686B"/>
    <w:rsid w:val="00041387"/>
    <w:rsid w:val="00041A6F"/>
    <w:rsid w:val="0004283E"/>
    <w:rsid w:val="00042B17"/>
    <w:rsid w:val="00043062"/>
    <w:rsid w:val="00043657"/>
    <w:rsid w:val="0004549E"/>
    <w:rsid w:val="00047D52"/>
    <w:rsid w:val="000516AD"/>
    <w:rsid w:val="00051EC9"/>
    <w:rsid w:val="00052838"/>
    <w:rsid w:val="00052DCF"/>
    <w:rsid w:val="00053BBB"/>
    <w:rsid w:val="00054224"/>
    <w:rsid w:val="00054451"/>
    <w:rsid w:val="00055381"/>
    <w:rsid w:val="0005743D"/>
    <w:rsid w:val="000575A3"/>
    <w:rsid w:val="00057779"/>
    <w:rsid w:val="000640E9"/>
    <w:rsid w:val="00065200"/>
    <w:rsid w:val="000700E0"/>
    <w:rsid w:val="00070B53"/>
    <w:rsid w:val="00070F15"/>
    <w:rsid w:val="000729AF"/>
    <w:rsid w:val="0007309A"/>
    <w:rsid w:val="00073BEB"/>
    <w:rsid w:val="000749C7"/>
    <w:rsid w:val="00075B0A"/>
    <w:rsid w:val="00077BA0"/>
    <w:rsid w:val="00080296"/>
    <w:rsid w:val="000810B3"/>
    <w:rsid w:val="00084B49"/>
    <w:rsid w:val="000860EA"/>
    <w:rsid w:val="00086E96"/>
    <w:rsid w:val="00090800"/>
    <w:rsid w:val="00091895"/>
    <w:rsid w:val="000920C4"/>
    <w:rsid w:val="000924C1"/>
    <w:rsid w:val="00094A4C"/>
    <w:rsid w:val="00094FAC"/>
    <w:rsid w:val="000950FF"/>
    <w:rsid w:val="00095F8B"/>
    <w:rsid w:val="00096909"/>
    <w:rsid w:val="00096986"/>
    <w:rsid w:val="00096A8E"/>
    <w:rsid w:val="00096FC5"/>
    <w:rsid w:val="000974BE"/>
    <w:rsid w:val="00097FD4"/>
    <w:rsid w:val="000A0550"/>
    <w:rsid w:val="000A23D4"/>
    <w:rsid w:val="000A2C9D"/>
    <w:rsid w:val="000A30E9"/>
    <w:rsid w:val="000A461B"/>
    <w:rsid w:val="000A6794"/>
    <w:rsid w:val="000A726A"/>
    <w:rsid w:val="000B13C1"/>
    <w:rsid w:val="000B18D6"/>
    <w:rsid w:val="000B2336"/>
    <w:rsid w:val="000B465C"/>
    <w:rsid w:val="000B792D"/>
    <w:rsid w:val="000B7DE2"/>
    <w:rsid w:val="000C02F6"/>
    <w:rsid w:val="000C1F65"/>
    <w:rsid w:val="000C2B68"/>
    <w:rsid w:val="000C2E9E"/>
    <w:rsid w:val="000C39D2"/>
    <w:rsid w:val="000C3D03"/>
    <w:rsid w:val="000C4852"/>
    <w:rsid w:val="000C627B"/>
    <w:rsid w:val="000C77D8"/>
    <w:rsid w:val="000C7E1A"/>
    <w:rsid w:val="000D1903"/>
    <w:rsid w:val="000D19B0"/>
    <w:rsid w:val="000D1A3C"/>
    <w:rsid w:val="000D4908"/>
    <w:rsid w:val="000E098F"/>
    <w:rsid w:val="000E0A01"/>
    <w:rsid w:val="000E0F0E"/>
    <w:rsid w:val="000E1FB8"/>
    <w:rsid w:val="000E35E3"/>
    <w:rsid w:val="000E3705"/>
    <w:rsid w:val="000E377C"/>
    <w:rsid w:val="000E3E8B"/>
    <w:rsid w:val="000E4D3F"/>
    <w:rsid w:val="000E5287"/>
    <w:rsid w:val="000E664D"/>
    <w:rsid w:val="000E6BA6"/>
    <w:rsid w:val="000F098D"/>
    <w:rsid w:val="000F0C19"/>
    <w:rsid w:val="000F2165"/>
    <w:rsid w:val="000F2174"/>
    <w:rsid w:val="000F2DBB"/>
    <w:rsid w:val="000F2EEE"/>
    <w:rsid w:val="000F3079"/>
    <w:rsid w:val="000F344B"/>
    <w:rsid w:val="000F3823"/>
    <w:rsid w:val="000F3A9C"/>
    <w:rsid w:val="000F4524"/>
    <w:rsid w:val="000F4B02"/>
    <w:rsid w:val="000F4E66"/>
    <w:rsid w:val="000F4EF6"/>
    <w:rsid w:val="000F58C6"/>
    <w:rsid w:val="000F58F4"/>
    <w:rsid w:val="000F5BDB"/>
    <w:rsid w:val="000F6139"/>
    <w:rsid w:val="000F626D"/>
    <w:rsid w:val="000F6823"/>
    <w:rsid w:val="0010065C"/>
    <w:rsid w:val="00100684"/>
    <w:rsid w:val="001009C1"/>
    <w:rsid w:val="00100F5F"/>
    <w:rsid w:val="001029E6"/>
    <w:rsid w:val="00103CDB"/>
    <w:rsid w:val="001059C9"/>
    <w:rsid w:val="0010656E"/>
    <w:rsid w:val="00106DF2"/>
    <w:rsid w:val="001102D0"/>
    <w:rsid w:val="00110B26"/>
    <w:rsid w:val="00110FF3"/>
    <w:rsid w:val="001111AD"/>
    <w:rsid w:val="00113DC0"/>
    <w:rsid w:val="001154B0"/>
    <w:rsid w:val="0011588A"/>
    <w:rsid w:val="001164AF"/>
    <w:rsid w:val="00117571"/>
    <w:rsid w:val="00117C9F"/>
    <w:rsid w:val="00120A7B"/>
    <w:rsid w:val="00121CC5"/>
    <w:rsid w:val="00122BB4"/>
    <w:rsid w:val="00123AC1"/>
    <w:rsid w:val="00123F41"/>
    <w:rsid w:val="0012412A"/>
    <w:rsid w:val="00124271"/>
    <w:rsid w:val="00124E3B"/>
    <w:rsid w:val="0012686A"/>
    <w:rsid w:val="00126871"/>
    <w:rsid w:val="00127CD0"/>
    <w:rsid w:val="00130BC2"/>
    <w:rsid w:val="001311FC"/>
    <w:rsid w:val="0013302A"/>
    <w:rsid w:val="00133D86"/>
    <w:rsid w:val="001345B6"/>
    <w:rsid w:val="00135A41"/>
    <w:rsid w:val="00137678"/>
    <w:rsid w:val="00141BEC"/>
    <w:rsid w:val="001434AA"/>
    <w:rsid w:val="00145B09"/>
    <w:rsid w:val="0014788D"/>
    <w:rsid w:val="00147C4A"/>
    <w:rsid w:val="00147D4C"/>
    <w:rsid w:val="00147D9D"/>
    <w:rsid w:val="00150630"/>
    <w:rsid w:val="00150CA3"/>
    <w:rsid w:val="00151197"/>
    <w:rsid w:val="001513EB"/>
    <w:rsid w:val="0015270C"/>
    <w:rsid w:val="00152755"/>
    <w:rsid w:val="001529C2"/>
    <w:rsid w:val="00152A74"/>
    <w:rsid w:val="00153A16"/>
    <w:rsid w:val="00153A6A"/>
    <w:rsid w:val="00153CD1"/>
    <w:rsid w:val="00153D09"/>
    <w:rsid w:val="00155466"/>
    <w:rsid w:val="001565F2"/>
    <w:rsid w:val="00156799"/>
    <w:rsid w:val="00160306"/>
    <w:rsid w:val="0016407E"/>
    <w:rsid w:val="00164CA4"/>
    <w:rsid w:val="00165FE3"/>
    <w:rsid w:val="001669C8"/>
    <w:rsid w:val="00166E15"/>
    <w:rsid w:val="00167695"/>
    <w:rsid w:val="00170C3B"/>
    <w:rsid w:val="00170DCB"/>
    <w:rsid w:val="001721EC"/>
    <w:rsid w:val="001763B0"/>
    <w:rsid w:val="001769B5"/>
    <w:rsid w:val="001771D0"/>
    <w:rsid w:val="001807CA"/>
    <w:rsid w:val="00181893"/>
    <w:rsid w:val="00181D43"/>
    <w:rsid w:val="0018583D"/>
    <w:rsid w:val="00185B06"/>
    <w:rsid w:val="001872F4"/>
    <w:rsid w:val="001875FC"/>
    <w:rsid w:val="00191469"/>
    <w:rsid w:val="001922CB"/>
    <w:rsid w:val="0019345E"/>
    <w:rsid w:val="0019383A"/>
    <w:rsid w:val="00194662"/>
    <w:rsid w:val="00195C32"/>
    <w:rsid w:val="001962CE"/>
    <w:rsid w:val="00197061"/>
    <w:rsid w:val="0019732D"/>
    <w:rsid w:val="00197CAF"/>
    <w:rsid w:val="001A1911"/>
    <w:rsid w:val="001A3692"/>
    <w:rsid w:val="001A4F63"/>
    <w:rsid w:val="001A528B"/>
    <w:rsid w:val="001A563D"/>
    <w:rsid w:val="001A571E"/>
    <w:rsid w:val="001A6C17"/>
    <w:rsid w:val="001A7AE5"/>
    <w:rsid w:val="001B0473"/>
    <w:rsid w:val="001B0E69"/>
    <w:rsid w:val="001B1F03"/>
    <w:rsid w:val="001B2F6F"/>
    <w:rsid w:val="001B3090"/>
    <w:rsid w:val="001B31CA"/>
    <w:rsid w:val="001B3D32"/>
    <w:rsid w:val="001B3E45"/>
    <w:rsid w:val="001B45FD"/>
    <w:rsid w:val="001C020B"/>
    <w:rsid w:val="001C105A"/>
    <w:rsid w:val="001C20AC"/>
    <w:rsid w:val="001C2549"/>
    <w:rsid w:val="001C3243"/>
    <w:rsid w:val="001C3C78"/>
    <w:rsid w:val="001C577A"/>
    <w:rsid w:val="001C5D7B"/>
    <w:rsid w:val="001C62E1"/>
    <w:rsid w:val="001C637C"/>
    <w:rsid w:val="001C7FED"/>
    <w:rsid w:val="001D00D0"/>
    <w:rsid w:val="001D2489"/>
    <w:rsid w:val="001D2DEF"/>
    <w:rsid w:val="001D345B"/>
    <w:rsid w:val="001D3D89"/>
    <w:rsid w:val="001D4C97"/>
    <w:rsid w:val="001D58D6"/>
    <w:rsid w:val="001D663F"/>
    <w:rsid w:val="001D6B4F"/>
    <w:rsid w:val="001D6F5B"/>
    <w:rsid w:val="001E04EA"/>
    <w:rsid w:val="001E0900"/>
    <w:rsid w:val="001E23F5"/>
    <w:rsid w:val="001E4AE1"/>
    <w:rsid w:val="001E4BA2"/>
    <w:rsid w:val="001E59E2"/>
    <w:rsid w:val="001E60AA"/>
    <w:rsid w:val="001E6C6E"/>
    <w:rsid w:val="001E7BEF"/>
    <w:rsid w:val="001E7FF3"/>
    <w:rsid w:val="001F0651"/>
    <w:rsid w:val="001F1906"/>
    <w:rsid w:val="001F1C59"/>
    <w:rsid w:val="001F3F20"/>
    <w:rsid w:val="001F4135"/>
    <w:rsid w:val="001F536A"/>
    <w:rsid w:val="001F5572"/>
    <w:rsid w:val="001F5A51"/>
    <w:rsid w:val="001F75AC"/>
    <w:rsid w:val="00200B71"/>
    <w:rsid w:val="00201113"/>
    <w:rsid w:val="00201302"/>
    <w:rsid w:val="002017C5"/>
    <w:rsid w:val="002019A5"/>
    <w:rsid w:val="0020268B"/>
    <w:rsid w:val="00203B27"/>
    <w:rsid w:val="00203E93"/>
    <w:rsid w:val="00205F60"/>
    <w:rsid w:val="0020724C"/>
    <w:rsid w:val="0021325D"/>
    <w:rsid w:val="00214810"/>
    <w:rsid w:val="00214CA6"/>
    <w:rsid w:val="00215AB9"/>
    <w:rsid w:val="00215D4D"/>
    <w:rsid w:val="002179B7"/>
    <w:rsid w:val="0022007B"/>
    <w:rsid w:val="002207F6"/>
    <w:rsid w:val="00221CAF"/>
    <w:rsid w:val="00221D28"/>
    <w:rsid w:val="002229E1"/>
    <w:rsid w:val="0022396B"/>
    <w:rsid w:val="00225267"/>
    <w:rsid w:val="00225ADD"/>
    <w:rsid w:val="00226246"/>
    <w:rsid w:val="0022643A"/>
    <w:rsid w:val="00227B8A"/>
    <w:rsid w:val="00227E8E"/>
    <w:rsid w:val="0023015F"/>
    <w:rsid w:val="002323DB"/>
    <w:rsid w:val="002333C1"/>
    <w:rsid w:val="002334CD"/>
    <w:rsid w:val="002334F3"/>
    <w:rsid w:val="00237463"/>
    <w:rsid w:val="002408B0"/>
    <w:rsid w:val="002409CB"/>
    <w:rsid w:val="00240D3A"/>
    <w:rsid w:val="0024314C"/>
    <w:rsid w:val="00243985"/>
    <w:rsid w:val="00243BC1"/>
    <w:rsid w:val="00244462"/>
    <w:rsid w:val="00247965"/>
    <w:rsid w:val="00247BCD"/>
    <w:rsid w:val="002501F5"/>
    <w:rsid w:val="00250E07"/>
    <w:rsid w:val="0025139A"/>
    <w:rsid w:val="00251EC5"/>
    <w:rsid w:val="00253320"/>
    <w:rsid w:val="00253A6F"/>
    <w:rsid w:val="00253D92"/>
    <w:rsid w:val="0025406B"/>
    <w:rsid w:val="00255E22"/>
    <w:rsid w:val="00256095"/>
    <w:rsid w:val="002562BC"/>
    <w:rsid w:val="002567B0"/>
    <w:rsid w:val="0025700B"/>
    <w:rsid w:val="00257AC0"/>
    <w:rsid w:val="00261434"/>
    <w:rsid w:val="002617C7"/>
    <w:rsid w:val="00262A58"/>
    <w:rsid w:val="00262C21"/>
    <w:rsid w:val="0026432E"/>
    <w:rsid w:val="00264B84"/>
    <w:rsid w:val="002666AC"/>
    <w:rsid w:val="00267EFE"/>
    <w:rsid w:val="00271DAB"/>
    <w:rsid w:val="00273FB3"/>
    <w:rsid w:val="00274E8C"/>
    <w:rsid w:val="00275A6D"/>
    <w:rsid w:val="00275B79"/>
    <w:rsid w:val="00276A7D"/>
    <w:rsid w:val="002772E9"/>
    <w:rsid w:val="002777FE"/>
    <w:rsid w:val="00280FB4"/>
    <w:rsid w:val="002817A0"/>
    <w:rsid w:val="00281946"/>
    <w:rsid w:val="0028248E"/>
    <w:rsid w:val="0028255D"/>
    <w:rsid w:val="00282B2F"/>
    <w:rsid w:val="00282B6C"/>
    <w:rsid w:val="002833B6"/>
    <w:rsid w:val="002843D0"/>
    <w:rsid w:val="002846D0"/>
    <w:rsid w:val="00284BE9"/>
    <w:rsid w:val="00285753"/>
    <w:rsid w:val="00286353"/>
    <w:rsid w:val="00286E37"/>
    <w:rsid w:val="00286F8D"/>
    <w:rsid w:val="002870CD"/>
    <w:rsid w:val="00290715"/>
    <w:rsid w:val="00290FFE"/>
    <w:rsid w:val="00292704"/>
    <w:rsid w:val="00293E45"/>
    <w:rsid w:val="00296000"/>
    <w:rsid w:val="00296930"/>
    <w:rsid w:val="002969CE"/>
    <w:rsid w:val="002976D7"/>
    <w:rsid w:val="00297780"/>
    <w:rsid w:val="00297C2B"/>
    <w:rsid w:val="00297EF5"/>
    <w:rsid w:val="002A034C"/>
    <w:rsid w:val="002A0BCF"/>
    <w:rsid w:val="002A0FF7"/>
    <w:rsid w:val="002A1AF8"/>
    <w:rsid w:val="002A20F7"/>
    <w:rsid w:val="002A2A17"/>
    <w:rsid w:val="002A2EB2"/>
    <w:rsid w:val="002A30AA"/>
    <w:rsid w:val="002A3710"/>
    <w:rsid w:val="002A3E5A"/>
    <w:rsid w:val="002A5BD9"/>
    <w:rsid w:val="002A7BB7"/>
    <w:rsid w:val="002B03B4"/>
    <w:rsid w:val="002B15B5"/>
    <w:rsid w:val="002B1747"/>
    <w:rsid w:val="002B1CC9"/>
    <w:rsid w:val="002B2C18"/>
    <w:rsid w:val="002B40A7"/>
    <w:rsid w:val="002B4AC7"/>
    <w:rsid w:val="002B516B"/>
    <w:rsid w:val="002B6571"/>
    <w:rsid w:val="002B68AF"/>
    <w:rsid w:val="002B709B"/>
    <w:rsid w:val="002C07D1"/>
    <w:rsid w:val="002C0CCE"/>
    <w:rsid w:val="002C0D89"/>
    <w:rsid w:val="002C2D27"/>
    <w:rsid w:val="002C3E56"/>
    <w:rsid w:val="002C4E72"/>
    <w:rsid w:val="002C51E2"/>
    <w:rsid w:val="002C5BFC"/>
    <w:rsid w:val="002C6FAE"/>
    <w:rsid w:val="002D1C70"/>
    <w:rsid w:val="002D2336"/>
    <w:rsid w:val="002D2431"/>
    <w:rsid w:val="002D4A31"/>
    <w:rsid w:val="002D524C"/>
    <w:rsid w:val="002D761C"/>
    <w:rsid w:val="002D78E2"/>
    <w:rsid w:val="002D7CB8"/>
    <w:rsid w:val="002E0E93"/>
    <w:rsid w:val="002E29EA"/>
    <w:rsid w:val="002E2D7C"/>
    <w:rsid w:val="002E400B"/>
    <w:rsid w:val="002E6900"/>
    <w:rsid w:val="002F09F8"/>
    <w:rsid w:val="002F0EEC"/>
    <w:rsid w:val="002F1534"/>
    <w:rsid w:val="002F3F48"/>
    <w:rsid w:val="002F437F"/>
    <w:rsid w:val="002F5E46"/>
    <w:rsid w:val="002F65E1"/>
    <w:rsid w:val="0030077C"/>
    <w:rsid w:val="003007A4"/>
    <w:rsid w:val="0030101D"/>
    <w:rsid w:val="003015C5"/>
    <w:rsid w:val="00301B30"/>
    <w:rsid w:val="0030327A"/>
    <w:rsid w:val="00304467"/>
    <w:rsid w:val="00304E2E"/>
    <w:rsid w:val="003104B3"/>
    <w:rsid w:val="003137DC"/>
    <w:rsid w:val="003142B9"/>
    <w:rsid w:val="003170E4"/>
    <w:rsid w:val="00317AD1"/>
    <w:rsid w:val="003200D1"/>
    <w:rsid w:val="00320995"/>
    <w:rsid w:val="00320FC6"/>
    <w:rsid w:val="0032349C"/>
    <w:rsid w:val="003246B4"/>
    <w:rsid w:val="003248CF"/>
    <w:rsid w:val="0032665B"/>
    <w:rsid w:val="0032754A"/>
    <w:rsid w:val="0033051D"/>
    <w:rsid w:val="0033069E"/>
    <w:rsid w:val="0033080E"/>
    <w:rsid w:val="00330915"/>
    <w:rsid w:val="00330EE9"/>
    <w:rsid w:val="0033109E"/>
    <w:rsid w:val="00331A3F"/>
    <w:rsid w:val="0033253A"/>
    <w:rsid w:val="0033260F"/>
    <w:rsid w:val="00332816"/>
    <w:rsid w:val="00332B39"/>
    <w:rsid w:val="00333D24"/>
    <w:rsid w:val="00333F06"/>
    <w:rsid w:val="00334FEB"/>
    <w:rsid w:val="003353E1"/>
    <w:rsid w:val="00335FB1"/>
    <w:rsid w:val="00336395"/>
    <w:rsid w:val="00337886"/>
    <w:rsid w:val="00337CD7"/>
    <w:rsid w:val="003408AF"/>
    <w:rsid w:val="003418D2"/>
    <w:rsid w:val="00342E7B"/>
    <w:rsid w:val="00343447"/>
    <w:rsid w:val="00343583"/>
    <w:rsid w:val="00344135"/>
    <w:rsid w:val="00346D6E"/>
    <w:rsid w:val="00347720"/>
    <w:rsid w:val="0035072E"/>
    <w:rsid w:val="003514ED"/>
    <w:rsid w:val="003516DE"/>
    <w:rsid w:val="003519F8"/>
    <w:rsid w:val="00352D75"/>
    <w:rsid w:val="003533A0"/>
    <w:rsid w:val="00353500"/>
    <w:rsid w:val="0035369E"/>
    <w:rsid w:val="00353FA6"/>
    <w:rsid w:val="00356FAA"/>
    <w:rsid w:val="00357B9C"/>
    <w:rsid w:val="00360383"/>
    <w:rsid w:val="00360BD6"/>
    <w:rsid w:val="00360E3F"/>
    <w:rsid w:val="00363BD9"/>
    <w:rsid w:val="00364B54"/>
    <w:rsid w:val="00365E9C"/>
    <w:rsid w:val="00366288"/>
    <w:rsid w:val="00366310"/>
    <w:rsid w:val="00366ED6"/>
    <w:rsid w:val="003677DE"/>
    <w:rsid w:val="00372B4C"/>
    <w:rsid w:val="00373BBC"/>
    <w:rsid w:val="003747D4"/>
    <w:rsid w:val="00375A75"/>
    <w:rsid w:val="00375F8D"/>
    <w:rsid w:val="00376CD7"/>
    <w:rsid w:val="003807D7"/>
    <w:rsid w:val="0038264E"/>
    <w:rsid w:val="003827A2"/>
    <w:rsid w:val="00383DC8"/>
    <w:rsid w:val="0038534D"/>
    <w:rsid w:val="00385A0D"/>
    <w:rsid w:val="0038635C"/>
    <w:rsid w:val="00387C20"/>
    <w:rsid w:val="003902FB"/>
    <w:rsid w:val="00392793"/>
    <w:rsid w:val="00393CDF"/>
    <w:rsid w:val="003946A4"/>
    <w:rsid w:val="0039579D"/>
    <w:rsid w:val="00396480"/>
    <w:rsid w:val="003965D7"/>
    <w:rsid w:val="00397950"/>
    <w:rsid w:val="00397E5D"/>
    <w:rsid w:val="003A019D"/>
    <w:rsid w:val="003A0567"/>
    <w:rsid w:val="003A0765"/>
    <w:rsid w:val="003A16B2"/>
    <w:rsid w:val="003A3982"/>
    <w:rsid w:val="003A5479"/>
    <w:rsid w:val="003A5A36"/>
    <w:rsid w:val="003A61BB"/>
    <w:rsid w:val="003A6201"/>
    <w:rsid w:val="003A6448"/>
    <w:rsid w:val="003A76FD"/>
    <w:rsid w:val="003A7A6B"/>
    <w:rsid w:val="003A7FED"/>
    <w:rsid w:val="003B1E5B"/>
    <w:rsid w:val="003B3DFE"/>
    <w:rsid w:val="003B3E37"/>
    <w:rsid w:val="003B405B"/>
    <w:rsid w:val="003B42E0"/>
    <w:rsid w:val="003B509D"/>
    <w:rsid w:val="003B6659"/>
    <w:rsid w:val="003B69AF"/>
    <w:rsid w:val="003B78FD"/>
    <w:rsid w:val="003B7A01"/>
    <w:rsid w:val="003C2B67"/>
    <w:rsid w:val="003C3701"/>
    <w:rsid w:val="003C3ED1"/>
    <w:rsid w:val="003C50EE"/>
    <w:rsid w:val="003C635C"/>
    <w:rsid w:val="003C6529"/>
    <w:rsid w:val="003C704F"/>
    <w:rsid w:val="003D0442"/>
    <w:rsid w:val="003D1349"/>
    <w:rsid w:val="003D2FBC"/>
    <w:rsid w:val="003D5B68"/>
    <w:rsid w:val="003D60E8"/>
    <w:rsid w:val="003E1544"/>
    <w:rsid w:val="003E1742"/>
    <w:rsid w:val="003E1947"/>
    <w:rsid w:val="003E20CF"/>
    <w:rsid w:val="003E373F"/>
    <w:rsid w:val="003E46AE"/>
    <w:rsid w:val="003E6A30"/>
    <w:rsid w:val="003E70FD"/>
    <w:rsid w:val="003E7202"/>
    <w:rsid w:val="003E7E4D"/>
    <w:rsid w:val="003F0606"/>
    <w:rsid w:val="003F0B9B"/>
    <w:rsid w:val="003F3133"/>
    <w:rsid w:val="003F3890"/>
    <w:rsid w:val="003F3B50"/>
    <w:rsid w:val="003F3D61"/>
    <w:rsid w:val="003F471A"/>
    <w:rsid w:val="003F6107"/>
    <w:rsid w:val="003F6324"/>
    <w:rsid w:val="00401A4E"/>
    <w:rsid w:val="00401B4F"/>
    <w:rsid w:val="00402599"/>
    <w:rsid w:val="00402B6F"/>
    <w:rsid w:val="00402DAC"/>
    <w:rsid w:val="004040BC"/>
    <w:rsid w:val="00406C24"/>
    <w:rsid w:val="00407691"/>
    <w:rsid w:val="00410565"/>
    <w:rsid w:val="00411712"/>
    <w:rsid w:val="00411FBC"/>
    <w:rsid w:val="0041203B"/>
    <w:rsid w:val="0041212F"/>
    <w:rsid w:val="0041231B"/>
    <w:rsid w:val="004128B0"/>
    <w:rsid w:val="00415733"/>
    <w:rsid w:val="00416C58"/>
    <w:rsid w:val="00417D1E"/>
    <w:rsid w:val="00420FFA"/>
    <w:rsid w:val="00421446"/>
    <w:rsid w:val="00424051"/>
    <w:rsid w:val="00424323"/>
    <w:rsid w:val="00425799"/>
    <w:rsid w:val="004268E2"/>
    <w:rsid w:val="00426E9A"/>
    <w:rsid w:val="00426F97"/>
    <w:rsid w:val="0043142D"/>
    <w:rsid w:val="004317E7"/>
    <w:rsid w:val="00432736"/>
    <w:rsid w:val="0043381E"/>
    <w:rsid w:val="00435B92"/>
    <w:rsid w:val="00436E43"/>
    <w:rsid w:val="00437AE7"/>
    <w:rsid w:val="00437BA0"/>
    <w:rsid w:val="00437C5D"/>
    <w:rsid w:val="004401E6"/>
    <w:rsid w:val="004419D5"/>
    <w:rsid w:val="00442011"/>
    <w:rsid w:val="004427CF"/>
    <w:rsid w:val="004455BA"/>
    <w:rsid w:val="004459F7"/>
    <w:rsid w:val="00445B35"/>
    <w:rsid w:val="00445C70"/>
    <w:rsid w:val="00446E1E"/>
    <w:rsid w:val="00447892"/>
    <w:rsid w:val="00447F55"/>
    <w:rsid w:val="00451B81"/>
    <w:rsid w:val="00451D9F"/>
    <w:rsid w:val="004522CB"/>
    <w:rsid w:val="00453AA2"/>
    <w:rsid w:val="00454315"/>
    <w:rsid w:val="0045656D"/>
    <w:rsid w:val="004614F7"/>
    <w:rsid w:val="0046476B"/>
    <w:rsid w:val="00465CDD"/>
    <w:rsid w:val="00465F11"/>
    <w:rsid w:val="00465F7C"/>
    <w:rsid w:val="00466070"/>
    <w:rsid w:val="0047069C"/>
    <w:rsid w:val="00471BD4"/>
    <w:rsid w:val="00471D17"/>
    <w:rsid w:val="00476676"/>
    <w:rsid w:val="00477B76"/>
    <w:rsid w:val="0048066D"/>
    <w:rsid w:val="00480CEB"/>
    <w:rsid w:val="00482B8A"/>
    <w:rsid w:val="00482E33"/>
    <w:rsid w:val="00483D89"/>
    <w:rsid w:val="00484475"/>
    <w:rsid w:val="00484733"/>
    <w:rsid w:val="004858DE"/>
    <w:rsid w:val="00486709"/>
    <w:rsid w:val="00487D32"/>
    <w:rsid w:val="00490D07"/>
    <w:rsid w:val="00491C58"/>
    <w:rsid w:val="004921D5"/>
    <w:rsid w:val="00493228"/>
    <w:rsid w:val="00493ED4"/>
    <w:rsid w:val="004957E9"/>
    <w:rsid w:val="00495868"/>
    <w:rsid w:val="00496F1D"/>
    <w:rsid w:val="004974F4"/>
    <w:rsid w:val="004A16A4"/>
    <w:rsid w:val="004A41E3"/>
    <w:rsid w:val="004A5616"/>
    <w:rsid w:val="004A5666"/>
    <w:rsid w:val="004A58D1"/>
    <w:rsid w:val="004A69D0"/>
    <w:rsid w:val="004A7634"/>
    <w:rsid w:val="004B0D20"/>
    <w:rsid w:val="004B1788"/>
    <w:rsid w:val="004B1AB5"/>
    <w:rsid w:val="004B2AB5"/>
    <w:rsid w:val="004B2BC9"/>
    <w:rsid w:val="004B3154"/>
    <w:rsid w:val="004B4238"/>
    <w:rsid w:val="004C2B9D"/>
    <w:rsid w:val="004C349E"/>
    <w:rsid w:val="004C4436"/>
    <w:rsid w:val="004C581E"/>
    <w:rsid w:val="004C6485"/>
    <w:rsid w:val="004C6B74"/>
    <w:rsid w:val="004D04E2"/>
    <w:rsid w:val="004D07D7"/>
    <w:rsid w:val="004D0B93"/>
    <w:rsid w:val="004D11C3"/>
    <w:rsid w:val="004D179A"/>
    <w:rsid w:val="004D2B04"/>
    <w:rsid w:val="004D414B"/>
    <w:rsid w:val="004D7E88"/>
    <w:rsid w:val="004E012C"/>
    <w:rsid w:val="004E1DBE"/>
    <w:rsid w:val="004E2483"/>
    <w:rsid w:val="004E24CF"/>
    <w:rsid w:val="004E42A4"/>
    <w:rsid w:val="004E44EA"/>
    <w:rsid w:val="004E503B"/>
    <w:rsid w:val="004E5961"/>
    <w:rsid w:val="004E6DFD"/>
    <w:rsid w:val="004F01A1"/>
    <w:rsid w:val="004F045F"/>
    <w:rsid w:val="004F075F"/>
    <w:rsid w:val="004F10EF"/>
    <w:rsid w:val="004F240C"/>
    <w:rsid w:val="004F2539"/>
    <w:rsid w:val="004F28E9"/>
    <w:rsid w:val="004F43A8"/>
    <w:rsid w:val="004F54F7"/>
    <w:rsid w:val="004F68C4"/>
    <w:rsid w:val="004F76A3"/>
    <w:rsid w:val="00501811"/>
    <w:rsid w:val="0050337A"/>
    <w:rsid w:val="00504579"/>
    <w:rsid w:val="0050661D"/>
    <w:rsid w:val="00506BC8"/>
    <w:rsid w:val="00506C1E"/>
    <w:rsid w:val="00507CBE"/>
    <w:rsid w:val="00510770"/>
    <w:rsid w:val="00511D90"/>
    <w:rsid w:val="005121D1"/>
    <w:rsid w:val="00512B60"/>
    <w:rsid w:val="005133B5"/>
    <w:rsid w:val="00514459"/>
    <w:rsid w:val="0051447F"/>
    <w:rsid w:val="005154B9"/>
    <w:rsid w:val="00516174"/>
    <w:rsid w:val="005162B9"/>
    <w:rsid w:val="00516335"/>
    <w:rsid w:val="005168A7"/>
    <w:rsid w:val="0051783A"/>
    <w:rsid w:val="005208AE"/>
    <w:rsid w:val="00521943"/>
    <w:rsid w:val="0052229B"/>
    <w:rsid w:val="005232E3"/>
    <w:rsid w:val="00526866"/>
    <w:rsid w:val="005345BE"/>
    <w:rsid w:val="00535196"/>
    <w:rsid w:val="00535B57"/>
    <w:rsid w:val="00535FC6"/>
    <w:rsid w:val="00537FCA"/>
    <w:rsid w:val="00540A1F"/>
    <w:rsid w:val="00540E1E"/>
    <w:rsid w:val="00541053"/>
    <w:rsid w:val="00541FF6"/>
    <w:rsid w:val="005433CC"/>
    <w:rsid w:val="00543C68"/>
    <w:rsid w:val="00546269"/>
    <w:rsid w:val="00546EDD"/>
    <w:rsid w:val="00547212"/>
    <w:rsid w:val="00552ABB"/>
    <w:rsid w:val="00552EA0"/>
    <w:rsid w:val="0055353A"/>
    <w:rsid w:val="00553786"/>
    <w:rsid w:val="0055395D"/>
    <w:rsid w:val="00553ED4"/>
    <w:rsid w:val="00554097"/>
    <w:rsid w:val="00554174"/>
    <w:rsid w:val="005554D3"/>
    <w:rsid w:val="00555A69"/>
    <w:rsid w:val="00556102"/>
    <w:rsid w:val="0055730F"/>
    <w:rsid w:val="00560063"/>
    <w:rsid w:val="005600C6"/>
    <w:rsid w:val="00561FC9"/>
    <w:rsid w:val="00564CBC"/>
    <w:rsid w:val="0056504D"/>
    <w:rsid w:val="005654CF"/>
    <w:rsid w:val="005706CD"/>
    <w:rsid w:val="00570D9C"/>
    <w:rsid w:val="00570E72"/>
    <w:rsid w:val="00570EC0"/>
    <w:rsid w:val="00571862"/>
    <w:rsid w:val="00571CB9"/>
    <w:rsid w:val="00573577"/>
    <w:rsid w:val="00573A22"/>
    <w:rsid w:val="0057520F"/>
    <w:rsid w:val="005779C2"/>
    <w:rsid w:val="00580930"/>
    <w:rsid w:val="00580CF8"/>
    <w:rsid w:val="0058321A"/>
    <w:rsid w:val="00584671"/>
    <w:rsid w:val="005854F9"/>
    <w:rsid w:val="00585ECA"/>
    <w:rsid w:val="0058688D"/>
    <w:rsid w:val="00587EA1"/>
    <w:rsid w:val="00590E48"/>
    <w:rsid w:val="00591701"/>
    <w:rsid w:val="00591B49"/>
    <w:rsid w:val="0059391C"/>
    <w:rsid w:val="00594CC3"/>
    <w:rsid w:val="00596D1A"/>
    <w:rsid w:val="0059729D"/>
    <w:rsid w:val="00597D00"/>
    <w:rsid w:val="005A032A"/>
    <w:rsid w:val="005A1166"/>
    <w:rsid w:val="005A16E9"/>
    <w:rsid w:val="005A171B"/>
    <w:rsid w:val="005A1749"/>
    <w:rsid w:val="005A1AE3"/>
    <w:rsid w:val="005A4568"/>
    <w:rsid w:val="005A6BC2"/>
    <w:rsid w:val="005A70A6"/>
    <w:rsid w:val="005A77B9"/>
    <w:rsid w:val="005B0456"/>
    <w:rsid w:val="005B0707"/>
    <w:rsid w:val="005B0BAC"/>
    <w:rsid w:val="005B174E"/>
    <w:rsid w:val="005B2D1A"/>
    <w:rsid w:val="005B403B"/>
    <w:rsid w:val="005B4BA6"/>
    <w:rsid w:val="005B5EA9"/>
    <w:rsid w:val="005B63F0"/>
    <w:rsid w:val="005B6506"/>
    <w:rsid w:val="005B6591"/>
    <w:rsid w:val="005B65F0"/>
    <w:rsid w:val="005C04B0"/>
    <w:rsid w:val="005C1540"/>
    <w:rsid w:val="005C18C3"/>
    <w:rsid w:val="005C1CF1"/>
    <w:rsid w:val="005C31A9"/>
    <w:rsid w:val="005C4CDC"/>
    <w:rsid w:val="005C61D7"/>
    <w:rsid w:val="005C6F27"/>
    <w:rsid w:val="005D054C"/>
    <w:rsid w:val="005D27B4"/>
    <w:rsid w:val="005D35A3"/>
    <w:rsid w:val="005D4050"/>
    <w:rsid w:val="005D419C"/>
    <w:rsid w:val="005D5E45"/>
    <w:rsid w:val="005D6BB5"/>
    <w:rsid w:val="005E2F8C"/>
    <w:rsid w:val="005E322A"/>
    <w:rsid w:val="005E3B8F"/>
    <w:rsid w:val="005E3F8F"/>
    <w:rsid w:val="005E420F"/>
    <w:rsid w:val="005E46DB"/>
    <w:rsid w:val="005E665B"/>
    <w:rsid w:val="005E699B"/>
    <w:rsid w:val="005F1C13"/>
    <w:rsid w:val="005F204A"/>
    <w:rsid w:val="005F2F76"/>
    <w:rsid w:val="005F33EE"/>
    <w:rsid w:val="005F3BA0"/>
    <w:rsid w:val="005F4C10"/>
    <w:rsid w:val="005F5414"/>
    <w:rsid w:val="005F59A7"/>
    <w:rsid w:val="005F5CBE"/>
    <w:rsid w:val="005F6E38"/>
    <w:rsid w:val="0060090A"/>
    <w:rsid w:val="00600D92"/>
    <w:rsid w:val="00600DB7"/>
    <w:rsid w:val="00601EA2"/>
    <w:rsid w:val="00602D99"/>
    <w:rsid w:val="00602DD5"/>
    <w:rsid w:val="006032DA"/>
    <w:rsid w:val="006037B8"/>
    <w:rsid w:val="00603F0D"/>
    <w:rsid w:val="00604EA4"/>
    <w:rsid w:val="0060511B"/>
    <w:rsid w:val="0060590D"/>
    <w:rsid w:val="00607E41"/>
    <w:rsid w:val="0061378B"/>
    <w:rsid w:val="00613888"/>
    <w:rsid w:val="006139FA"/>
    <w:rsid w:val="00616808"/>
    <w:rsid w:val="006203C0"/>
    <w:rsid w:val="00620A28"/>
    <w:rsid w:val="00620A80"/>
    <w:rsid w:val="00621E59"/>
    <w:rsid w:val="00622772"/>
    <w:rsid w:val="0062285F"/>
    <w:rsid w:val="006234FF"/>
    <w:rsid w:val="00624FCF"/>
    <w:rsid w:val="00625A26"/>
    <w:rsid w:val="006260CE"/>
    <w:rsid w:val="006260F8"/>
    <w:rsid w:val="0063008E"/>
    <w:rsid w:val="00630818"/>
    <w:rsid w:val="0063242E"/>
    <w:rsid w:val="0063311F"/>
    <w:rsid w:val="00633456"/>
    <w:rsid w:val="0063383D"/>
    <w:rsid w:val="00633C40"/>
    <w:rsid w:val="00634861"/>
    <w:rsid w:val="00634A29"/>
    <w:rsid w:val="00634D33"/>
    <w:rsid w:val="00634E90"/>
    <w:rsid w:val="00635858"/>
    <w:rsid w:val="00635CB7"/>
    <w:rsid w:val="00636FAA"/>
    <w:rsid w:val="00637372"/>
    <w:rsid w:val="0063744B"/>
    <w:rsid w:val="00637601"/>
    <w:rsid w:val="00637824"/>
    <w:rsid w:val="00640F23"/>
    <w:rsid w:val="00641930"/>
    <w:rsid w:val="00641BC0"/>
    <w:rsid w:val="00643125"/>
    <w:rsid w:val="00647178"/>
    <w:rsid w:val="00647698"/>
    <w:rsid w:val="00647E4C"/>
    <w:rsid w:val="00647E9E"/>
    <w:rsid w:val="0065015C"/>
    <w:rsid w:val="00651357"/>
    <w:rsid w:val="00654941"/>
    <w:rsid w:val="006549FF"/>
    <w:rsid w:val="006554AB"/>
    <w:rsid w:val="00656A25"/>
    <w:rsid w:val="00657881"/>
    <w:rsid w:val="00657A98"/>
    <w:rsid w:val="0066094D"/>
    <w:rsid w:val="006627A7"/>
    <w:rsid w:val="0066438F"/>
    <w:rsid w:val="00665CA9"/>
    <w:rsid w:val="00666BD8"/>
    <w:rsid w:val="006671B2"/>
    <w:rsid w:val="006700EB"/>
    <w:rsid w:val="00670489"/>
    <w:rsid w:val="00671B9B"/>
    <w:rsid w:val="006726FB"/>
    <w:rsid w:val="0067272A"/>
    <w:rsid w:val="00672D5A"/>
    <w:rsid w:val="0067310C"/>
    <w:rsid w:val="00674080"/>
    <w:rsid w:val="006754D5"/>
    <w:rsid w:val="00675F54"/>
    <w:rsid w:val="00676DE9"/>
    <w:rsid w:val="006772FC"/>
    <w:rsid w:val="00680135"/>
    <w:rsid w:val="0068066B"/>
    <w:rsid w:val="00681037"/>
    <w:rsid w:val="006819DE"/>
    <w:rsid w:val="00682641"/>
    <w:rsid w:val="006832EE"/>
    <w:rsid w:val="00683475"/>
    <w:rsid w:val="00683D44"/>
    <w:rsid w:val="00683E9C"/>
    <w:rsid w:val="00684B1A"/>
    <w:rsid w:val="0068626B"/>
    <w:rsid w:val="00687E1E"/>
    <w:rsid w:val="00690DED"/>
    <w:rsid w:val="0069142C"/>
    <w:rsid w:val="00692771"/>
    <w:rsid w:val="006939A2"/>
    <w:rsid w:val="00694022"/>
    <w:rsid w:val="00694ED0"/>
    <w:rsid w:val="00695726"/>
    <w:rsid w:val="006962D7"/>
    <w:rsid w:val="006A091F"/>
    <w:rsid w:val="006A3270"/>
    <w:rsid w:val="006A4D7D"/>
    <w:rsid w:val="006A5DC7"/>
    <w:rsid w:val="006A63C1"/>
    <w:rsid w:val="006A654F"/>
    <w:rsid w:val="006A6A56"/>
    <w:rsid w:val="006A7843"/>
    <w:rsid w:val="006A78F5"/>
    <w:rsid w:val="006B0DB1"/>
    <w:rsid w:val="006B11A7"/>
    <w:rsid w:val="006B1CF6"/>
    <w:rsid w:val="006B1F33"/>
    <w:rsid w:val="006B276F"/>
    <w:rsid w:val="006B5712"/>
    <w:rsid w:val="006B59B3"/>
    <w:rsid w:val="006B5F1F"/>
    <w:rsid w:val="006B62B1"/>
    <w:rsid w:val="006B72FC"/>
    <w:rsid w:val="006B797F"/>
    <w:rsid w:val="006C09B8"/>
    <w:rsid w:val="006C1052"/>
    <w:rsid w:val="006C2C62"/>
    <w:rsid w:val="006C319B"/>
    <w:rsid w:val="006C34CB"/>
    <w:rsid w:val="006C4687"/>
    <w:rsid w:val="006C5C78"/>
    <w:rsid w:val="006C61E6"/>
    <w:rsid w:val="006C7548"/>
    <w:rsid w:val="006C78AD"/>
    <w:rsid w:val="006D14C1"/>
    <w:rsid w:val="006D14EC"/>
    <w:rsid w:val="006D15B1"/>
    <w:rsid w:val="006D1E8A"/>
    <w:rsid w:val="006D3905"/>
    <w:rsid w:val="006D3D1D"/>
    <w:rsid w:val="006D3F3A"/>
    <w:rsid w:val="006D56D4"/>
    <w:rsid w:val="006D709B"/>
    <w:rsid w:val="006D7950"/>
    <w:rsid w:val="006D797C"/>
    <w:rsid w:val="006E0668"/>
    <w:rsid w:val="006E0FB2"/>
    <w:rsid w:val="006E3C9A"/>
    <w:rsid w:val="006E4225"/>
    <w:rsid w:val="006E4752"/>
    <w:rsid w:val="006E4BA1"/>
    <w:rsid w:val="006E6710"/>
    <w:rsid w:val="006E6A4C"/>
    <w:rsid w:val="006E6C49"/>
    <w:rsid w:val="006E746C"/>
    <w:rsid w:val="006F4323"/>
    <w:rsid w:val="006F5B75"/>
    <w:rsid w:val="006F7F16"/>
    <w:rsid w:val="00700FFC"/>
    <w:rsid w:val="007014EB"/>
    <w:rsid w:val="00701859"/>
    <w:rsid w:val="00701FA5"/>
    <w:rsid w:val="0070263D"/>
    <w:rsid w:val="00702F23"/>
    <w:rsid w:val="0070326F"/>
    <w:rsid w:val="00703F83"/>
    <w:rsid w:val="007056D7"/>
    <w:rsid w:val="00705EB0"/>
    <w:rsid w:val="00706C26"/>
    <w:rsid w:val="00706DFA"/>
    <w:rsid w:val="00706EC1"/>
    <w:rsid w:val="00707768"/>
    <w:rsid w:val="00710653"/>
    <w:rsid w:val="00710759"/>
    <w:rsid w:val="00712178"/>
    <w:rsid w:val="0071239E"/>
    <w:rsid w:val="00712606"/>
    <w:rsid w:val="007133D1"/>
    <w:rsid w:val="00714ABF"/>
    <w:rsid w:val="0071619A"/>
    <w:rsid w:val="00716363"/>
    <w:rsid w:val="00717115"/>
    <w:rsid w:val="0072046F"/>
    <w:rsid w:val="007207EC"/>
    <w:rsid w:val="007224DE"/>
    <w:rsid w:val="007226BD"/>
    <w:rsid w:val="007234E6"/>
    <w:rsid w:val="0072594D"/>
    <w:rsid w:val="00726DA5"/>
    <w:rsid w:val="00730428"/>
    <w:rsid w:val="00731B12"/>
    <w:rsid w:val="00731D6D"/>
    <w:rsid w:val="00732258"/>
    <w:rsid w:val="00733A7D"/>
    <w:rsid w:val="007344D3"/>
    <w:rsid w:val="00735B26"/>
    <w:rsid w:val="0073669C"/>
    <w:rsid w:val="0073677A"/>
    <w:rsid w:val="007371D7"/>
    <w:rsid w:val="0073771D"/>
    <w:rsid w:val="007402BF"/>
    <w:rsid w:val="007405CD"/>
    <w:rsid w:val="007408FD"/>
    <w:rsid w:val="00740E08"/>
    <w:rsid w:val="007414B7"/>
    <w:rsid w:val="00741671"/>
    <w:rsid w:val="00741E18"/>
    <w:rsid w:val="00745155"/>
    <w:rsid w:val="00745FDB"/>
    <w:rsid w:val="00746511"/>
    <w:rsid w:val="00750797"/>
    <w:rsid w:val="007509E8"/>
    <w:rsid w:val="007516D0"/>
    <w:rsid w:val="0075187E"/>
    <w:rsid w:val="00752269"/>
    <w:rsid w:val="00752480"/>
    <w:rsid w:val="00752ED0"/>
    <w:rsid w:val="0075313B"/>
    <w:rsid w:val="00753930"/>
    <w:rsid w:val="00753B92"/>
    <w:rsid w:val="0075418A"/>
    <w:rsid w:val="00756516"/>
    <w:rsid w:val="00756CCA"/>
    <w:rsid w:val="00757B6D"/>
    <w:rsid w:val="00757D92"/>
    <w:rsid w:val="0076152D"/>
    <w:rsid w:val="00761FB9"/>
    <w:rsid w:val="007632A8"/>
    <w:rsid w:val="007635F6"/>
    <w:rsid w:val="00764320"/>
    <w:rsid w:val="00764F27"/>
    <w:rsid w:val="00765210"/>
    <w:rsid w:val="00765F03"/>
    <w:rsid w:val="00765F9E"/>
    <w:rsid w:val="00766973"/>
    <w:rsid w:val="0076715E"/>
    <w:rsid w:val="007745E5"/>
    <w:rsid w:val="0077482E"/>
    <w:rsid w:val="0077501D"/>
    <w:rsid w:val="00775636"/>
    <w:rsid w:val="00776892"/>
    <w:rsid w:val="00776FDA"/>
    <w:rsid w:val="00781213"/>
    <w:rsid w:val="00781411"/>
    <w:rsid w:val="00781690"/>
    <w:rsid w:val="00782980"/>
    <w:rsid w:val="00783043"/>
    <w:rsid w:val="0078393B"/>
    <w:rsid w:val="007849F9"/>
    <w:rsid w:val="00784ACD"/>
    <w:rsid w:val="00784C5B"/>
    <w:rsid w:val="0078589A"/>
    <w:rsid w:val="00785D74"/>
    <w:rsid w:val="0078790B"/>
    <w:rsid w:val="00787E95"/>
    <w:rsid w:val="00791E51"/>
    <w:rsid w:val="007928DE"/>
    <w:rsid w:val="00792CE3"/>
    <w:rsid w:val="007938EA"/>
    <w:rsid w:val="00793AD5"/>
    <w:rsid w:val="00795A24"/>
    <w:rsid w:val="00795AC2"/>
    <w:rsid w:val="00795D4C"/>
    <w:rsid w:val="00796FE4"/>
    <w:rsid w:val="007A03CF"/>
    <w:rsid w:val="007A0AE0"/>
    <w:rsid w:val="007A0C8E"/>
    <w:rsid w:val="007A0ED1"/>
    <w:rsid w:val="007A385B"/>
    <w:rsid w:val="007A42AA"/>
    <w:rsid w:val="007A4335"/>
    <w:rsid w:val="007A5035"/>
    <w:rsid w:val="007A6C47"/>
    <w:rsid w:val="007B02E8"/>
    <w:rsid w:val="007B49B6"/>
    <w:rsid w:val="007B6782"/>
    <w:rsid w:val="007B6957"/>
    <w:rsid w:val="007B7581"/>
    <w:rsid w:val="007B7A7A"/>
    <w:rsid w:val="007C06C1"/>
    <w:rsid w:val="007C070F"/>
    <w:rsid w:val="007C1AF4"/>
    <w:rsid w:val="007C29E7"/>
    <w:rsid w:val="007C4B87"/>
    <w:rsid w:val="007C56ED"/>
    <w:rsid w:val="007C60BE"/>
    <w:rsid w:val="007C60F0"/>
    <w:rsid w:val="007D0947"/>
    <w:rsid w:val="007D0B3A"/>
    <w:rsid w:val="007D20BA"/>
    <w:rsid w:val="007D5851"/>
    <w:rsid w:val="007D64F5"/>
    <w:rsid w:val="007D6A4B"/>
    <w:rsid w:val="007D6FBB"/>
    <w:rsid w:val="007D71D0"/>
    <w:rsid w:val="007D7F76"/>
    <w:rsid w:val="007D7FF3"/>
    <w:rsid w:val="007E0534"/>
    <w:rsid w:val="007E0753"/>
    <w:rsid w:val="007E26E2"/>
    <w:rsid w:val="007E3865"/>
    <w:rsid w:val="007E3C27"/>
    <w:rsid w:val="007E429C"/>
    <w:rsid w:val="007E49E1"/>
    <w:rsid w:val="007E744F"/>
    <w:rsid w:val="007E7F70"/>
    <w:rsid w:val="007F17DD"/>
    <w:rsid w:val="007F1C6F"/>
    <w:rsid w:val="007F25B0"/>
    <w:rsid w:val="007F276A"/>
    <w:rsid w:val="007F4DC9"/>
    <w:rsid w:val="007F706B"/>
    <w:rsid w:val="007F79AC"/>
    <w:rsid w:val="008003F4"/>
    <w:rsid w:val="00800589"/>
    <w:rsid w:val="008011EA"/>
    <w:rsid w:val="0080152B"/>
    <w:rsid w:val="00802223"/>
    <w:rsid w:val="0080224E"/>
    <w:rsid w:val="00802793"/>
    <w:rsid w:val="008029D0"/>
    <w:rsid w:val="00804BE0"/>
    <w:rsid w:val="0080519A"/>
    <w:rsid w:val="00805ED6"/>
    <w:rsid w:val="00806538"/>
    <w:rsid w:val="00806C45"/>
    <w:rsid w:val="00806D1E"/>
    <w:rsid w:val="00810151"/>
    <w:rsid w:val="008102A6"/>
    <w:rsid w:val="0081109E"/>
    <w:rsid w:val="00811498"/>
    <w:rsid w:val="00811534"/>
    <w:rsid w:val="00811A5B"/>
    <w:rsid w:val="008124F4"/>
    <w:rsid w:val="00812F77"/>
    <w:rsid w:val="008157EC"/>
    <w:rsid w:val="0081608B"/>
    <w:rsid w:val="00816811"/>
    <w:rsid w:val="00816CE0"/>
    <w:rsid w:val="008203CF"/>
    <w:rsid w:val="008205E9"/>
    <w:rsid w:val="00821304"/>
    <w:rsid w:val="00823286"/>
    <w:rsid w:val="0082334C"/>
    <w:rsid w:val="00823B5C"/>
    <w:rsid w:val="00823CA2"/>
    <w:rsid w:val="008259DF"/>
    <w:rsid w:val="00825F4A"/>
    <w:rsid w:val="00826726"/>
    <w:rsid w:val="00826CA7"/>
    <w:rsid w:val="008271D6"/>
    <w:rsid w:val="00827430"/>
    <w:rsid w:val="008276D2"/>
    <w:rsid w:val="00830CAF"/>
    <w:rsid w:val="00831529"/>
    <w:rsid w:val="00833019"/>
    <w:rsid w:val="008336DD"/>
    <w:rsid w:val="00834325"/>
    <w:rsid w:val="00834875"/>
    <w:rsid w:val="008352A7"/>
    <w:rsid w:val="00836421"/>
    <w:rsid w:val="00836F18"/>
    <w:rsid w:val="00837129"/>
    <w:rsid w:val="008372A1"/>
    <w:rsid w:val="00837B3D"/>
    <w:rsid w:val="008433DF"/>
    <w:rsid w:val="008442F5"/>
    <w:rsid w:val="0084438E"/>
    <w:rsid w:val="00844992"/>
    <w:rsid w:val="0084555C"/>
    <w:rsid w:val="008472D0"/>
    <w:rsid w:val="0085064A"/>
    <w:rsid w:val="00850BF8"/>
    <w:rsid w:val="00851C99"/>
    <w:rsid w:val="00851FD3"/>
    <w:rsid w:val="00852341"/>
    <w:rsid w:val="00852D66"/>
    <w:rsid w:val="00852E1C"/>
    <w:rsid w:val="00855A34"/>
    <w:rsid w:val="0085630A"/>
    <w:rsid w:val="0085641F"/>
    <w:rsid w:val="008613BF"/>
    <w:rsid w:val="00861A3A"/>
    <w:rsid w:val="00861E51"/>
    <w:rsid w:val="0086276F"/>
    <w:rsid w:val="00862E13"/>
    <w:rsid w:val="00863349"/>
    <w:rsid w:val="00863DAF"/>
    <w:rsid w:val="0086487A"/>
    <w:rsid w:val="00864B11"/>
    <w:rsid w:val="00864B81"/>
    <w:rsid w:val="0086689F"/>
    <w:rsid w:val="0087310F"/>
    <w:rsid w:val="00873693"/>
    <w:rsid w:val="00873CD3"/>
    <w:rsid w:val="00874319"/>
    <w:rsid w:val="00874D24"/>
    <w:rsid w:val="00875335"/>
    <w:rsid w:val="008760E1"/>
    <w:rsid w:val="00877C59"/>
    <w:rsid w:val="008801BA"/>
    <w:rsid w:val="008806D4"/>
    <w:rsid w:val="0088093C"/>
    <w:rsid w:val="00880A4E"/>
    <w:rsid w:val="00881B0F"/>
    <w:rsid w:val="00881B5D"/>
    <w:rsid w:val="0088398F"/>
    <w:rsid w:val="00883CEC"/>
    <w:rsid w:val="008849C6"/>
    <w:rsid w:val="00886B9B"/>
    <w:rsid w:val="00887950"/>
    <w:rsid w:val="00887955"/>
    <w:rsid w:val="008906EA"/>
    <w:rsid w:val="00890CDB"/>
    <w:rsid w:val="00891CF0"/>
    <w:rsid w:val="00891FDB"/>
    <w:rsid w:val="008920E3"/>
    <w:rsid w:val="00893041"/>
    <w:rsid w:val="00895031"/>
    <w:rsid w:val="00895E8A"/>
    <w:rsid w:val="00897D5C"/>
    <w:rsid w:val="008A053A"/>
    <w:rsid w:val="008A13D2"/>
    <w:rsid w:val="008A1623"/>
    <w:rsid w:val="008A3ED4"/>
    <w:rsid w:val="008A4555"/>
    <w:rsid w:val="008A5B6E"/>
    <w:rsid w:val="008A6029"/>
    <w:rsid w:val="008A6FC2"/>
    <w:rsid w:val="008A7F18"/>
    <w:rsid w:val="008B07CC"/>
    <w:rsid w:val="008B0DBE"/>
    <w:rsid w:val="008B156A"/>
    <w:rsid w:val="008B1576"/>
    <w:rsid w:val="008B25C0"/>
    <w:rsid w:val="008B272B"/>
    <w:rsid w:val="008B3BC9"/>
    <w:rsid w:val="008B462F"/>
    <w:rsid w:val="008B6ED2"/>
    <w:rsid w:val="008B797B"/>
    <w:rsid w:val="008C034F"/>
    <w:rsid w:val="008C0421"/>
    <w:rsid w:val="008C130F"/>
    <w:rsid w:val="008C4022"/>
    <w:rsid w:val="008C55B9"/>
    <w:rsid w:val="008D00A2"/>
    <w:rsid w:val="008D00B7"/>
    <w:rsid w:val="008D046B"/>
    <w:rsid w:val="008D04A2"/>
    <w:rsid w:val="008D1C72"/>
    <w:rsid w:val="008D360C"/>
    <w:rsid w:val="008D479D"/>
    <w:rsid w:val="008D5CBB"/>
    <w:rsid w:val="008D6ABE"/>
    <w:rsid w:val="008E02C4"/>
    <w:rsid w:val="008E0A2E"/>
    <w:rsid w:val="008E1B77"/>
    <w:rsid w:val="008E2F9B"/>
    <w:rsid w:val="008E3170"/>
    <w:rsid w:val="008E33C0"/>
    <w:rsid w:val="008E3C50"/>
    <w:rsid w:val="008E4920"/>
    <w:rsid w:val="008E5F12"/>
    <w:rsid w:val="008E5F49"/>
    <w:rsid w:val="008F0D41"/>
    <w:rsid w:val="008F11D8"/>
    <w:rsid w:val="008F52E0"/>
    <w:rsid w:val="008F6392"/>
    <w:rsid w:val="008F6ADC"/>
    <w:rsid w:val="008F6EE5"/>
    <w:rsid w:val="008F73A7"/>
    <w:rsid w:val="008F758D"/>
    <w:rsid w:val="009004AA"/>
    <w:rsid w:val="00900647"/>
    <w:rsid w:val="00900F7A"/>
    <w:rsid w:val="009013F5"/>
    <w:rsid w:val="00902A76"/>
    <w:rsid w:val="00904623"/>
    <w:rsid w:val="009049C8"/>
    <w:rsid w:val="00905CDF"/>
    <w:rsid w:val="0090625E"/>
    <w:rsid w:val="0090788B"/>
    <w:rsid w:val="009117F0"/>
    <w:rsid w:val="0091193B"/>
    <w:rsid w:val="00912B3D"/>
    <w:rsid w:val="0091317C"/>
    <w:rsid w:val="00913433"/>
    <w:rsid w:val="00913F76"/>
    <w:rsid w:val="0091421D"/>
    <w:rsid w:val="009143F7"/>
    <w:rsid w:val="00914F44"/>
    <w:rsid w:val="00915DDC"/>
    <w:rsid w:val="009160D7"/>
    <w:rsid w:val="00920723"/>
    <w:rsid w:val="00920C04"/>
    <w:rsid w:val="0092240B"/>
    <w:rsid w:val="00922908"/>
    <w:rsid w:val="00922BEA"/>
    <w:rsid w:val="00923797"/>
    <w:rsid w:val="00927DBB"/>
    <w:rsid w:val="00930445"/>
    <w:rsid w:val="009311CE"/>
    <w:rsid w:val="00932222"/>
    <w:rsid w:val="00932C70"/>
    <w:rsid w:val="00932DC8"/>
    <w:rsid w:val="00932DE9"/>
    <w:rsid w:val="00934232"/>
    <w:rsid w:val="00934D58"/>
    <w:rsid w:val="00934EB1"/>
    <w:rsid w:val="00934FDB"/>
    <w:rsid w:val="009352A6"/>
    <w:rsid w:val="009358D9"/>
    <w:rsid w:val="00935F05"/>
    <w:rsid w:val="00937073"/>
    <w:rsid w:val="009411B9"/>
    <w:rsid w:val="00944DC6"/>
    <w:rsid w:val="009468BF"/>
    <w:rsid w:val="00947005"/>
    <w:rsid w:val="0094759D"/>
    <w:rsid w:val="009476DE"/>
    <w:rsid w:val="00954096"/>
    <w:rsid w:val="00955101"/>
    <w:rsid w:val="009552BF"/>
    <w:rsid w:val="009557B6"/>
    <w:rsid w:val="0095597C"/>
    <w:rsid w:val="009566AB"/>
    <w:rsid w:val="00956744"/>
    <w:rsid w:val="00957131"/>
    <w:rsid w:val="00960B97"/>
    <w:rsid w:val="00962ADE"/>
    <w:rsid w:val="00963062"/>
    <w:rsid w:val="00963506"/>
    <w:rsid w:val="00963963"/>
    <w:rsid w:val="009642A3"/>
    <w:rsid w:val="00967118"/>
    <w:rsid w:val="00967931"/>
    <w:rsid w:val="0097094C"/>
    <w:rsid w:val="00972CE0"/>
    <w:rsid w:val="009731D6"/>
    <w:rsid w:val="0097356D"/>
    <w:rsid w:val="009735D2"/>
    <w:rsid w:val="009736D7"/>
    <w:rsid w:val="00974333"/>
    <w:rsid w:val="009743DE"/>
    <w:rsid w:val="0097633E"/>
    <w:rsid w:val="0097686A"/>
    <w:rsid w:val="009772F1"/>
    <w:rsid w:val="009801CE"/>
    <w:rsid w:val="00981726"/>
    <w:rsid w:val="00981943"/>
    <w:rsid w:val="00982EFE"/>
    <w:rsid w:val="00984EDD"/>
    <w:rsid w:val="0098612C"/>
    <w:rsid w:val="009864DF"/>
    <w:rsid w:val="0098686E"/>
    <w:rsid w:val="00986907"/>
    <w:rsid w:val="00990BF0"/>
    <w:rsid w:val="00994A9A"/>
    <w:rsid w:val="00995D4D"/>
    <w:rsid w:val="00995E92"/>
    <w:rsid w:val="00996AAC"/>
    <w:rsid w:val="009970F9"/>
    <w:rsid w:val="0099780E"/>
    <w:rsid w:val="009A03A3"/>
    <w:rsid w:val="009A4935"/>
    <w:rsid w:val="009A4E27"/>
    <w:rsid w:val="009A5625"/>
    <w:rsid w:val="009A6A61"/>
    <w:rsid w:val="009B19B4"/>
    <w:rsid w:val="009B1E6D"/>
    <w:rsid w:val="009B30B8"/>
    <w:rsid w:val="009B4696"/>
    <w:rsid w:val="009B614A"/>
    <w:rsid w:val="009B6BCE"/>
    <w:rsid w:val="009B7610"/>
    <w:rsid w:val="009C35E1"/>
    <w:rsid w:val="009C3ACD"/>
    <w:rsid w:val="009C5224"/>
    <w:rsid w:val="009C5D54"/>
    <w:rsid w:val="009C63CD"/>
    <w:rsid w:val="009C76B8"/>
    <w:rsid w:val="009D0597"/>
    <w:rsid w:val="009D16A8"/>
    <w:rsid w:val="009D2A8F"/>
    <w:rsid w:val="009D3F59"/>
    <w:rsid w:val="009D4CB6"/>
    <w:rsid w:val="009D6000"/>
    <w:rsid w:val="009D71D0"/>
    <w:rsid w:val="009D7291"/>
    <w:rsid w:val="009D7F09"/>
    <w:rsid w:val="009E0380"/>
    <w:rsid w:val="009E11AD"/>
    <w:rsid w:val="009E216E"/>
    <w:rsid w:val="009E250E"/>
    <w:rsid w:val="009E2B8F"/>
    <w:rsid w:val="009E38A0"/>
    <w:rsid w:val="009E3F27"/>
    <w:rsid w:val="009E40CD"/>
    <w:rsid w:val="009E5144"/>
    <w:rsid w:val="009E7854"/>
    <w:rsid w:val="009F2B81"/>
    <w:rsid w:val="009F3412"/>
    <w:rsid w:val="009F399F"/>
    <w:rsid w:val="009F41E5"/>
    <w:rsid w:val="009F4B84"/>
    <w:rsid w:val="009F5B76"/>
    <w:rsid w:val="009F5CCB"/>
    <w:rsid w:val="009F5E85"/>
    <w:rsid w:val="009F62BD"/>
    <w:rsid w:val="009F667A"/>
    <w:rsid w:val="009F68EE"/>
    <w:rsid w:val="00A01768"/>
    <w:rsid w:val="00A0269F"/>
    <w:rsid w:val="00A029B0"/>
    <w:rsid w:val="00A02F0F"/>
    <w:rsid w:val="00A049C6"/>
    <w:rsid w:val="00A0555E"/>
    <w:rsid w:val="00A0603A"/>
    <w:rsid w:val="00A077C5"/>
    <w:rsid w:val="00A07E9F"/>
    <w:rsid w:val="00A108FA"/>
    <w:rsid w:val="00A109FF"/>
    <w:rsid w:val="00A1275A"/>
    <w:rsid w:val="00A13DED"/>
    <w:rsid w:val="00A15467"/>
    <w:rsid w:val="00A15859"/>
    <w:rsid w:val="00A16706"/>
    <w:rsid w:val="00A167A3"/>
    <w:rsid w:val="00A16E45"/>
    <w:rsid w:val="00A171F5"/>
    <w:rsid w:val="00A208C7"/>
    <w:rsid w:val="00A220A2"/>
    <w:rsid w:val="00A23AB7"/>
    <w:rsid w:val="00A24EC6"/>
    <w:rsid w:val="00A255E0"/>
    <w:rsid w:val="00A25D98"/>
    <w:rsid w:val="00A30D22"/>
    <w:rsid w:val="00A3223A"/>
    <w:rsid w:val="00A32571"/>
    <w:rsid w:val="00A35C44"/>
    <w:rsid w:val="00A35F46"/>
    <w:rsid w:val="00A35FEB"/>
    <w:rsid w:val="00A36AC4"/>
    <w:rsid w:val="00A37F08"/>
    <w:rsid w:val="00A40F4A"/>
    <w:rsid w:val="00A41855"/>
    <w:rsid w:val="00A42474"/>
    <w:rsid w:val="00A43113"/>
    <w:rsid w:val="00A43A56"/>
    <w:rsid w:val="00A469B1"/>
    <w:rsid w:val="00A46BAE"/>
    <w:rsid w:val="00A47406"/>
    <w:rsid w:val="00A474ED"/>
    <w:rsid w:val="00A47AD1"/>
    <w:rsid w:val="00A502C7"/>
    <w:rsid w:val="00A5101E"/>
    <w:rsid w:val="00A518E4"/>
    <w:rsid w:val="00A54E3C"/>
    <w:rsid w:val="00A55D34"/>
    <w:rsid w:val="00A56331"/>
    <w:rsid w:val="00A56429"/>
    <w:rsid w:val="00A5693F"/>
    <w:rsid w:val="00A57BB5"/>
    <w:rsid w:val="00A6108A"/>
    <w:rsid w:val="00A62654"/>
    <w:rsid w:val="00A630C4"/>
    <w:rsid w:val="00A63499"/>
    <w:rsid w:val="00A6698E"/>
    <w:rsid w:val="00A66C44"/>
    <w:rsid w:val="00A702A0"/>
    <w:rsid w:val="00A70D62"/>
    <w:rsid w:val="00A7204F"/>
    <w:rsid w:val="00A728B6"/>
    <w:rsid w:val="00A748D2"/>
    <w:rsid w:val="00A76340"/>
    <w:rsid w:val="00A766C3"/>
    <w:rsid w:val="00A769FE"/>
    <w:rsid w:val="00A7717F"/>
    <w:rsid w:val="00A77BAE"/>
    <w:rsid w:val="00A80990"/>
    <w:rsid w:val="00A80E75"/>
    <w:rsid w:val="00A81DF9"/>
    <w:rsid w:val="00A83BC7"/>
    <w:rsid w:val="00A84238"/>
    <w:rsid w:val="00A861EE"/>
    <w:rsid w:val="00A8751B"/>
    <w:rsid w:val="00A875A2"/>
    <w:rsid w:val="00A90D25"/>
    <w:rsid w:val="00A93235"/>
    <w:rsid w:val="00A96347"/>
    <w:rsid w:val="00A97E9A"/>
    <w:rsid w:val="00AA3A64"/>
    <w:rsid w:val="00AA6479"/>
    <w:rsid w:val="00AB14A9"/>
    <w:rsid w:val="00AB2AB5"/>
    <w:rsid w:val="00AB337B"/>
    <w:rsid w:val="00AB4000"/>
    <w:rsid w:val="00AB6B96"/>
    <w:rsid w:val="00AB7470"/>
    <w:rsid w:val="00AB7AA7"/>
    <w:rsid w:val="00AC0E4C"/>
    <w:rsid w:val="00AC11C4"/>
    <w:rsid w:val="00AC133B"/>
    <w:rsid w:val="00AC1564"/>
    <w:rsid w:val="00AC227D"/>
    <w:rsid w:val="00AC2CDC"/>
    <w:rsid w:val="00AC590D"/>
    <w:rsid w:val="00AC5D5D"/>
    <w:rsid w:val="00AC6E35"/>
    <w:rsid w:val="00AC7BD2"/>
    <w:rsid w:val="00AD0245"/>
    <w:rsid w:val="00AD04F0"/>
    <w:rsid w:val="00AD1581"/>
    <w:rsid w:val="00AD1DE8"/>
    <w:rsid w:val="00AD24B4"/>
    <w:rsid w:val="00AD2734"/>
    <w:rsid w:val="00AD2D06"/>
    <w:rsid w:val="00AD3520"/>
    <w:rsid w:val="00AD3BBC"/>
    <w:rsid w:val="00AD6253"/>
    <w:rsid w:val="00AD6310"/>
    <w:rsid w:val="00AD7F41"/>
    <w:rsid w:val="00AE1D91"/>
    <w:rsid w:val="00AE3992"/>
    <w:rsid w:val="00AE56D3"/>
    <w:rsid w:val="00AE5BE3"/>
    <w:rsid w:val="00AE6CAB"/>
    <w:rsid w:val="00AE6EDE"/>
    <w:rsid w:val="00AE70BF"/>
    <w:rsid w:val="00AE77DF"/>
    <w:rsid w:val="00AF009B"/>
    <w:rsid w:val="00AF18E4"/>
    <w:rsid w:val="00AF219E"/>
    <w:rsid w:val="00AF2696"/>
    <w:rsid w:val="00AF2AD8"/>
    <w:rsid w:val="00AF38E9"/>
    <w:rsid w:val="00AF3A97"/>
    <w:rsid w:val="00AF3D23"/>
    <w:rsid w:val="00AF4FDD"/>
    <w:rsid w:val="00AF608F"/>
    <w:rsid w:val="00AF6F59"/>
    <w:rsid w:val="00B0053A"/>
    <w:rsid w:val="00B006B9"/>
    <w:rsid w:val="00B00D1B"/>
    <w:rsid w:val="00B00EE7"/>
    <w:rsid w:val="00B01140"/>
    <w:rsid w:val="00B02045"/>
    <w:rsid w:val="00B04931"/>
    <w:rsid w:val="00B051F8"/>
    <w:rsid w:val="00B0667C"/>
    <w:rsid w:val="00B068E5"/>
    <w:rsid w:val="00B06B06"/>
    <w:rsid w:val="00B07984"/>
    <w:rsid w:val="00B107CE"/>
    <w:rsid w:val="00B118EB"/>
    <w:rsid w:val="00B126F7"/>
    <w:rsid w:val="00B13DF4"/>
    <w:rsid w:val="00B15A48"/>
    <w:rsid w:val="00B15CA4"/>
    <w:rsid w:val="00B16DBE"/>
    <w:rsid w:val="00B17B0D"/>
    <w:rsid w:val="00B20715"/>
    <w:rsid w:val="00B21427"/>
    <w:rsid w:val="00B22CD8"/>
    <w:rsid w:val="00B22E62"/>
    <w:rsid w:val="00B24A34"/>
    <w:rsid w:val="00B25BB7"/>
    <w:rsid w:val="00B26AF9"/>
    <w:rsid w:val="00B26CC0"/>
    <w:rsid w:val="00B26E58"/>
    <w:rsid w:val="00B30DF0"/>
    <w:rsid w:val="00B315FB"/>
    <w:rsid w:val="00B33824"/>
    <w:rsid w:val="00B341BA"/>
    <w:rsid w:val="00B342BA"/>
    <w:rsid w:val="00B342FA"/>
    <w:rsid w:val="00B37006"/>
    <w:rsid w:val="00B40C36"/>
    <w:rsid w:val="00B42732"/>
    <w:rsid w:val="00B43126"/>
    <w:rsid w:val="00B43723"/>
    <w:rsid w:val="00B45322"/>
    <w:rsid w:val="00B4661E"/>
    <w:rsid w:val="00B46C01"/>
    <w:rsid w:val="00B5065C"/>
    <w:rsid w:val="00B516D4"/>
    <w:rsid w:val="00B51B91"/>
    <w:rsid w:val="00B52274"/>
    <w:rsid w:val="00B54DE5"/>
    <w:rsid w:val="00B554CA"/>
    <w:rsid w:val="00B556DA"/>
    <w:rsid w:val="00B561AB"/>
    <w:rsid w:val="00B56359"/>
    <w:rsid w:val="00B56B85"/>
    <w:rsid w:val="00B56E8B"/>
    <w:rsid w:val="00B60541"/>
    <w:rsid w:val="00B6066B"/>
    <w:rsid w:val="00B60A22"/>
    <w:rsid w:val="00B61A7B"/>
    <w:rsid w:val="00B63D00"/>
    <w:rsid w:val="00B646F2"/>
    <w:rsid w:val="00B64F5F"/>
    <w:rsid w:val="00B677AF"/>
    <w:rsid w:val="00B70836"/>
    <w:rsid w:val="00B71B3B"/>
    <w:rsid w:val="00B724A6"/>
    <w:rsid w:val="00B72AEA"/>
    <w:rsid w:val="00B73D63"/>
    <w:rsid w:val="00B740DB"/>
    <w:rsid w:val="00B75C2D"/>
    <w:rsid w:val="00B76378"/>
    <w:rsid w:val="00B76523"/>
    <w:rsid w:val="00B779A3"/>
    <w:rsid w:val="00B77B9A"/>
    <w:rsid w:val="00B77DF3"/>
    <w:rsid w:val="00B8145D"/>
    <w:rsid w:val="00B821C4"/>
    <w:rsid w:val="00B82347"/>
    <w:rsid w:val="00B826A6"/>
    <w:rsid w:val="00B83A29"/>
    <w:rsid w:val="00B83BD6"/>
    <w:rsid w:val="00B84E01"/>
    <w:rsid w:val="00B8757A"/>
    <w:rsid w:val="00B939FD"/>
    <w:rsid w:val="00B952DD"/>
    <w:rsid w:val="00B9593D"/>
    <w:rsid w:val="00B96024"/>
    <w:rsid w:val="00B96E45"/>
    <w:rsid w:val="00B9729F"/>
    <w:rsid w:val="00B97F8A"/>
    <w:rsid w:val="00BA006E"/>
    <w:rsid w:val="00BA110C"/>
    <w:rsid w:val="00BA1E89"/>
    <w:rsid w:val="00BA3DFB"/>
    <w:rsid w:val="00BA4DAF"/>
    <w:rsid w:val="00BA53AB"/>
    <w:rsid w:val="00BA5875"/>
    <w:rsid w:val="00BA59FB"/>
    <w:rsid w:val="00BA6D80"/>
    <w:rsid w:val="00BA746F"/>
    <w:rsid w:val="00BA7ADC"/>
    <w:rsid w:val="00BB15C0"/>
    <w:rsid w:val="00BB1AB3"/>
    <w:rsid w:val="00BB3511"/>
    <w:rsid w:val="00BB3653"/>
    <w:rsid w:val="00BB3D1F"/>
    <w:rsid w:val="00BB50EF"/>
    <w:rsid w:val="00BB547C"/>
    <w:rsid w:val="00BB5CDE"/>
    <w:rsid w:val="00BB663A"/>
    <w:rsid w:val="00BC03A0"/>
    <w:rsid w:val="00BC0901"/>
    <w:rsid w:val="00BC0BE9"/>
    <w:rsid w:val="00BC278D"/>
    <w:rsid w:val="00BC2F60"/>
    <w:rsid w:val="00BC3DF7"/>
    <w:rsid w:val="00BC3FF0"/>
    <w:rsid w:val="00BC4E3A"/>
    <w:rsid w:val="00BC55E1"/>
    <w:rsid w:val="00BC5879"/>
    <w:rsid w:val="00BC5E68"/>
    <w:rsid w:val="00BC5FA2"/>
    <w:rsid w:val="00BC726E"/>
    <w:rsid w:val="00BD0140"/>
    <w:rsid w:val="00BD19BF"/>
    <w:rsid w:val="00BD444B"/>
    <w:rsid w:val="00BD45A1"/>
    <w:rsid w:val="00BD4933"/>
    <w:rsid w:val="00BD5A28"/>
    <w:rsid w:val="00BD5EE3"/>
    <w:rsid w:val="00BD7907"/>
    <w:rsid w:val="00BE0730"/>
    <w:rsid w:val="00BE1986"/>
    <w:rsid w:val="00BE211C"/>
    <w:rsid w:val="00BE3047"/>
    <w:rsid w:val="00BE38C9"/>
    <w:rsid w:val="00BE42FB"/>
    <w:rsid w:val="00BE5756"/>
    <w:rsid w:val="00BE6F02"/>
    <w:rsid w:val="00BF2D5C"/>
    <w:rsid w:val="00BF35F0"/>
    <w:rsid w:val="00BF3C85"/>
    <w:rsid w:val="00BF425F"/>
    <w:rsid w:val="00BF668F"/>
    <w:rsid w:val="00C03C87"/>
    <w:rsid w:val="00C04A80"/>
    <w:rsid w:val="00C05571"/>
    <w:rsid w:val="00C05A72"/>
    <w:rsid w:val="00C07480"/>
    <w:rsid w:val="00C07E3A"/>
    <w:rsid w:val="00C10DF4"/>
    <w:rsid w:val="00C1119D"/>
    <w:rsid w:val="00C11BC3"/>
    <w:rsid w:val="00C11BEE"/>
    <w:rsid w:val="00C12446"/>
    <w:rsid w:val="00C134C5"/>
    <w:rsid w:val="00C13584"/>
    <w:rsid w:val="00C139EE"/>
    <w:rsid w:val="00C13CE0"/>
    <w:rsid w:val="00C145D4"/>
    <w:rsid w:val="00C15381"/>
    <w:rsid w:val="00C16FF4"/>
    <w:rsid w:val="00C20CEA"/>
    <w:rsid w:val="00C217A5"/>
    <w:rsid w:val="00C22B4F"/>
    <w:rsid w:val="00C23BAD"/>
    <w:rsid w:val="00C24526"/>
    <w:rsid w:val="00C24702"/>
    <w:rsid w:val="00C247B9"/>
    <w:rsid w:val="00C24833"/>
    <w:rsid w:val="00C256EE"/>
    <w:rsid w:val="00C25700"/>
    <w:rsid w:val="00C26927"/>
    <w:rsid w:val="00C27899"/>
    <w:rsid w:val="00C300AC"/>
    <w:rsid w:val="00C31FD3"/>
    <w:rsid w:val="00C324DA"/>
    <w:rsid w:val="00C34488"/>
    <w:rsid w:val="00C402B6"/>
    <w:rsid w:val="00C4087E"/>
    <w:rsid w:val="00C40F41"/>
    <w:rsid w:val="00C430F8"/>
    <w:rsid w:val="00C439E9"/>
    <w:rsid w:val="00C4424F"/>
    <w:rsid w:val="00C46B02"/>
    <w:rsid w:val="00C47A39"/>
    <w:rsid w:val="00C47D70"/>
    <w:rsid w:val="00C50235"/>
    <w:rsid w:val="00C52B39"/>
    <w:rsid w:val="00C53C26"/>
    <w:rsid w:val="00C547B7"/>
    <w:rsid w:val="00C54B6B"/>
    <w:rsid w:val="00C55C55"/>
    <w:rsid w:val="00C55E58"/>
    <w:rsid w:val="00C56346"/>
    <w:rsid w:val="00C57013"/>
    <w:rsid w:val="00C5739B"/>
    <w:rsid w:val="00C57F58"/>
    <w:rsid w:val="00C62DCD"/>
    <w:rsid w:val="00C63540"/>
    <w:rsid w:val="00C63AB1"/>
    <w:rsid w:val="00C64010"/>
    <w:rsid w:val="00C64242"/>
    <w:rsid w:val="00C64815"/>
    <w:rsid w:val="00C6550C"/>
    <w:rsid w:val="00C66182"/>
    <w:rsid w:val="00C6630B"/>
    <w:rsid w:val="00C6664A"/>
    <w:rsid w:val="00C675B7"/>
    <w:rsid w:val="00C676E5"/>
    <w:rsid w:val="00C70D01"/>
    <w:rsid w:val="00C7112A"/>
    <w:rsid w:val="00C71718"/>
    <w:rsid w:val="00C71904"/>
    <w:rsid w:val="00C720DE"/>
    <w:rsid w:val="00C72546"/>
    <w:rsid w:val="00C73688"/>
    <w:rsid w:val="00C746A5"/>
    <w:rsid w:val="00C74745"/>
    <w:rsid w:val="00C75573"/>
    <w:rsid w:val="00C75704"/>
    <w:rsid w:val="00C7574E"/>
    <w:rsid w:val="00C75ADD"/>
    <w:rsid w:val="00C81010"/>
    <w:rsid w:val="00C819A6"/>
    <w:rsid w:val="00C81A01"/>
    <w:rsid w:val="00C82085"/>
    <w:rsid w:val="00C823F2"/>
    <w:rsid w:val="00C8347C"/>
    <w:rsid w:val="00C8383F"/>
    <w:rsid w:val="00C839DC"/>
    <w:rsid w:val="00C842FE"/>
    <w:rsid w:val="00C8641D"/>
    <w:rsid w:val="00C866C6"/>
    <w:rsid w:val="00C86A89"/>
    <w:rsid w:val="00C86F65"/>
    <w:rsid w:val="00C9093D"/>
    <w:rsid w:val="00C91F21"/>
    <w:rsid w:val="00C93A4E"/>
    <w:rsid w:val="00C94A7B"/>
    <w:rsid w:val="00C95A9C"/>
    <w:rsid w:val="00CA2B69"/>
    <w:rsid w:val="00CA332A"/>
    <w:rsid w:val="00CA3591"/>
    <w:rsid w:val="00CA3A94"/>
    <w:rsid w:val="00CA3E00"/>
    <w:rsid w:val="00CA684F"/>
    <w:rsid w:val="00CB218A"/>
    <w:rsid w:val="00CB2CC0"/>
    <w:rsid w:val="00CB2DFD"/>
    <w:rsid w:val="00CB344D"/>
    <w:rsid w:val="00CB514A"/>
    <w:rsid w:val="00CB73B5"/>
    <w:rsid w:val="00CB76EF"/>
    <w:rsid w:val="00CC046B"/>
    <w:rsid w:val="00CC0931"/>
    <w:rsid w:val="00CC22A7"/>
    <w:rsid w:val="00CC31E2"/>
    <w:rsid w:val="00CC4AA6"/>
    <w:rsid w:val="00CC5170"/>
    <w:rsid w:val="00CC5EDE"/>
    <w:rsid w:val="00CC6182"/>
    <w:rsid w:val="00CC6DD5"/>
    <w:rsid w:val="00CD0F83"/>
    <w:rsid w:val="00CD24EB"/>
    <w:rsid w:val="00CD3235"/>
    <w:rsid w:val="00CD451A"/>
    <w:rsid w:val="00CD52B2"/>
    <w:rsid w:val="00CD554B"/>
    <w:rsid w:val="00CD5B8F"/>
    <w:rsid w:val="00CD6E99"/>
    <w:rsid w:val="00CE05C9"/>
    <w:rsid w:val="00CE0ED0"/>
    <w:rsid w:val="00CE1DA5"/>
    <w:rsid w:val="00CE2C2E"/>
    <w:rsid w:val="00CE3183"/>
    <w:rsid w:val="00CE35FC"/>
    <w:rsid w:val="00CE47AB"/>
    <w:rsid w:val="00CE4DB8"/>
    <w:rsid w:val="00CE539F"/>
    <w:rsid w:val="00CE55D8"/>
    <w:rsid w:val="00CE5783"/>
    <w:rsid w:val="00CE5E93"/>
    <w:rsid w:val="00CE61F4"/>
    <w:rsid w:val="00CF0592"/>
    <w:rsid w:val="00CF15BC"/>
    <w:rsid w:val="00CF15F2"/>
    <w:rsid w:val="00CF16D6"/>
    <w:rsid w:val="00CF199B"/>
    <w:rsid w:val="00CF277D"/>
    <w:rsid w:val="00CF3B96"/>
    <w:rsid w:val="00CF59C9"/>
    <w:rsid w:val="00CF5E5C"/>
    <w:rsid w:val="00D03123"/>
    <w:rsid w:val="00D033EA"/>
    <w:rsid w:val="00D037DA"/>
    <w:rsid w:val="00D03987"/>
    <w:rsid w:val="00D03DA8"/>
    <w:rsid w:val="00D04B94"/>
    <w:rsid w:val="00D04CB7"/>
    <w:rsid w:val="00D06043"/>
    <w:rsid w:val="00D12D8B"/>
    <w:rsid w:val="00D136E5"/>
    <w:rsid w:val="00D148F1"/>
    <w:rsid w:val="00D149E0"/>
    <w:rsid w:val="00D15962"/>
    <w:rsid w:val="00D15F89"/>
    <w:rsid w:val="00D16F8F"/>
    <w:rsid w:val="00D172DA"/>
    <w:rsid w:val="00D1781A"/>
    <w:rsid w:val="00D17D37"/>
    <w:rsid w:val="00D21943"/>
    <w:rsid w:val="00D22F72"/>
    <w:rsid w:val="00D231D5"/>
    <w:rsid w:val="00D2493A"/>
    <w:rsid w:val="00D24A86"/>
    <w:rsid w:val="00D24E76"/>
    <w:rsid w:val="00D24F4A"/>
    <w:rsid w:val="00D272C3"/>
    <w:rsid w:val="00D27520"/>
    <w:rsid w:val="00D27F0C"/>
    <w:rsid w:val="00D31565"/>
    <w:rsid w:val="00D31645"/>
    <w:rsid w:val="00D32165"/>
    <w:rsid w:val="00D3443F"/>
    <w:rsid w:val="00D34687"/>
    <w:rsid w:val="00D34911"/>
    <w:rsid w:val="00D36541"/>
    <w:rsid w:val="00D366F4"/>
    <w:rsid w:val="00D36D40"/>
    <w:rsid w:val="00D37962"/>
    <w:rsid w:val="00D40EDC"/>
    <w:rsid w:val="00D410EF"/>
    <w:rsid w:val="00D4270C"/>
    <w:rsid w:val="00D42972"/>
    <w:rsid w:val="00D450F3"/>
    <w:rsid w:val="00D45610"/>
    <w:rsid w:val="00D45E85"/>
    <w:rsid w:val="00D46012"/>
    <w:rsid w:val="00D46484"/>
    <w:rsid w:val="00D46F34"/>
    <w:rsid w:val="00D507B7"/>
    <w:rsid w:val="00D51093"/>
    <w:rsid w:val="00D5168B"/>
    <w:rsid w:val="00D51A51"/>
    <w:rsid w:val="00D52894"/>
    <w:rsid w:val="00D54C4A"/>
    <w:rsid w:val="00D5574D"/>
    <w:rsid w:val="00D56236"/>
    <w:rsid w:val="00D563AE"/>
    <w:rsid w:val="00D57DB7"/>
    <w:rsid w:val="00D60FAC"/>
    <w:rsid w:val="00D61312"/>
    <w:rsid w:val="00D61D31"/>
    <w:rsid w:val="00D6265D"/>
    <w:rsid w:val="00D63A1D"/>
    <w:rsid w:val="00D649CF"/>
    <w:rsid w:val="00D64FB1"/>
    <w:rsid w:val="00D6637C"/>
    <w:rsid w:val="00D70B3A"/>
    <w:rsid w:val="00D71850"/>
    <w:rsid w:val="00D731EE"/>
    <w:rsid w:val="00D734D0"/>
    <w:rsid w:val="00D74513"/>
    <w:rsid w:val="00D74B98"/>
    <w:rsid w:val="00D761C2"/>
    <w:rsid w:val="00D764BC"/>
    <w:rsid w:val="00D769B4"/>
    <w:rsid w:val="00D76BDD"/>
    <w:rsid w:val="00D81068"/>
    <w:rsid w:val="00D811F9"/>
    <w:rsid w:val="00D8128D"/>
    <w:rsid w:val="00D82A41"/>
    <w:rsid w:val="00D83134"/>
    <w:rsid w:val="00D840B6"/>
    <w:rsid w:val="00D840BE"/>
    <w:rsid w:val="00D8525F"/>
    <w:rsid w:val="00D856C9"/>
    <w:rsid w:val="00D85E50"/>
    <w:rsid w:val="00D87829"/>
    <w:rsid w:val="00D90C06"/>
    <w:rsid w:val="00D91250"/>
    <w:rsid w:val="00D92E24"/>
    <w:rsid w:val="00D93FAE"/>
    <w:rsid w:val="00D94043"/>
    <w:rsid w:val="00D95AA6"/>
    <w:rsid w:val="00D95BBB"/>
    <w:rsid w:val="00D95DA2"/>
    <w:rsid w:val="00D9634B"/>
    <w:rsid w:val="00D974BE"/>
    <w:rsid w:val="00DA051D"/>
    <w:rsid w:val="00DA0556"/>
    <w:rsid w:val="00DA0E91"/>
    <w:rsid w:val="00DA2ED0"/>
    <w:rsid w:val="00DA5FF8"/>
    <w:rsid w:val="00DA63A1"/>
    <w:rsid w:val="00DA6755"/>
    <w:rsid w:val="00DA6AE3"/>
    <w:rsid w:val="00DA6D39"/>
    <w:rsid w:val="00DA72A4"/>
    <w:rsid w:val="00DB0086"/>
    <w:rsid w:val="00DB05C0"/>
    <w:rsid w:val="00DB0846"/>
    <w:rsid w:val="00DB0EC9"/>
    <w:rsid w:val="00DB1945"/>
    <w:rsid w:val="00DB1A45"/>
    <w:rsid w:val="00DB39CD"/>
    <w:rsid w:val="00DB42A5"/>
    <w:rsid w:val="00DB4CA5"/>
    <w:rsid w:val="00DB5579"/>
    <w:rsid w:val="00DB582C"/>
    <w:rsid w:val="00DB7514"/>
    <w:rsid w:val="00DB7B99"/>
    <w:rsid w:val="00DC0526"/>
    <w:rsid w:val="00DC05CD"/>
    <w:rsid w:val="00DC15AA"/>
    <w:rsid w:val="00DC16A9"/>
    <w:rsid w:val="00DC1B4A"/>
    <w:rsid w:val="00DC26F3"/>
    <w:rsid w:val="00DC2833"/>
    <w:rsid w:val="00DC3031"/>
    <w:rsid w:val="00DC53B9"/>
    <w:rsid w:val="00DC54D4"/>
    <w:rsid w:val="00DC5D39"/>
    <w:rsid w:val="00DC6DA6"/>
    <w:rsid w:val="00DC6F1D"/>
    <w:rsid w:val="00DC72BA"/>
    <w:rsid w:val="00DC7749"/>
    <w:rsid w:val="00DC790A"/>
    <w:rsid w:val="00DC7C03"/>
    <w:rsid w:val="00DD012A"/>
    <w:rsid w:val="00DD0630"/>
    <w:rsid w:val="00DD2540"/>
    <w:rsid w:val="00DD2DF9"/>
    <w:rsid w:val="00DD61C1"/>
    <w:rsid w:val="00DD65CD"/>
    <w:rsid w:val="00DE0A1B"/>
    <w:rsid w:val="00DE109D"/>
    <w:rsid w:val="00DE1D00"/>
    <w:rsid w:val="00DE2114"/>
    <w:rsid w:val="00DE2151"/>
    <w:rsid w:val="00DE2A5D"/>
    <w:rsid w:val="00DE5966"/>
    <w:rsid w:val="00DE7D85"/>
    <w:rsid w:val="00DF053D"/>
    <w:rsid w:val="00DF1E1E"/>
    <w:rsid w:val="00DF45F7"/>
    <w:rsid w:val="00DF5B27"/>
    <w:rsid w:val="00DF5E62"/>
    <w:rsid w:val="00DF62EB"/>
    <w:rsid w:val="00E00BB5"/>
    <w:rsid w:val="00E02523"/>
    <w:rsid w:val="00E02546"/>
    <w:rsid w:val="00E026BA"/>
    <w:rsid w:val="00E03417"/>
    <w:rsid w:val="00E03B14"/>
    <w:rsid w:val="00E04368"/>
    <w:rsid w:val="00E044E3"/>
    <w:rsid w:val="00E047B3"/>
    <w:rsid w:val="00E04897"/>
    <w:rsid w:val="00E060F9"/>
    <w:rsid w:val="00E075B9"/>
    <w:rsid w:val="00E105AC"/>
    <w:rsid w:val="00E112D0"/>
    <w:rsid w:val="00E1258A"/>
    <w:rsid w:val="00E12D6F"/>
    <w:rsid w:val="00E130B4"/>
    <w:rsid w:val="00E13BAE"/>
    <w:rsid w:val="00E13CF8"/>
    <w:rsid w:val="00E13E4E"/>
    <w:rsid w:val="00E13F06"/>
    <w:rsid w:val="00E14465"/>
    <w:rsid w:val="00E14935"/>
    <w:rsid w:val="00E21913"/>
    <w:rsid w:val="00E2231A"/>
    <w:rsid w:val="00E22407"/>
    <w:rsid w:val="00E23031"/>
    <w:rsid w:val="00E23901"/>
    <w:rsid w:val="00E2498C"/>
    <w:rsid w:val="00E24FF2"/>
    <w:rsid w:val="00E30523"/>
    <w:rsid w:val="00E3076A"/>
    <w:rsid w:val="00E3141A"/>
    <w:rsid w:val="00E31B7A"/>
    <w:rsid w:val="00E3267C"/>
    <w:rsid w:val="00E33385"/>
    <w:rsid w:val="00E3347D"/>
    <w:rsid w:val="00E34219"/>
    <w:rsid w:val="00E34981"/>
    <w:rsid w:val="00E3525D"/>
    <w:rsid w:val="00E35902"/>
    <w:rsid w:val="00E36A82"/>
    <w:rsid w:val="00E36E68"/>
    <w:rsid w:val="00E37B9D"/>
    <w:rsid w:val="00E40D18"/>
    <w:rsid w:val="00E43AD4"/>
    <w:rsid w:val="00E44494"/>
    <w:rsid w:val="00E44E7C"/>
    <w:rsid w:val="00E4525B"/>
    <w:rsid w:val="00E476A3"/>
    <w:rsid w:val="00E47FCC"/>
    <w:rsid w:val="00E51172"/>
    <w:rsid w:val="00E51AD3"/>
    <w:rsid w:val="00E51E14"/>
    <w:rsid w:val="00E528A5"/>
    <w:rsid w:val="00E55C6C"/>
    <w:rsid w:val="00E56D4D"/>
    <w:rsid w:val="00E60005"/>
    <w:rsid w:val="00E601B8"/>
    <w:rsid w:val="00E60F0A"/>
    <w:rsid w:val="00E663FB"/>
    <w:rsid w:val="00E6700A"/>
    <w:rsid w:val="00E6764C"/>
    <w:rsid w:val="00E71FF3"/>
    <w:rsid w:val="00E73423"/>
    <w:rsid w:val="00E73754"/>
    <w:rsid w:val="00E73DC0"/>
    <w:rsid w:val="00E74672"/>
    <w:rsid w:val="00E74E8C"/>
    <w:rsid w:val="00E75E13"/>
    <w:rsid w:val="00E76521"/>
    <w:rsid w:val="00E7663C"/>
    <w:rsid w:val="00E772D4"/>
    <w:rsid w:val="00E77F4C"/>
    <w:rsid w:val="00E80493"/>
    <w:rsid w:val="00E806C6"/>
    <w:rsid w:val="00E8208F"/>
    <w:rsid w:val="00E82255"/>
    <w:rsid w:val="00E82757"/>
    <w:rsid w:val="00E85DE8"/>
    <w:rsid w:val="00E85E6C"/>
    <w:rsid w:val="00E912F1"/>
    <w:rsid w:val="00E91320"/>
    <w:rsid w:val="00E919C6"/>
    <w:rsid w:val="00E924E8"/>
    <w:rsid w:val="00E96EB7"/>
    <w:rsid w:val="00EA0577"/>
    <w:rsid w:val="00EA0E02"/>
    <w:rsid w:val="00EA1C8E"/>
    <w:rsid w:val="00EA2950"/>
    <w:rsid w:val="00EA297D"/>
    <w:rsid w:val="00EA2CD4"/>
    <w:rsid w:val="00EA30F0"/>
    <w:rsid w:val="00EA39AF"/>
    <w:rsid w:val="00EA439C"/>
    <w:rsid w:val="00EA6802"/>
    <w:rsid w:val="00EA69AA"/>
    <w:rsid w:val="00EA6A11"/>
    <w:rsid w:val="00EA6C77"/>
    <w:rsid w:val="00EA7EC3"/>
    <w:rsid w:val="00EB02B4"/>
    <w:rsid w:val="00EB12CA"/>
    <w:rsid w:val="00EB22F0"/>
    <w:rsid w:val="00EB259D"/>
    <w:rsid w:val="00EB2B2D"/>
    <w:rsid w:val="00EB2E83"/>
    <w:rsid w:val="00EB40ED"/>
    <w:rsid w:val="00EB422B"/>
    <w:rsid w:val="00EB56CD"/>
    <w:rsid w:val="00EB5EB0"/>
    <w:rsid w:val="00EB671E"/>
    <w:rsid w:val="00EB7131"/>
    <w:rsid w:val="00EB75F1"/>
    <w:rsid w:val="00EC0627"/>
    <w:rsid w:val="00EC08E6"/>
    <w:rsid w:val="00EC0BC9"/>
    <w:rsid w:val="00EC10D0"/>
    <w:rsid w:val="00EC3ABB"/>
    <w:rsid w:val="00EC3AD3"/>
    <w:rsid w:val="00EC4DE6"/>
    <w:rsid w:val="00EC5F94"/>
    <w:rsid w:val="00EC61CF"/>
    <w:rsid w:val="00EC7B38"/>
    <w:rsid w:val="00EC7BDB"/>
    <w:rsid w:val="00EC7C78"/>
    <w:rsid w:val="00ED00C4"/>
    <w:rsid w:val="00ED224C"/>
    <w:rsid w:val="00ED2B5D"/>
    <w:rsid w:val="00ED4501"/>
    <w:rsid w:val="00ED48C9"/>
    <w:rsid w:val="00ED6D16"/>
    <w:rsid w:val="00ED7773"/>
    <w:rsid w:val="00ED7950"/>
    <w:rsid w:val="00EE1978"/>
    <w:rsid w:val="00EE2014"/>
    <w:rsid w:val="00EE2781"/>
    <w:rsid w:val="00EE2CDE"/>
    <w:rsid w:val="00EE3A25"/>
    <w:rsid w:val="00EE3A3D"/>
    <w:rsid w:val="00EE3DD7"/>
    <w:rsid w:val="00EE5CCC"/>
    <w:rsid w:val="00EE72DF"/>
    <w:rsid w:val="00EE7B1A"/>
    <w:rsid w:val="00EF18CB"/>
    <w:rsid w:val="00EF23AF"/>
    <w:rsid w:val="00EF25F7"/>
    <w:rsid w:val="00EF2E9C"/>
    <w:rsid w:val="00EF3C31"/>
    <w:rsid w:val="00EF5927"/>
    <w:rsid w:val="00EF6176"/>
    <w:rsid w:val="00EF7D8F"/>
    <w:rsid w:val="00F00043"/>
    <w:rsid w:val="00F0032C"/>
    <w:rsid w:val="00F00C33"/>
    <w:rsid w:val="00F01184"/>
    <w:rsid w:val="00F01234"/>
    <w:rsid w:val="00F02424"/>
    <w:rsid w:val="00F02C9B"/>
    <w:rsid w:val="00F03A18"/>
    <w:rsid w:val="00F044F5"/>
    <w:rsid w:val="00F0497A"/>
    <w:rsid w:val="00F04BD6"/>
    <w:rsid w:val="00F04E2B"/>
    <w:rsid w:val="00F053DC"/>
    <w:rsid w:val="00F05948"/>
    <w:rsid w:val="00F07324"/>
    <w:rsid w:val="00F102AD"/>
    <w:rsid w:val="00F1092C"/>
    <w:rsid w:val="00F10A55"/>
    <w:rsid w:val="00F1179A"/>
    <w:rsid w:val="00F1180A"/>
    <w:rsid w:val="00F120C8"/>
    <w:rsid w:val="00F123CA"/>
    <w:rsid w:val="00F12549"/>
    <w:rsid w:val="00F12723"/>
    <w:rsid w:val="00F12E46"/>
    <w:rsid w:val="00F133F1"/>
    <w:rsid w:val="00F13A83"/>
    <w:rsid w:val="00F169DB"/>
    <w:rsid w:val="00F170B0"/>
    <w:rsid w:val="00F1772A"/>
    <w:rsid w:val="00F218A0"/>
    <w:rsid w:val="00F21EBF"/>
    <w:rsid w:val="00F21F0F"/>
    <w:rsid w:val="00F23F12"/>
    <w:rsid w:val="00F252D3"/>
    <w:rsid w:val="00F256D1"/>
    <w:rsid w:val="00F27459"/>
    <w:rsid w:val="00F27705"/>
    <w:rsid w:val="00F30CC0"/>
    <w:rsid w:val="00F32BFD"/>
    <w:rsid w:val="00F33E79"/>
    <w:rsid w:val="00F344EE"/>
    <w:rsid w:val="00F34EAD"/>
    <w:rsid w:val="00F34ED7"/>
    <w:rsid w:val="00F353D2"/>
    <w:rsid w:val="00F363B2"/>
    <w:rsid w:val="00F4208D"/>
    <w:rsid w:val="00F42E84"/>
    <w:rsid w:val="00F44026"/>
    <w:rsid w:val="00F45B43"/>
    <w:rsid w:val="00F4678A"/>
    <w:rsid w:val="00F46982"/>
    <w:rsid w:val="00F46A7D"/>
    <w:rsid w:val="00F5054D"/>
    <w:rsid w:val="00F51153"/>
    <w:rsid w:val="00F53669"/>
    <w:rsid w:val="00F54B1C"/>
    <w:rsid w:val="00F55DEA"/>
    <w:rsid w:val="00F56C7C"/>
    <w:rsid w:val="00F57666"/>
    <w:rsid w:val="00F60267"/>
    <w:rsid w:val="00F60304"/>
    <w:rsid w:val="00F604A0"/>
    <w:rsid w:val="00F61248"/>
    <w:rsid w:val="00F64195"/>
    <w:rsid w:val="00F65C6C"/>
    <w:rsid w:val="00F65EAD"/>
    <w:rsid w:val="00F66B4E"/>
    <w:rsid w:val="00F67EED"/>
    <w:rsid w:val="00F70294"/>
    <w:rsid w:val="00F7075E"/>
    <w:rsid w:val="00F7089C"/>
    <w:rsid w:val="00F70ED2"/>
    <w:rsid w:val="00F712E4"/>
    <w:rsid w:val="00F715EB"/>
    <w:rsid w:val="00F7264F"/>
    <w:rsid w:val="00F73412"/>
    <w:rsid w:val="00F737C8"/>
    <w:rsid w:val="00F76357"/>
    <w:rsid w:val="00F776F8"/>
    <w:rsid w:val="00F77FCE"/>
    <w:rsid w:val="00F81D07"/>
    <w:rsid w:val="00F821DB"/>
    <w:rsid w:val="00F83579"/>
    <w:rsid w:val="00F85263"/>
    <w:rsid w:val="00F85772"/>
    <w:rsid w:val="00F85F67"/>
    <w:rsid w:val="00F86353"/>
    <w:rsid w:val="00F86C95"/>
    <w:rsid w:val="00F86DE0"/>
    <w:rsid w:val="00F8706F"/>
    <w:rsid w:val="00F90448"/>
    <w:rsid w:val="00F90D29"/>
    <w:rsid w:val="00F917FF"/>
    <w:rsid w:val="00F93A03"/>
    <w:rsid w:val="00F94D99"/>
    <w:rsid w:val="00FA0819"/>
    <w:rsid w:val="00FA1BC0"/>
    <w:rsid w:val="00FA2298"/>
    <w:rsid w:val="00FA2786"/>
    <w:rsid w:val="00FA2DAD"/>
    <w:rsid w:val="00FA41CF"/>
    <w:rsid w:val="00FA440B"/>
    <w:rsid w:val="00FA5F67"/>
    <w:rsid w:val="00FA5FF1"/>
    <w:rsid w:val="00FA6D4D"/>
    <w:rsid w:val="00FA705E"/>
    <w:rsid w:val="00FA73CC"/>
    <w:rsid w:val="00FB0362"/>
    <w:rsid w:val="00FB052F"/>
    <w:rsid w:val="00FB132D"/>
    <w:rsid w:val="00FB1BC9"/>
    <w:rsid w:val="00FB1FEE"/>
    <w:rsid w:val="00FB27C0"/>
    <w:rsid w:val="00FB4401"/>
    <w:rsid w:val="00FB544C"/>
    <w:rsid w:val="00FB5AA2"/>
    <w:rsid w:val="00FB7A30"/>
    <w:rsid w:val="00FC0BF9"/>
    <w:rsid w:val="00FC435B"/>
    <w:rsid w:val="00FC474F"/>
    <w:rsid w:val="00FC5466"/>
    <w:rsid w:val="00FC54F6"/>
    <w:rsid w:val="00FC5E3E"/>
    <w:rsid w:val="00FC628B"/>
    <w:rsid w:val="00FC6339"/>
    <w:rsid w:val="00FC7DA5"/>
    <w:rsid w:val="00FC7E91"/>
    <w:rsid w:val="00FD0473"/>
    <w:rsid w:val="00FD0780"/>
    <w:rsid w:val="00FD0E83"/>
    <w:rsid w:val="00FD2B5C"/>
    <w:rsid w:val="00FD3120"/>
    <w:rsid w:val="00FD3B9C"/>
    <w:rsid w:val="00FD4102"/>
    <w:rsid w:val="00FD6993"/>
    <w:rsid w:val="00FD6A65"/>
    <w:rsid w:val="00FD7A36"/>
    <w:rsid w:val="00FE0E49"/>
    <w:rsid w:val="00FE0EA2"/>
    <w:rsid w:val="00FE443A"/>
    <w:rsid w:val="00FE4954"/>
    <w:rsid w:val="00FE4B61"/>
    <w:rsid w:val="00FE4BBD"/>
    <w:rsid w:val="00FE5FB5"/>
    <w:rsid w:val="00FE61E2"/>
    <w:rsid w:val="00FE6A57"/>
    <w:rsid w:val="00FE6D30"/>
    <w:rsid w:val="00FE77E4"/>
    <w:rsid w:val="00FF01C2"/>
    <w:rsid w:val="00FF0FFF"/>
    <w:rsid w:val="00FF1124"/>
    <w:rsid w:val="00FF22EF"/>
    <w:rsid w:val="00FF2B31"/>
    <w:rsid w:val="00FF35D4"/>
    <w:rsid w:val="00FF55FD"/>
    <w:rsid w:val="00FF6BF5"/>
    <w:rsid w:val="00FF7280"/>
    <w:rsid w:val="04FE7541"/>
    <w:rsid w:val="078C7496"/>
    <w:rsid w:val="095C563D"/>
    <w:rsid w:val="09E00862"/>
    <w:rsid w:val="0B9E129E"/>
    <w:rsid w:val="0EA855E3"/>
    <w:rsid w:val="0FA46603"/>
    <w:rsid w:val="127F190D"/>
    <w:rsid w:val="15320BB2"/>
    <w:rsid w:val="169D2E74"/>
    <w:rsid w:val="19951957"/>
    <w:rsid w:val="1B221863"/>
    <w:rsid w:val="226739C8"/>
    <w:rsid w:val="26567DF3"/>
    <w:rsid w:val="2B927EA7"/>
    <w:rsid w:val="3482711C"/>
    <w:rsid w:val="3A0C6803"/>
    <w:rsid w:val="46695900"/>
    <w:rsid w:val="48BF47B5"/>
    <w:rsid w:val="4B0300B5"/>
    <w:rsid w:val="53925898"/>
    <w:rsid w:val="570766A5"/>
    <w:rsid w:val="574F4FFF"/>
    <w:rsid w:val="62340FAB"/>
    <w:rsid w:val="63E24966"/>
    <w:rsid w:val="6ADA247E"/>
    <w:rsid w:val="745B1150"/>
    <w:rsid w:val="777811D4"/>
    <w:rsid w:val="7C3E654E"/>
    <w:rsid w:val="7E5762B8"/>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qFormat="1" w:unhideWhenUsed="0" w:uiPriority="0" w:semiHidden="0" w:name="Normal Indent"/>
    <w:lsdException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0" w:name="index heading"/>
    <w:lsdException w:qFormat="1" w:unhideWhenUsed="0" w:uiPriority="0" w:semiHidden="0" w:name="caption"/>
    <w:lsdException w:qFormat="1" w:unhideWhenUsed="0" w:uiPriority="99" w:semiHidden="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semiHidden="0"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MS Mincho" w:cs="Times New Roman"/>
      <w:snapToGrid w:val="0"/>
      <w:sz w:val="16"/>
      <w:szCs w:val="16"/>
      <w:lang w:val="en-GB" w:eastAsia="ja-JP" w:bidi="ar-SA"/>
    </w:rPr>
  </w:style>
  <w:style w:type="paragraph" w:styleId="2">
    <w:name w:val="heading 1"/>
    <w:basedOn w:val="1"/>
    <w:next w:val="1"/>
    <w:link w:val="123"/>
    <w:qFormat/>
    <w:uiPriority w:val="0"/>
    <w:pPr>
      <w:keepNext/>
      <w:spacing w:before="240" w:after="60"/>
      <w:outlineLvl w:val="0"/>
    </w:pPr>
    <w:rPr>
      <w:rFonts w:cs="Arial"/>
      <w:b/>
      <w:bCs/>
      <w:kern w:val="32"/>
      <w:sz w:val="24"/>
      <w:szCs w:val="32"/>
    </w:rPr>
  </w:style>
  <w:style w:type="paragraph" w:styleId="3">
    <w:name w:val="heading 2"/>
    <w:basedOn w:val="1"/>
    <w:next w:val="1"/>
    <w:qFormat/>
    <w:uiPriority w:val="0"/>
    <w:pPr>
      <w:keepNext/>
      <w:spacing w:before="120" w:after="60"/>
      <w:outlineLvl w:val="1"/>
    </w:pPr>
    <w:rPr>
      <w:rFonts w:cs="Arial"/>
      <w:b/>
      <w:bCs/>
      <w:iCs/>
      <w:sz w:val="20"/>
      <w:szCs w:val="28"/>
    </w:rPr>
  </w:style>
  <w:style w:type="paragraph" w:styleId="4">
    <w:name w:val="heading 3"/>
    <w:basedOn w:val="1"/>
    <w:next w:val="1"/>
    <w:link w:val="140"/>
    <w:qFormat/>
    <w:uiPriority w:val="0"/>
    <w:pPr>
      <w:keepNext/>
      <w:spacing w:before="60" w:after="60"/>
      <w:outlineLvl w:val="2"/>
    </w:pPr>
    <w:rPr>
      <w:rFonts w:cs="Arial"/>
      <w:b/>
      <w:bCs/>
      <w:szCs w:val="26"/>
    </w:rPr>
  </w:style>
  <w:style w:type="paragraph" w:styleId="5">
    <w:name w:val="heading 4"/>
    <w:basedOn w:val="1"/>
    <w:next w:val="1"/>
    <w:link w:val="124"/>
    <w:qFormat/>
    <w:uiPriority w:val="0"/>
    <w:pPr>
      <w:keepNext/>
      <w:keepLines/>
      <w:widowControl w:val="0"/>
      <w:numPr>
        <w:ilvl w:val="3"/>
        <w:numId w:val="1"/>
      </w:numPr>
      <w:spacing w:before="280" w:after="290" w:line="376" w:lineRule="auto"/>
      <w:jc w:val="both"/>
      <w:outlineLvl w:val="3"/>
    </w:pPr>
    <w:rPr>
      <w:rFonts w:ascii="Cambria" w:hAnsi="Cambria" w:eastAsia="宋体"/>
      <w:b/>
      <w:bCs/>
      <w:snapToGrid/>
      <w:kern w:val="2"/>
      <w:sz w:val="28"/>
      <w:szCs w:val="28"/>
      <w:lang w:val="zh-CN" w:eastAsia="zh-CN"/>
    </w:rPr>
  </w:style>
  <w:style w:type="character" w:default="1" w:styleId="28">
    <w:name w:val="Default Paragraph Font"/>
    <w:unhideWhenUsed/>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6">
    <w:name w:val="Normal Indent"/>
    <w:basedOn w:val="1"/>
    <w:qFormat/>
    <w:uiPriority w:val="0"/>
    <w:pPr>
      <w:widowControl w:val="0"/>
      <w:spacing w:beforeLines="50" w:line="288" w:lineRule="auto"/>
      <w:ind w:left="1199" w:leftChars="1199" w:firstLine="200" w:firstLineChars="200"/>
      <w:jc w:val="both"/>
    </w:pPr>
    <w:rPr>
      <w:rFonts w:ascii="Times New Roman" w:hAnsi="Times New Roman" w:eastAsia="楷体_GB2312"/>
      <w:snapToGrid/>
      <w:kern w:val="2"/>
      <w:sz w:val="21"/>
      <w:szCs w:val="20"/>
      <w:lang w:val="en-US" w:eastAsia="zh-CN"/>
    </w:rPr>
  </w:style>
  <w:style w:type="paragraph" w:styleId="7">
    <w:name w:val="caption"/>
    <w:basedOn w:val="1"/>
    <w:next w:val="1"/>
    <w:qFormat/>
    <w:uiPriority w:val="0"/>
    <w:pPr>
      <w:widowControl w:val="0"/>
      <w:spacing w:before="120" w:line="300" w:lineRule="auto"/>
      <w:ind w:left="2520" w:leftChars="1200"/>
      <w:jc w:val="center"/>
    </w:pPr>
    <w:rPr>
      <w:rFonts w:ascii="楷体_GB2312" w:hAnsi="Arial" w:eastAsia="楷体_GB2312" w:cs="Arial"/>
      <w:b/>
      <w:bCs/>
      <w:snapToGrid/>
      <w:kern w:val="2"/>
      <w:sz w:val="20"/>
      <w:szCs w:val="20"/>
      <w:lang w:val="en-US" w:eastAsia="zh-CN"/>
    </w:rPr>
  </w:style>
  <w:style w:type="paragraph" w:styleId="8">
    <w:name w:val="annotation text"/>
    <w:basedOn w:val="1"/>
    <w:link w:val="136"/>
    <w:qFormat/>
    <w:uiPriority w:val="0"/>
    <w:pPr>
      <w:widowControl w:val="0"/>
    </w:pPr>
    <w:rPr>
      <w:rFonts w:ascii="Times New Roman" w:hAnsi="Times New Roman" w:eastAsia="宋体"/>
      <w:snapToGrid/>
      <w:kern w:val="2"/>
      <w:sz w:val="21"/>
      <w:szCs w:val="24"/>
      <w:lang w:val="zh-CN" w:eastAsia="zh-CN"/>
    </w:rPr>
  </w:style>
  <w:style w:type="paragraph" w:styleId="9">
    <w:name w:val="Body Text 3"/>
    <w:basedOn w:val="1"/>
    <w:link w:val="128"/>
    <w:qFormat/>
    <w:uiPriority w:val="0"/>
    <w:pPr>
      <w:widowControl w:val="0"/>
      <w:jc w:val="both"/>
    </w:pPr>
    <w:rPr>
      <w:rFonts w:ascii="汉仪楷体简" w:hAnsi="Times New Roman" w:eastAsia="汉仪楷体简"/>
      <w:snapToGrid/>
      <w:color w:val="000000"/>
      <w:sz w:val="18"/>
      <w:lang w:val="en-US" w:eastAsia="zh-CN"/>
    </w:rPr>
  </w:style>
  <w:style w:type="paragraph" w:styleId="10">
    <w:name w:val="Body Text"/>
    <w:basedOn w:val="1"/>
    <w:link w:val="125"/>
    <w:qFormat/>
    <w:uiPriority w:val="0"/>
    <w:pPr>
      <w:widowControl w:val="0"/>
      <w:tabs>
        <w:tab w:val="left" w:pos="3045"/>
      </w:tabs>
      <w:ind w:right="7159" w:rightChars="3409"/>
      <w:jc w:val="both"/>
    </w:pPr>
    <w:rPr>
      <w:rFonts w:ascii="Times New Roman" w:hAnsi="Times New Roman" w:eastAsia="宋体"/>
      <w:snapToGrid/>
      <w:kern w:val="2"/>
      <w:sz w:val="21"/>
      <w:szCs w:val="24"/>
      <w:lang w:val="en-US" w:eastAsia="zh-CN"/>
    </w:rPr>
  </w:style>
  <w:style w:type="paragraph" w:styleId="11">
    <w:name w:val="Body Text Indent"/>
    <w:basedOn w:val="1"/>
    <w:link w:val="126"/>
    <w:qFormat/>
    <w:uiPriority w:val="0"/>
    <w:pPr>
      <w:widowControl w:val="0"/>
      <w:ind w:left="3150" w:leftChars="1500"/>
      <w:jc w:val="both"/>
    </w:pPr>
    <w:rPr>
      <w:rFonts w:ascii="汉仪楷体简" w:hAnsi="Times New Roman" w:eastAsia="汉仪楷体简"/>
      <w:snapToGrid/>
      <w:color w:val="000000"/>
      <w:sz w:val="18"/>
      <w:lang w:val="en-US" w:eastAsia="zh-CN"/>
    </w:rPr>
  </w:style>
  <w:style w:type="paragraph" w:styleId="12">
    <w:name w:val="Block Text"/>
    <w:basedOn w:val="1"/>
    <w:qFormat/>
    <w:uiPriority w:val="0"/>
    <w:pPr>
      <w:widowControl w:val="0"/>
      <w:ind w:left="3261" w:leftChars="1553" w:right="55" w:rightChars="26" w:firstLine="1"/>
    </w:pPr>
    <w:rPr>
      <w:rFonts w:ascii="Times New Roman" w:hAnsi="Times New Roman" w:eastAsia="汉仪大黑简"/>
      <w:snapToGrid/>
      <w:color w:val="000000"/>
      <w:kern w:val="2"/>
      <w:sz w:val="18"/>
      <w:szCs w:val="24"/>
      <w:lang w:val="en-US" w:eastAsia="zh-CN"/>
    </w:rPr>
  </w:style>
  <w:style w:type="paragraph" w:styleId="13">
    <w:name w:val="toc 3"/>
    <w:basedOn w:val="1"/>
    <w:next w:val="1"/>
    <w:qFormat/>
    <w:uiPriority w:val="39"/>
    <w:pPr>
      <w:widowControl w:val="0"/>
      <w:tabs>
        <w:tab w:val="left" w:pos="3150"/>
        <w:tab w:val="right" w:leader="dot" w:pos="10537"/>
      </w:tabs>
      <w:spacing w:line="440" w:lineRule="exact"/>
      <w:ind w:left="1700" w:leftChars="1700"/>
      <w:jc w:val="both"/>
    </w:pPr>
    <w:rPr>
      <w:rFonts w:ascii="Arial" w:hAnsi="Arial" w:eastAsia="楷体_GB2312"/>
      <w:snapToGrid/>
      <w:kern w:val="2"/>
      <w:sz w:val="20"/>
      <w:szCs w:val="24"/>
      <w:lang w:val="en-US" w:eastAsia="zh-CN"/>
    </w:rPr>
  </w:style>
  <w:style w:type="paragraph" w:styleId="14">
    <w:name w:val="Date"/>
    <w:basedOn w:val="1"/>
    <w:next w:val="1"/>
    <w:link w:val="131"/>
    <w:qFormat/>
    <w:uiPriority w:val="0"/>
    <w:pPr>
      <w:widowControl w:val="0"/>
      <w:autoSpaceDE w:val="0"/>
      <w:autoSpaceDN w:val="0"/>
      <w:adjustRightInd w:val="0"/>
      <w:jc w:val="both"/>
      <w:textAlignment w:val="baseline"/>
    </w:pPr>
    <w:rPr>
      <w:rFonts w:ascii="宋体" w:hAnsi="Times New Roman" w:eastAsia="宋体"/>
      <w:snapToGrid/>
      <w:kern w:val="2"/>
      <w:sz w:val="28"/>
      <w:szCs w:val="20"/>
      <w:lang w:val="en-US" w:eastAsia="zh-CN"/>
    </w:rPr>
  </w:style>
  <w:style w:type="paragraph" w:styleId="15">
    <w:name w:val="Body Text Indent 2"/>
    <w:basedOn w:val="1"/>
    <w:link w:val="129"/>
    <w:qFormat/>
    <w:uiPriority w:val="0"/>
    <w:pPr>
      <w:widowControl w:val="0"/>
      <w:autoSpaceDE w:val="0"/>
      <w:autoSpaceDN w:val="0"/>
      <w:adjustRightInd w:val="0"/>
      <w:ind w:left="2520" w:leftChars="1200" w:firstLine="360" w:firstLineChars="150"/>
    </w:pPr>
    <w:rPr>
      <w:rFonts w:ascii="楷体_GB2312" w:hAnsi="Times New Roman" w:eastAsia="楷体_GB2312"/>
      <w:snapToGrid/>
      <w:sz w:val="24"/>
      <w:szCs w:val="24"/>
      <w:lang w:val="en-US" w:eastAsia="zh-CN"/>
    </w:rPr>
  </w:style>
  <w:style w:type="paragraph" w:styleId="16">
    <w:name w:val="Balloon Text"/>
    <w:basedOn w:val="1"/>
    <w:link w:val="34"/>
    <w:qFormat/>
    <w:uiPriority w:val="0"/>
    <w:rPr>
      <w:rFonts w:ascii="Tahoma" w:hAnsi="Tahoma" w:cs="Tahoma"/>
    </w:rPr>
  </w:style>
  <w:style w:type="paragraph" w:styleId="17">
    <w:name w:val="footer"/>
    <w:basedOn w:val="1"/>
    <w:qFormat/>
    <w:uiPriority w:val="0"/>
    <w:pPr>
      <w:tabs>
        <w:tab w:val="center" w:pos="4419"/>
        <w:tab w:val="right" w:pos="8838"/>
      </w:tabs>
    </w:pPr>
  </w:style>
  <w:style w:type="paragraph" w:styleId="18">
    <w:name w:val="header"/>
    <w:basedOn w:val="1"/>
    <w:qFormat/>
    <w:uiPriority w:val="0"/>
    <w:pPr>
      <w:tabs>
        <w:tab w:val="center" w:pos="4419"/>
        <w:tab w:val="right" w:pos="8838"/>
      </w:tabs>
    </w:pPr>
  </w:style>
  <w:style w:type="paragraph" w:styleId="19">
    <w:name w:val="toc 1"/>
    <w:basedOn w:val="1"/>
    <w:next w:val="1"/>
    <w:qFormat/>
    <w:uiPriority w:val="39"/>
    <w:pPr>
      <w:widowControl w:val="0"/>
      <w:tabs>
        <w:tab w:val="left" w:pos="2835"/>
        <w:tab w:val="left" w:pos="3325"/>
        <w:tab w:val="right" w:leader="dot" w:pos="10537"/>
      </w:tabs>
      <w:overflowPunct w:val="0"/>
      <w:spacing w:line="440" w:lineRule="exact"/>
      <w:ind w:left="1300" w:leftChars="1300"/>
      <w:jc w:val="both"/>
    </w:pPr>
    <w:rPr>
      <w:rFonts w:ascii="Arial" w:hAnsi="Arial" w:eastAsia="楷体_GB2312"/>
      <w:snapToGrid/>
      <w:kern w:val="2"/>
      <w:sz w:val="21"/>
      <w:szCs w:val="24"/>
      <w:lang w:val="en-US" w:eastAsia="zh-CN"/>
    </w:rPr>
  </w:style>
  <w:style w:type="paragraph" w:styleId="20">
    <w:name w:val="Body Text Indent 3"/>
    <w:basedOn w:val="1"/>
    <w:link w:val="130"/>
    <w:qFormat/>
    <w:uiPriority w:val="0"/>
    <w:pPr>
      <w:framePr w:hSpace="180" w:wrap="around" w:vAnchor="text" w:hAnchor="text" w:xAlign="right" w:y="1"/>
      <w:suppressOverlap/>
      <w:widowControl w:val="0"/>
      <w:spacing w:line="320" w:lineRule="exact"/>
      <w:ind w:left="50" w:leftChars="24" w:firstLine="485" w:firstLineChars="202"/>
      <w:jc w:val="both"/>
    </w:pPr>
    <w:rPr>
      <w:rFonts w:ascii="楷体_GB2312" w:hAnsi="Times New Roman" w:eastAsia="楷体_GB2312"/>
      <w:snapToGrid/>
      <w:color w:val="000000"/>
      <w:kern w:val="2"/>
      <w:sz w:val="24"/>
      <w:szCs w:val="24"/>
      <w:lang w:val="en-US" w:eastAsia="zh-CN"/>
    </w:rPr>
  </w:style>
  <w:style w:type="paragraph" w:styleId="21">
    <w:name w:val="table of figures"/>
    <w:basedOn w:val="1"/>
    <w:next w:val="1"/>
    <w:qFormat/>
    <w:uiPriority w:val="99"/>
    <w:pPr>
      <w:widowControl w:val="0"/>
      <w:spacing w:line="440" w:lineRule="exact"/>
      <w:ind w:left="1300" w:leftChars="1300"/>
    </w:pPr>
    <w:rPr>
      <w:rFonts w:ascii="Arial" w:hAnsi="Arial" w:eastAsia="楷体_GB2312"/>
      <w:snapToGrid/>
      <w:kern w:val="2"/>
      <w:sz w:val="20"/>
      <w:szCs w:val="24"/>
      <w:lang w:val="en-US" w:eastAsia="zh-CN"/>
    </w:rPr>
  </w:style>
  <w:style w:type="paragraph" w:styleId="22">
    <w:name w:val="toc 2"/>
    <w:basedOn w:val="1"/>
    <w:next w:val="1"/>
    <w:qFormat/>
    <w:uiPriority w:val="39"/>
    <w:pPr>
      <w:widowControl w:val="0"/>
      <w:tabs>
        <w:tab w:val="left" w:pos="2835"/>
        <w:tab w:val="right" w:leader="dot" w:pos="10500"/>
      </w:tabs>
      <w:overflowPunct w:val="0"/>
      <w:spacing w:line="440" w:lineRule="exact"/>
      <w:ind w:left="1500" w:leftChars="1500"/>
      <w:jc w:val="both"/>
    </w:pPr>
    <w:rPr>
      <w:rFonts w:ascii="Arial" w:hAnsi="Arial" w:eastAsia="楷体_GB2312"/>
      <w:snapToGrid/>
      <w:kern w:val="2"/>
      <w:sz w:val="20"/>
      <w:szCs w:val="24"/>
      <w:lang w:val="en-US" w:eastAsia="zh-CN"/>
    </w:rPr>
  </w:style>
  <w:style w:type="paragraph" w:styleId="23">
    <w:name w:val="Body Text 2"/>
    <w:basedOn w:val="1"/>
    <w:link w:val="127"/>
    <w:qFormat/>
    <w:uiPriority w:val="0"/>
    <w:pPr>
      <w:widowControl w:val="0"/>
      <w:jc w:val="both"/>
    </w:pPr>
    <w:rPr>
      <w:rFonts w:ascii="Times New Roman" w:hAnsi="Times New Roman" w:eastAsia="汉仪楷体简"/>
      <w:snapToGrid/>
      <w:sz w:val="18"/>
      <w:szCs w:val="24"/>
      <w:lang w:val="en-US" w:eastAsia="zh-CN"/>
    </w:rPr>
  </w:style>
  <w:style w:type="paragraph" w:styleId="24">
    <w:name w:val="Normal (Web)"/>
    <w:basedOn w:val="1"/>
    <w:qFormat/>
    <w:uiPriority w:val="0"/>
    <w:pPr>
      <w:spacing w:before="100" w:beforeAutospacing="1" w:after="100" w:afterAutospacing="1"/>
    </w:pPr>
    <w:rPr>
      <w:rFonts w:ascii="宋体" w:hAnsi="宋体" w:eastAsia="宋体" w:cs="宋体"/>
      <w:snapToGrid/>
      <w:sz w:val="24"/>
      <w:szCs w:val="24"/>
      <w:lang w:val="en-US" w:eastAsia="zh-CN"/>
    </w:rPr>
  </w:style>
  <w:style w:type="paragraph" w:styleId="25">
    <w:name w:val="annotation subject"/>
    <w:basedOn w:val="8"/>
    <w:next w:val="8"/>
    <w:link w:val="137"/>
    <w:qFormat/>
    <w:uiPriority w:val="0"/>
    <w:rPr>
      <w:b/>
      <w:bCs/>
    </w:rPr>
  </w:style>
  <w:style w:type="table" w:styleId="27">
    <w:name w:val="Table Grid"/>
    <w:basedOn w:val="2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Strong"/>
    <w:qFormat/>
    <w:uiPriority w:val="0"/>
    <w:rPr>
      <w:b/>
      <w:bCs/>
    </w:rPr>
  </w:style>
  <w:style w:type="character" w:styleId="30">
    <w:name w:val="page number"/>
    <w:basedOn w:val="28"/>
    <w:qFormat/>
    <w:uiPriority w:val="0"/>
  </w:style>
  <w:style w:type="character" w:styleId="31">
    <w:name w:val="FollowedHyperlink"/>
    <w:qFormat/>
    <w:uiPriority w:val="0"/>
    <w:rPr>
      <w:color w:val="800080"/>
      <w:u w:val="single"/>
    </w:rPr>
  </w:style>
  <w:style w:type="character" w:styleId="32">
    <w:name w:val="Hyperlink"/>
    <w:basedOn w:val="28"/>
    <w:qFormat/>
    <w:uiPriority w:val="99"/>
    <w:rPr>
      <w:color w:val="0000FF"/>
      <w:u w:val="single"/>
    </w:rPr>
  </w:style>
  <w:style w:type="character" w:styleId="33">
    <w:name w:val="annotation reference"/>
    <w:qFormat/>
    <w:uiPriority w:val="0"/>
    <w:rPr>
      <w:sz w:val="21"/>
      <w:szCs w:val="21"/>
    </w:rPr>
  </w:style>
  <w:style w:type="character" w:customStyle="1" w:styleId="34">
    <w:name w:val="Balloon Text Char"/>
    <w:basedOn w:val="28"/>
    <w:link w:val="16"/>
    <w:qFormat/>
    <w:uiPriority w:val="0"/>
    <w:rPr>
      <w:rFonts w:ascii="Tahoma" w:hAnsi="Tahoma" w:cs="Tahoma"/>
      <w:lang w:eastAsia="ja-JP"/>
    </w:rPr>
  </w:style>
  <w:style w:type="paragraph" w:customStyle="1" w:styleId="35">
    <w:name w:val="EFAFPCompanyName"/>
    <w:next w:val="36"/>
    <w:qFormat/>
    <w:uiPriority w:val="0"/>
    <w:pPr>
      <w:framePr w:w="10858" w:h="1920" w:hRule="exact" w:wrap="around" w:vAnchor="page" w:hAnchor="page" w:x="341" w:y="1107" w:anchorLock="1"/>
      <w:adjustRightInd w:val="0"/>
      <w:snapToGrid w:val="0"/>
    </w:pPr>
    <w:rPr>
      <w:rFonts w:ascii="Calibri" w:hAnsi="Calibri" w:eastAsia="MS Mincho" w:cs="Times New Roman"/>
      <w:b/>
      <w:snapToGrid w:val="0"/>
      <w:sz w:val="36"/>
      <w:szCs w:val="40"/>
      <w:lang w:val="en-US" w:eastAsia="ja-JP" w:bidi="ar-SA"/>
    </w:rPr>
  </w:style>
  <w:style w:type="paragraph" w:customStyle="1" w:styleId="36">
    <w:name w:val="Style EFAFPFrameText_11.5pt + Right"/>
    <w:basedOn w:val="37"/>
    <w:qFormat/>
    <w:uiPriority w:val="0"/>
    <w:pPr>
      <w:framePr w:wrap="around"/>
      <w:jc w:val="right"/>
    </w:pPr>
    <w:rPr>
      <w:bCs/>
      <w:szCs w:val="20"/>
    </w:rPr>
  </w:style>
  <w:style w:type="paragraph" w:customStyle="1" w:styleId="37">
    <w:name w:val="EFAFPFrameText_11.5pt"/>
    <w:basedOn w:val="38"/>
    <w:qFormat/>
    <w:uiPriority w:val="0"/>
    <w:pPr>
      <w:framePr w:h="1520" w:hRule="exact" w:wrap="around" w:x="357" w:y="1072"/>
    </w:pPr>
    <w:rPr>
      <w:color w:val="23558C"/>
    </w:rPr>
  </w:style>
  <w:style w:type="paragraph" w:customStyle="1" w:styleId="38">
    <w:name w:val="EFAFPCompanyInfo"/>
    <w:basedOn w:val="1"/>
    <w:qFormat/>
    <w:uiPriority w:val="0"/>
    <w:pPr>
      <w:framePr w:w="10858" w:h="1920" w:hRule="exact" w:wrap="around" w:vAnchor="page" w:hAnchor="page" w:x="341" w:y="1107" w:anchorLock="1"/>
      <w:adjustRightInd w:val="0"/>
      <w:snapToGrid w:val="0"/>
    </w:pPr>
    <w:rPr>
      <w:b/>
      <w:sz w:val="24"/>
    </w:rPr>
  </w:style>
  <w:style w:type="paragraph" w:customStyle="1" w:styleId="39">
    <w:name w:val="EFABullet"/>
    <w:basedOn w:val="40"/>
    <w:qFormat/>
    <w:uiPriority w:val="0"/>
    <w:pPr>
      <w:numPr>
        <w:ilvl w:val="0"/>
        <w:numId w:val="2"/>
      </w:numPr>
      <w:tabs>
        <w:tab w:val="left" w:pos="480"/>
      </w:tabs>
      <w:ind w:left="192" w:firstLine="0"/>
    </w:pPr>
  </w:style>
  <w:style w:type="paragraph" w:customStyle="1" w:styleId="40">
    <w:name w:val="EFABodyText"/>
    <w:link w:val="56"/>
    <w:qFormat/>
    <w:uiPriority w:val="0"/>
    <w:pPr>
      <w:widowControl w:val="0"/>
      <w:adjustRightInd w:val="0"/>
      <w:snapToGrid w:val="0"/>
    </w:pPr>
    <w:rPr>
      <w:rFonts w:ascii="Calibri" w:hAnsi="Calibri" w:eastAsia="MS Mincho" w:cs="Times New Roman"/>
      <w:snapToGrid w:val="0"/>
      <w:szCs w:val="16"/>
      <w:lang w:val="en-US" w:eastAsia="ja-JP" w:bidi="ar-SA"/>
    </w:rPr>
  </w:style>
  <w:style w:type="paragraph" w:customStyle="1" w:styleId="41">
    <w:name w:val="EFAButton"/>
    <w:basedOn w:val="42"/>
    <w:qFormat/>
    <w:uiPriority w:val="0"/>
    <w:rPr>
      <w:b/>
    </w:rPr>
  </w:style>
  <w:style w:type="paragraph" w:customStyle="1" w:styleId="42">
    <w:name w:val="EFANormal"/>
    <w:link w:val="55"/>
    <w:qFormat/>
    <w:uiPriority w:val="0"/>
    <w:pPr>
      <w:widowControl w:val="0"/>
      <w:adjustRightInd w:val="0"/>
      <w:snapToGrid w:val="0"/>
    </w:pPr>
    <w:rPr>
      <w:rFonts w:ascii="Calibri" w:hAnsi="Calibri" w:eastAsia="MS Mincho" w:cs="Times New Roman"/>
      <w:snapToGrid w:val="0"/>
      <w:sz w:val="16"/>
      <w:szCs w:val="16"/>
      <w:lang w:val="en-US" w:eastAsia="ja-JP" w:bidi="ar-SA"/>
    </w:rPr>
  </w:style>
  <w:style w:type="paragraph" w:customStyle="1" w:styleId="43">
    <w:name w:val="Style EFAFPFrameText_11.5pt_Right"/>
    <w:basedOn w:val="37"/>
    <w:qFormat/>
    <w:uiPriority w:val="0"/>
    <w:pPr>
      <w:framePr w:wrap="around"/>
      <w:jc w:val="right"/>
    </w:pPr>
    <w:rPr>
      <w:bCs/>
      <w:szCs w:val="20"/>
    </w:rPr>
  </w:style>
  <w:style w:type="paragraph" w:customStyle="1" w:styleId="44">
    <w:name w:val="EFADisclaimerText"/>
    <w:basedOn w:val="42"/>
    <w:link w:val="112"/>
    <w:qFormat/>
    <w:uiPriority w:val="99"/>
    <w:pPr>
      <w:jc w:val="both"/>
    </w:pPr>
  </w:style>
  <w:style w:type="paragraph" w:styleId="45">
    <w:name w:val="List Paragraph"/>
    <w:basedOn w:val="1"/>
    <w:qFormat/>
    <w:uiPriority w:val="34"/>
    <w:pPr>
      <w:ind w:left="720"/>
      <w:contextualSpacing/>
    </w:pPr>
  </w:style>
  <w:style w:type="paragraph" w:customStyle="1" w:styleId="46">
    <w:name w:val="EFABullet_Red"/>
    <w:basedOn w:val="47"/>
    <w:qFormat/>
    <w:uiPriority w:val="0"/>
    <w:pPr>
      <w:numPr>
        <w:ilvl w:val="0"/>
        <w:numId w:val="3"/>
      </w:numPr>
      <w:tabs>
        <w:tab w:val="left" w:pos="481"/>
      </w:tabs>
    </w:pPr>
  </w:style>
  <w:style w:type="paragraph" w:customStyle="1" w:styleId="47">
    <w:name w:val="EFAFP_BodyText"/>
    <w:link w:val="57"/>
    <w:qFormat/>
    <w:uiPriority w:val="0"/>
    <w:pPr>
      <w:widowControl w:val="0"/>
      <w:adjustRightInd w:val="0"/>
      <w:snapToGrid w:val="0"/>
    </w:pPr>
    <w:rPr>
      <w:rFonts w:ascii="Calibri" w:hAnsi="Calibri" w:eastAsia="MS Mincho" w:cs="Times New Roman"/>
      <w:snapToGrid w:val="0"/>
      <w:szCs w:val="16"/>
      <w:lang w:val="en-US" w:eastAsia="ja-JP" w:bidi="ar-SA"/>
    </w:rPr>
  </w:style>
  <w:style w:type="paragraph" w:customStyle="1" w:styleId="48">
    <w:name w:val="EFA2ndPageHeader"/>
    <w:basedOn w:val="42"/>
    <w:qFormat/>
    <w:uiPriority w:val="0"/>
    <w:pPr>
      <w:spacing w:before="40" w:after="40"/>
      <w:jc w:val="right"/>
    </w:pPr>
    <w:rPr>
      <w:color w:val="FF0000"/>
      <w:sz w:val="24"/>
    </w:rPr>
  </w:style>
  <w:style w:type="paragraph" w:customStyle="1" w:styleId="49">
    <w:name w:val="EFAPageFooter"/>
    <w:basedOn w:val="42"/>
    <w:qFormat/>
    <w:uiPriority w:val="0"/>
    <w:pPr>
      <w:framePr w:wrap="around" w:vAnchor="page" w:hAnchor="page" w:x="347" w:y="15481"/>
      <w:suppressOverlap/>
      <w:tabs>
        <w:tab w:val="center" w:pos="5165"/>
      </w:tabs>
    </w:pPr>
    <w:rPr>
      <w:b/>
      <w:sz w:val="20"/>
      <w:szCs w:val="20"/>
    </w:rPr>
  </w:style>
  <w:style w:type="paragraph" w:customStyle="1" w:styleId="50">
    <w:name w:val="EFAPageHeader"/>
    <w:basedOn w:val="42"/>
    <w:qFormat/>
    <w:uiPriority w:val="0"/>
    <w:pPr>
      <w:tabs>
        <w:tab w:val="right" w:pos="10692"/>
      </w:tabs>
      <w:spacing w:before="40" w:after="40"/>
    </w:pPr>
    <w:rPr>
      <w:b/>
      <w:bCs/>
      <w:color w:val="005BAC"/>
      <w:sz w:val="24"/>
    </w:rPr>
  </w:style>
  <w:style w:type="paragraph" w:customStyle="1" w:styleId="51">
    <w:name w:val="EFAHiddenBookmark"/>
    <w:basedOn w:val="1"/>
    <w:link w:val="52"/>
    <w:qFormat/>
    <w:uiPriority w:val="99"/>
    <w:pPr>
      <w:adjustRightInd w:val="0"/>
      <w:snapToGrid w:val="0"/>
      <w:spacing w:after="40" w:line="180" w:lineRule="exact"/>
    </w:pPr>
    <w:rPr>
      <w:rFonts w:ascii="Arial" w:hAnsi="Arial" w:eastAsia="Times New Roman"/>
      <w:vanish/>
      <w:kern w:val="2"/>
      <w:sz w:val="14"/>
      <w:szCs w:val="19"/>
      <w:lang w:eastAsia="en-US"/>
    </w:rPr>
  </w:style>
  <w:style w:type="character" w:customStyle="1" w:styleId="52">
    <w:name w:val="EFAHiddenBookmark Char"/>
    <w:link w:val="51"/>
    <w:qFormat/>
    <w:uiPriority w:val="99"/>
    <w:rPr>
      <w:rFonts w:ascii="Arial" w:hAnsi="Arial" w:eastAsia="Times New Roman"/>
      <w:vanish/>
      <w:kern w:val="2"/>
      <w:sz w:val="14"/>
      <w:szCs w:val="19"/>
      <w:lang w:val="en-GB" w:eastAsia="en-US"/>
    </w:rPr>
  </w:style>
  <w:style w:type="paragraph" w:customStyle="1" w:styleId="53">
    <w:name w:val="EFAPoweredByEFA"/>
    <w:link w:val="54"/>
    <w:qFormat/>
    <w:uiPriority w:val="0"/>
    <w:pPr>
      <w:widowControl w:val="0"/>
      <w:tabs>
        <w:tab w:val="right" w:pos="6490"/>
      </w:tabs>
      <w:adjustRightInd w:val="0"/>
      <w:snapToGrid w:val="0"/>
      <w:ind w:left="-4186"/>
    </w:pPr>
    <w:rPr>
      <w:rFonts w:ascii="Arial" w:hAnsi="Arial" w:eastAsia="PMingLiU" w:cs="Times New Roman"/>
      <w:snapToGrid w:val="0"/>
      <w:color w:val="5A5A5A"/>
      <w:sz w:val="9"/>
      <w:szCs w:val="9"/>
      <w:lang w:val="en-US" w:eastAsia="zh-TW" w:bidi="ar-SA"/>
    </w:rPr>
  </w:style>
  <w:style w:type="character" w:customStyle="1" w:styleId="54">
    <w:name w:val="EFAPoweredByEFA Char"/>
    <w:link w:val="53"/>
    <w:qFormat/>
    <w:uiPriority w:val="0"/>
    <w:rPr>
      <w:rFonts w:ascii="Arial" w:hAnsi="Arial" w:eastAsia="PMingLiU"/>
      <w:color w:val="5A5A5A"/>
      <w:sz w:val="9"/>
      <w:szCs w:val="9"/>
      <w:lang w:eastAsia="zh-TW"/>
    </w:rPr>
  </w:style>
  <w:style w:type="character" w:customStyle="1" w:styleId="55">
    <w:name w:val="EFANormal Char"/>
    <w:basedOn w:val="28"/>
    <w:link w:val="42"/>
    <w:qFormat/>
    <w:uiPriority w:val="0"/>
    <w:rPr>
      <w:lang w:eastAsia="ja-JP"/>
    </w:rPr>
  </w:style>
  <w:style w:type="character" w:customStyle="1" w:styleId="56">
    <w:name w:val="EFABodyText Char"/>
    <w:basedOn w:val="28"/>
    <w:link w:val="40"/>
    <w:qFormat/>
    <w:uiPriority w:val="0"/>
    <w:rPr>
      <w:sz w:val="20"/>
      <w:lang w:eastAsia="ja-JP"/>
    </w:rPr>
  </w:style>
  <w:style w:type="character" w:customStyle="1" w:styleId="57">
    <w:name w:val="EFAFP_BodyText Char"/>
    <w:basedOn w:val="28"/>
    <w:link w:val="47"/>
    <w:qFormat/>
    <w:uiPriority w:val="0"/>
    <w:rPr>
      <w:sz w:val="20"/>
      <w:lang w:eastAsia="ja-JP"/>
    </w:rPr>
  </w:style>
  <w:style w:type="paragraph" w:customStyle="1" w:styleId="58">
    <w:name w:val="EFAFPTag"/>
    <w:basedOn w:val="42"/>
    <w:qFormat/>
    <w:uiPriority w:val="0"/>
    <w:pPr>
      <w:jc w:val="center"/>
    </w:pPr>
    <w:rPr>
      <w:b/>
    </w:rPr>
  </w:style>
  <w:style w:type="paragraph" w:customStyle="1" w:styleId="59">
    <w:name w:val="EFAFPFooter"/>
    <w:basedOn w:val="42"/>
    <w:qFormat/>
    <w:uiPriority w:val="0"/>
    <w:pPr>
      <w:tabs>
        <w:tab w:val="right" w:pos="10679"/>
      </w:tabs>
      <w:autoSpaceDE w:val="0"/>
      <w:autoSpaceDN w:val="0"/>
      <w:jc w:val="both"/>
    </w:pPr>
    <w:rPr>
      <w:rFonts w:cs="Arial"/>
      <w:b/>
      <w:sz w:val="14"/>
    </w:rPr>
  </w:style>
  <w:style w:type="character" w:customStyle="1" w:styleId="60">
    <w:name w:val="EFACharGrey"/>
    <w:qFormat/>
    <w:uiPriority w:val="1"/>
    <w:rPr>
      <w:color w:val="808080"/>
    </w:rPr>
  </w:style>
  <w:style w:type="paragraph" w:customStyle="1" w:styleId="61">
    <w:name w:val="EFAFPColFrameText_Left2"/>
    <w:link w:val="80"/>
    <w:qFormat/>
    <w:uiPriority w:val="0"/>
    <w:pPr>
      <w:framePr w:w="3045" w:h="12804" w:hRule="exact" w:hSpace="180" w:wrap="around" w:vAnchor="page" w:hAnchor="page" w:x="340" w:y="2765" w:anchorLock="1"/>
      <w:adjustRightInd w:val="0"/>
      <w:snapToGrid w:val="0"/>
    </w:pPr>
    <w:rPr>
      <w:rFonts w:ascii="Calibri" w:hAnsi="Calibri" w:eastAsia="MS Mincho" w:cs="Times New Roman"/>
      <w:snapToGrid w:val="0"/>
      <w:sz w:val="14"/>
      <w:szCs w:val="14"/>
      <w:lang w:val="en-US" w:eastAsia="zh-CN" w:bidi="ar-SA"/>
    </w:rPr>
  </w:style>
  <w:style w:type="character" w:customStyle="1" w:styleId="62">
    <w:name w:val="EFACharBold"/>
    <w:basedOn w:val="28"/>
    <w:qFormat/>
    <w:uiPriority w:val="1"/>
    <w:rPr>
      <w:b/>
    </w:rPr>
  </w:style>
  <w:style w:type="paragraph" w:customStyle="1" w:styleId="63">
    <w:name w:val="EFAFPColFrame_AnalystName2"/>
    <w:basedOn w:val="61"/>
    <w:link w:val="101"/>
    <w:qFormat/>
    <w:uiPriority w:val="0"/>
    <w:pPr>
      <w:framePr w:wrap="around"/>
    </w:pPr>
    <w:rPr>
      <w:b/>
      <w:sz w:val="16"/>
    </w:rPr>
  </w:style>
  <w:style w:type="paragraph" w:customStyle="1" w:styleId="64">
    <w:name w:val="EFAFP_Source"/>
    <w:basedOn w:val="42"/>
    <w:qFormat/>
    <w:uiPriority w:val="0"/>
    <w:rPr>
      <w:sz w:val="12"/>
      <w:szCs w:val="12"/>
    </w:rPr>
  </w:style>
  <w:style w:type="paragraph" w:customStyle="1" w:styleId="65">
    <w:name w:val="EFAFP_Abstract"/>
    <w:qFormat/>
    <w:uiPriority w:val="0"/>
    <w:rPr>
      <w:rFonts w:ascii="Calibri" w:hAnsi="Calibri" w:eastAsia="MS Mincho" w:cs="Times New Roman"/>
      <w:snapToGrid w:val="0"/>
      <w:sz w:val="18"/>
      <w:szCs w:val="16"/>
      <w:lang w:val="en-US" w:eastAsia="ja-JP" w:bidi="ar-SA"/>
    </w:rPr>
  </w:style>
  <w:style w:type="paragraph" w:customStyle="1" w:styleId="66">
    <w:name w:val="EFABullet_Green"/>
    <w:basedOn w:val="47"/>
    <w:qFormat/>
    <w:uiPriority w:val="0"/>
    <w:pPr>
      <w:numPr>
        <w:ilvl w:val="0"/>
        <w:numId w:val="4"/>
      </w:numPr>
      <w:tabs>
        <w:tab w:val="left" w:pos="468"/>
      </w:tabs>
    </w:pPr>
  </w:style>
  <w:style w:type="paragraph" w:customStyle="1" w:styleId="67">
    <w:name w:val="EFABullet_Blue"/>
    <w:basedOn w:val="47"/>
    <w:qFormat/>
    <w:uiPriority w:val="0"/>
    <w:pPr>
      <w:numPr>
        <w:ilvl w:val="0"/>
        <w:numId w:val="5"/>
      </w:numPr>
      <w:tabs>
        <w:tab w:val="left" w:pos="468"/>
      </w:tabs>
    </w:pPr>
  </w:style>
  <w:style w:type="paragraph" w:customStyle="1" w:styleId="68">
    <w:name w:val="EFABullet_Yellow"/>
    <w:basedOn w:val="47"/>
    <w:qFormat/>
    <w:uiPriority w:val="0"/>
    <w:pPr>
      <w:numPr>
        <w:ilvl w:val="0"/>
        <w:numId w:val="6"/>
      </w:numPr>
      <w:tabs>
        <w:tab w:val="left" w:pos="468"/>
      </w:tabs>
    </w:pPr>
  </w:style>
  <w:style w:type="paragraph" w:customStyle="1" w:styleId="69">
    <w:name w:val="EFASource"/>
    <w:basedOn w:val="40"/>
    <w:qFormat/>
    <w:uiPriority w:val="0"/>
    <w:rPr>
      <w:sz w:val="12"/>
      <w:szCs w:val="14"/>
    </w:rPr>
  </w:style>
  <w:style w:type="paragraph" w:customStyle="1" w:styleId="70">
    <w:name w:val="EFAHeading"/>
    <w:basedOn w:val="1"/>
    <w:next w:val="40"/>
    <w:qFormat/>
    <w:uiPriority w:val="0"/>
    <w:pPr>
      <w:widowControl w:val="0"/>
      <w:adjustRightInd w:val="0"/>
      <w:snapToGrid w:val="0"/>
    </w:pPr>
    <w:rPr>
      <w:b/>
      <w:color w:val="000000"/>
      <w:kern w:val="28"/>
      <w:sz w:val="24"/>
    </w:rPr>
  </w:style>
  <w:style w:type="paragraph" w:customStyle="1" w:styleId="71">
    <w:name w:val="EFADisclaimerHeading"/>
    <w:basedOn w:val="44"/>
    <w:next w:val="44"/>
    <w:qFormat/>
    <w:uiPriority w:val="99"/>
    <w:rPr>
      <w:b/>
    </w:rPr>
  </w:style>
  <w:style w:type="paragraph" w:customStyle="1" w:styleId="72">
    <w:name w:val="EFADisclaimerHeading2"/>
    <w:basedOn w:val="44"/>
    <w:next w:val="44"/>
    <w:qFormat/>
    <w:uiPriority w:val="0"/>
    <w:rPr>
      <w:b/>
      <w:sz w:val="20"/>
      <w:szCs w:val="20"/>
    </w:rPr>
  </w:style>
  <w:style w:type="paragraph" w:customStyle="1" w:styleId="73">
    <w:name w:val="EFADisclaimerHeading3"/>
    <w:basedOn w:val="44"/>
    <w:qFormat/>
    <w:uiPriority w:val="0"/>
    <w:rPr>
      <w:b/>
      <w:sz w:val="18"/>
      <w:szCs w:val="18"/>
    </w:rPr>
  </w:style>
  <w:style w:type="paragraph" w:customStyle="1" w:styleId="74">
    <w:name w:val="EFASideComment"/>
    <w:basedOn w:val="40"/>
    <w:qFormat/>
    <w:uiPriority w:val="0"/>
    <w:pPr>
      <w:framePr w:w="2980" w:hSpace="180" w:wrap="around" w:vAnchor="text" w:hAnchor="text" w:x="-3250" w:y="160"/>
    </w:pPr>
  </w:style>
  <w:style w:type="character" w:customStyle="1" w:styleId="75">
    <w:name w:val="EFACharBold_and_AllCap"/>
    <w:qFormat/>
    <w:uiPriority w:val="1"/>
    <w:rPr>
      <w:b/>
      <w:caps/>
    </w:rPr>
  </w:style>
  <w:style w:type="paragraph" w:customStyle="1" w:styleId="76">
    <w:name w:val="__Table_Normal"/>
    <w:basedOn w:val="1"/>
    <w:link w:val="77"/>
    <w:qFormat/>
    <w:uiPriority w:val="0"/>
    <w:rPr>
      <w:snapToGrid/>
      <w:color w:val="000000"/>
      <w:kern w:val="28"/>
    </w:rPr>
  </w:style>
  <w:style w:type="character" w:customStyle="1" w:styleId="77">
    <w:name w:val="__Table_Normal Char"/>
    <w:basedOn w:val="28"/>
    <w:link w:val="76"/>
    <w:qFormat/>
    <w:uiPriority w:val="0"/>
    <w:rPr>
      <w:snapToGrid/>
      <w:color w:val="000000"/>
      <w:kern w:val="28"/>
      <w:lang w:eastAsia="ja-JP"/>
    </w:rPr>
  </w:style>
  <w:style w:type="paragraph" w:customStyle="1" w:styleId="78">
    <w:name w:val="Front pg Tbl left just 7 pt"/>
    <w:basedOn w:val="1"/>
    <w:link w:val="79"/>
    <w:qFormat/>
    <w:uiPriority w:val="0"/>
    <w:rPr>
      <w:snapToGrid/>
      <w:sz w:val="14"/>
      <w:szCs w:val="24"/>
    </w:rPr>
  </w:style>
  <w:style w:type="character" w:customStyle="1" w:styleId="79">
    <w:name w:val="Front pg Tbl left just 7 pt Char Char"/>
    <w:basedOn w:val="28"/>
    <w:link w:val="78"/>
    <w:qFormat/>
    <w:uiPriority w:val="0"/>
    <w:rPr>
      <w:snapToGrid/>
      <w:sz w:val="14"/>
      <w:szCs w:val="24"/>
      <w:lang w:eastAsia="ja-JP"/>
    </w:rPr>
  </w:style>
  <w:style w:type="character" w:customStyle="1" w:styleId="80">
    <w:name w:val="EFAFPColFrameText_Left2 Char"/>
    <w:basedOn w:val="28"/>
    <w:link w:val="61"/>
    <w:qFormat/>
    <w:uiPriority w:val="0"/>
    <w:rPr>
      <w:sz w:val="14"/>
      <w:szCs w:val="14"/>
    </w:rPr>
  </w:style>
  <w:style w:type="paragraph" w:customStyle="1" w:styleId="81">
    <w:name w:val="EFAAnchor"/>
    <w:basedOn w:val="42"/>
    <w:qFormat/>
    <w:uiPriority w:val="0"/>
    <w:rPr>
      <w:sz w:val="4"/>
      <w:lang w:eastAsia="zh-CN"/>
    </w:rPr>
  </w:style>
  <w:style w:type="paragraph" w:customStyle="1" w:styleId="82">
    <w:name w:val="EFAReportTitle"/>
    <w:basedOn w:val="42"/>
    <w:qFormat/>
    <w:uiPriority w:val="0"/>
    <w:rPr>
      <w:b/>
      <w:sz w:val="48"/>
    </w:rPr>
  </w:style>
  <w:style w:type="paragraph" w:customStyle="1" w:styleId="83">
    <w:name w:val="EFAM_Title"/>
    <w:basedOn w:val="42"/>
    <w:qFormat/>
    <w:uiPriority w:val="0"/>
    <w:pPr>
      <w:framePr w:wrap="around" w:vAnchor="margin" w:hAnchor="text" w:xAlign="right" w:y="1"/>
      <w:suppressOverlap/>
    </w:pPr>
    <w:rPr>
      <w:b/>
      <w:sz w:val="32"/>
      <w:szCs w:val="28"/>
    </w:rPr>
  </w:style>
  <w:style w:type="paragraph" w:customStyle="1" w:styleId="84">
    <w:name w:val="EFABullet_Indent"/>
    <w:basedOn w:val="40"/>
    <w:qFormat/>
    <w:uiPriority w:val="0"/>
    <w:pPr>
      <w:numPr>
        <w:ilvl w:val="0"/>
        <w:numId w:val="7"/>
      </w:numPr>
      <w:tabs>
        <w:tab w:val="left" w:pos="240"/>
      </w:tabs>
      <w:ind w:left="240" w:hanging="240"/>
    </w:pPr>
  </w:style>
  <w:style w:type="paragraph" w:customStyle="1" w:styleId="85">
    <w:name w:val="EFAM_Abstract"/>
    <w:basedOn w:val="40"/>
    <w:next w:val="40"/>
    <w:qFormat/>
    <w:uiPriority w:val="0"/>
  </w:style>
  <w:style w:type="paragraph" w:customStyle="1" w:styleId="86">
    <w:name w:val="EFAM_Synopsis"/>
    <w:basedOn w:val="40"/>
    <w:next w:val="40"/>
    <w:qFormat/>
    <w:uiPriority w:val="0"/>
    <w:rPr>
      <w:b/>
      <w:sz w:val="24"/>
    </w:rPr>
  </w:style>
  <w:style w:type="paragraph" w:customStyle="1" w:styleId="87">
    <w:name w:val="EFAHeading1"/>
    <w:basedOn w:val="40"/>
    <w:next w:val="40"/>
    <w:qFormat/>
    <w:uiPriority w:val="0"/>
    <w:pPr>
      <w:numPr>
        <w:ilvl w:val="0"/>
        <w:numId w:val="8"/>
      </w:numPr>
      <w:tabs>
        <w:tab w:val="left" w:pos="1044"/>
      </w:tabs>
      <w:spacing w:after="60"/>
      <w:ind w:left="0" w:firstLine="0"/>
      <w:outlineLvl w:val="0"/>
    </w:pPr>
    <w:rPr>
      <w:b/>
      <w:sz w:val="24"/>
      <w:szCs w:val="24"/>
    </w:rPr>
  </w:style>
  <w:style w:type="paragraph" w:customStyle="1" w:styleId="88">
    <w:name w:val="EFAFPCol_Hdr3"/>
    <w:link w:val="90"/>
    <w:qFormat/>
    <w:uiPriority w:val="0"/>
    <w:pPr>
      <w:framePr w:w="2980" w:h="11080" w:hRule="exact" w:hSpace="180" w:wrap="around" w:vAnchor="text" w:hAnchor="page" w:x="370" w:y="1621"/>
    </w:pPr>
    <w:rPr>
      <w:rFonts w:ascii="Calibri" w:hAnsi="Calibri" w:eastAsia="MS Mincho" w:cs="Times New Roman"/>
      <w:b/>
      <w:snapToGrid w:val="0"/>
      <w:color w:val="808080"/>
      <w:sz w:val="24"/>
      <w:szCs w:val="24"/>
      <w:lang w:val="en-US" w:eastAsia="ja-JP" w:bidi="ar-SA"/>
    </w:rPr>
  </w:style>
  <w:style w:type="paragraph" w:customStyle="1" w:styleId="89">
    <w:name w:val="EFAFPReportType2"/>
    <w:link w:val="91"/>
    <w:qFormat/>
    <w:uiPriority w:val="0"/>
    <w:pPr>
      <w:framePr w:w="10858" w:h="1520" w:hRule="exact" w:wrap="around" w:vAnchor="page" w:hAnchor="page" w:x="357" w:y="1072" w:anchorLock="1"/>
      <w:adjustRightInd w:val="0"/>
      <w:snapToGrid w:val="0"/>
    </w:pPr>
    <w:rPr>
      <w:rFonts w:ascii="Calibri" w:hAnsi="Calibri" w:eastAsia="MS Mincho" w:cs="Times New Roman"/>
      <w:snapToGrid w:val="0"/>
      <w:color w:val="23558C"/>
      <w:sz w:val="44"/>
      <w:szCs w:val="44"/>
      <w:lang w:val="en-US" w:eastAsia="ja-JP" w:bidi="ar-SA"/>
    </w:rPr>
  </w:style>
  <w:style w:type="character" w:customStyle="1" w:styleId="90">
    <w:name w:val="EFAFPCol_Hdr3 Char"/>
    <w:basedOn w:val="28"/>
    <w:link w:val="88"/>
    <w:qFormat/>
    <w:uiPriority w:val="0"/>
    <w:rPr>
      <w:b/>
      <w:color w:val="808080"/>
      <w:sz w:val="24"/>
      <w:szCs w:val="24"/>
      <w:lang w:eastAsia="ja-JP"/>
    </w:rPr>
  </w:style>
  <w:style w:type="character" w:customStyle="1" w:styleId="91">
    <w:name w:val="EFAFPReportType2 Char"/>
    <w:basedOn w:val="28"/>
    <w:link w:val="89"/>
    <w:qFormat/>
    <w:uiPriority w:val="0"/>
    <w:rPr>
      <w:color w:val="23558C"/>
      <w:sz w:val="44"/>
      <w:szCs w:val="44"/>
      <w:lang w:eastAsia="ja-JP"/>
    </w:rPr>
  </w:style>
  <w:style w:type="paragraph" w:customStyle="1" w:styleId="92">
    <w:name w:val="EFAFPTitle3"/>
    <w:link w:val="95"/>
    <w:qFormat/>
    <w:uiPriority w:val="0"/>
    <w:pPr>
      <w:framePr w:wrap="around" w:vAnchor="margin" w:hAnchor="text" w:xAlign="right" w:y="1"/>
      <w:suppressOverlap/>
      <w:numPr>
        <w:ilvl w:val="0"/>
        <w:numId w:val="9"/>
      </w:numPr>
      <w:ind w:left="360" w:hanging="360"/>
    </w:pPr>
    <w:rPr>
      <w:rFonts w:ascii="Calibri" w:hAnsi="Calibri" w:eastAsia="MS Mincho" w:cs="Times New Roman"/>
      <w:b/>
      <w:snapToGrid w:val="0"/>
      <w:sz w:val="44"/>
      <w:szCs w:val="60"/>
      <w:lang w:val="en-US" w:eastAsia="ja-JP" w:bidi="ar-SA"/>
    </w:rPr>
  </w:style>
  <w:style w:type="paragraph" w:customStyle="1" w:styleId="93">
    <w:name w:val="EFAFP_Headline"/>
    <w:next w:val="94"/>
    <w:link w:val="96"/>
    <w:qFormat/>
    <w:uiPriority w:val="0"/>
    <w:pPr>
      <w:numPr>
        <w:ilvl w:val="0"/>
        <w:numId w:val="10"/>
      </w:numPr>
      <w:adjustRightInd w:val="0"/>
      <w:snapToGrid w:val="0"/>
    </w:pPr>
    <w:rPr>
      <w:rFonts w:ascii="Calibri" w:hAnsi="Calibri" w:eastAsia="Times New Roman" w:cs="Times New Roman"/>
      <w:b/>
      <w:bCs/>
      <w:color w:val="23558C"/>
      <w:kern w:val="28"/>
      <w:sz w:val="28"/>
      <w:lang w:val="en-US" w:eastAsia="ja-JP" w:bidi="ar-SA"/>
    </w:rPr>
  </w:style>
  <w:style w:type="paragraph" w:customStyle="1" w:styleId="94">
    <w:name w:val="EFAFP_BodyText2"/>
    <w:link w:val="97"/>
    <w:qFormat/>
    <w:uiPriority w:val="0"/>
    <w:pPr>
      <w:adjustRightInd w:val="0"/>
      <w:snapToGrid w:val="0"/>
      <w:spacing w:after="120"/>
      <w:jc w:val="both"/>
    </w:pPr>
    <w:rPr>
      <w:rFonts w:ascii="Calibri" w:hAnsi="Calibri" w:eastAsia="Times New Roman" w:cs="PMingLiU"/>
      <w:sz w:val="22"/>
      <w:lang w:val="en-US" w:eastAsia="ja-JP" w:bidi="ar-SA"/>
    </w:rPr>
  </w:style>
  <w:style w:type="character" w:customStyle="1" w:styleId="95">
    <w:name w:val="EFAFPTitle3 Char"/>
    <w:basedOn w:val="28"/>
    <w:link w:val="92"/>
    <w:qFormat/>
    <w:uiPriority w:val="0"/>
    <w:rPr>
      <w:b/>
      <w:sz w:val="44"/>
      <w:szCs w:val="60"/>
      <w:lang w:eastAsia="ja-JP"/>
    </w:rPr>
  </w:style>
  <w:style w:type="character" w:customStyle="1" w:styleId="96">
    <w:name w:val="EFAFP_Headline Char"/>
    <w:basedOn w:val="28"/>
    <w:link w:val="93"/>
    <w:qFormat/>
    <w:uiPriority w:val="0"/>
    <w:rPr>
      <w:rFonts w:eastAsia="Times New Roman"/>
      <w:b/>
      <w:bCs/>
      <w:snapToGrid/>
      <w:color w:val="23558C"/>
      <w:kern w:val="28"/>
      <w:sz w:val="28"/>
      <w:szCs w:val="20"/>
      <w:lang w:eastAsia="ja-JP"/>
    </w:rPr>
  </w:style>
  <w:style w:type="character" w:customStyle="1" w:styleId="97">
    <w:name w:val="EFAFP_BodyText2 Char"/>
    <w:basedOn w:val="28"/>
    <w:link w:val="94"/>
    <w:qFormat/>
    <w:uiPriority w:val="0"/>
    <w:rPr>
      <w:rFonts w:eastAsia="Times New Roman" w:cs="PMingLiU"/>
      <w:snapToGrid/>
      <w:sz w:val="22"/>
      <w:szCs w:val="20"/>
      <w:lang w:eastAsia="ja-JP"/>
    </w:rPr>
  </w:style>
  <w:style w:type="character" w:customStyle="1" w:styleId="98">
    <w:name w:val="EFABlueChar"/>
    <w:qFormat/>
    <w:uiPriority w:val="1"/>
    <w:rPr>
      <w:b/>
      <w:color w:val="23508C"/>
    </w:rPr>
  </w:style>
  <w:style w:type="paragraph" w:customStyle="1" w:styleId="99">
    <w:name w:val="EFAHeading5"/>
    <w:next w:val="40"/>
    <w:qFormat/>
    <w:uiPriority w:val="0"/>
    <w:pPr>
      <w:numPr>
        <w:ilvl w:val="0"/>
        <w:numId w:val="11"/>
      </w:numPr>
      <w:adjustRightInd w:val="0"/>
      <w:snapToGrid w:val="0"/>
      <w:ind w:left="972" w:hanging="972"/>
      <w:outlineLvl w:val="0"/>
    </w:pPr>
    <w:rPr>
      <w:rFonts w:ascii="Calibri" w:hAnsi="Calibri" w:eastAsia="MS Mincho" w:cs="Times New Roman"/>
      <w:b/>
      <w:bCs/>
      <w:snapToGrid w:val="0"/>
      <w:color w:val="23558C"/>
      <w:sz w:val="24"/>
      <w:szCs w:val="24"/>
      <w:lang w:val="en-US" w:eastAsia="ja-JP" w:bidi="ar-SA"/>
    </w:rPr>
  </w:style>
  <w:style w:type="paragraph" w:customStyle="1" w:styleId="100">
    <w:name w:val="EFAMacroTitle"/>
    <w:basedOn w:val="88"/>
    <w:qFormat/>
    <w:uiPriority w:val="0"/>
    <w:pPr>
      <w:framePr w:wrap="around"/>
    </w:pPr>
  </w:style>
  <w:style w:type="character" w:customStyle="1" w:styleId="101">
    <w:name w:val="EFAFPColFrame_AnalystName2 Char"/>
    <w:basedOn w:val="80"/>
    <w:link w:val="63"/>
    <w:qFormat/>
    <w:uiPriority w:val="0"/>
    <w:rPr>
      <w:b/>
      <w:sz w:val="14"/>
      <w:szCs w:val="14"/>
    </w:rPr>
  </w:style>
  <w:style w:type="paragraph" w:customStyle="1" w:styleId="102">
    <w:name w:val="EFAFPTitle"/>
    <w:link w:val="103"/>
    <w:qFormat/>
    <w:uiPriority w:val="0"/>
    <w:pPr>
      <w:framePr w:wrap="around" w:vAnchor="margin" w:hAnchor="text" w:xAlign="right" w:y="1"/>
      <w:suppressOverlap/>
      <w:tabs>
        <w:tab w:val="left" w:pos="240"/>
      </w:tabs>
      <w:ind w:left="240" w:right="220"/>
    </w:pPr>
    <w:rPr>
      <w:rFonts w:ascii="Calibri" w:hAnsi="Calibri" w:eastAsia="MS Mincho" w:cs="Times New Roman"/>
      <w:b/>
      <w:snapToGrid w:val="0"/>
      <w:color w:val="FFFFFF"/>
      <w:sz w:val="32"/>
      <w:szCs w:val="32"/>
      <w:lang w:val="en-US" w:eastAsia="ja-JP" w:bidi="ar-SA"/>
    </w:rPr>
  </w:style>
  <w:style w:type="character" w:customStyle="1" w:styleId="103">
    <w:name w:val="EFAFPTitle Char"/>
    <w:basedOn w:val="28"/>
    <w:link w:val="102"/>
    <w:qFormat/>
    <w:uiPriority w:val="0"/>
    <w:rPr>
      <w:b/>
      <w:color w:val="FFFFFF"/>
      <w:sz w:val="32"/>
      <w:szCs w:val="32"/>
      <w:lang w:eastAsia="ja-JP"/>
    </w:rPr>
  </w:style>
  <w:style w:type="paragraph" w:customStyle="1" w:styleId="104">
    <w:name w:val="EFAFPReportType"/>
    <w:link w:val="105"/>
    <w:qFormat/>
    <w:uiPriority w:val="0"/>
    <w:pPr>
      <w:framePr w:w="10858" w:h="1520" w:hRule="exact" w:wrap="around" w:vAnchor="page" w:hAnchor="page" w:x="366" w:y="1071" w:anchorLock="1"/>
      <w:adjustRightInd w:val="0"/>
      <w:snapToGrid w:val="0"/>
    </w:pPr>
    <w:rPr>
      <w:rFonts w:ascii="Calibri" w:hAnsi="Calibri" w:eastAsia="MS Mincho" w:cs="Times New Roman"/>
      <w:snapToGrid w:val="0"/>
      <w:color w:val="23558C"/>
      <w:sz w:val="44"/>
      <w:szCs w:val="44"/>
      <w:lang w:val="en-US" w:eastAsia="ja-JP" w:bidi="ar-SA"/>
    </w:rPr>
  </w:style>
  <w:style w:type="character" w:customStyle="1" w:styleId="105">
    <w:name w:val="EFAFPReportType Char"/>
    <w:basedOn w:val="28"/>
    <w:link w:val="104"/>
    <w:qFormat/>
    <w:uiPriority w:val="0"/>
    <w:rPr>
      <w:color w:val="23558C"/>
      <w:sz w:val="44"/>
      <w:szCs w:val="44"/>
      <w:lang w:eastAsia="ja-JP"/>
    </w:rPr>
  </w:style>
  <w:style w:type="paragraph" w:customStyle="1" w:styleId="106">
    <w:name w:val="EFAFPHdrInfo2"/>
    <w:link w:val="107"/>
    <w:qFormat/>
    <w:uiPriority w:val="0"/>
    <w:pPr>
      <w:framePr w:wrap="auto" w:vAnchor="margin" w:hAnchor="text" w:xAlign="right" w:y="-239"/>
      <w:suppressOverlap/>
      <w:ind w:left="240"/>
    </w:pPr>
    <w:rPr>
      <w:rFonts w:ascii="Calibri" w:hAnsi="Calibri" w:eastAsia="MS Mincho" w:cs="Times New Roman"/>
      <w:snapToGrid w:val="0"/>
      <w:color w:val="000000"/>
      <w:szCs w:val="44"/>
      <w:lang w:val="en-US" w:eastAsia="ja-JP" w:bidi="ar-SA"/>
    </w:rPr>
  </w:style>
  <w:style w:type="character" w:customStyle="1" w:styleId="107">
    <w:name w:val="EFAFPHdrInfo2 Char"/>
    <w:basedOn w:val="28"/>
    <w:link w:val="106"/>
    <w:qFormat/>
    <w:uiPriority w:val="0"/>
    <w:rPr>
      <w:color w:val="000000"/>
      <w:sz w:val="20"/>
      <w:szCs w:val="44"/>
      <w:lang w:eastAsia="ja-JP"/>
    </w:rPr>
  </w:style>
  <w:style w:type="paragraph" w:customStyle="1" w:styleId="108">
    <w:name w:val="EFADisclaimerHiddenText"/>
    <w:link w:val="109"/>
    <w:qFormat/>
    <w:uiPriority w:val="0"/>
    <w:pPr>
      <w:spacing w:line="20" w:lineRule="exact"/>
    </w:pPr>
    <w:rPr>
      <w:rFonts w:ascii="Calibri" w:hAnsi="Calibri" w:eastAsia="MS Mincho" w:cs="Times New Roman"/>
      <w:snapToGrid w:val="0"/>
      <w:vanish/>
      <w:color w:val="FFFFFF"/>
      <w:sz w:val="2"/>
      <w:szCs w:val="16"/>
      <w:lang w:val="en-US" w:eastAsia="ja-JP" w:bidi="ar-SA"/>
    </w:rPr>
  </w:style>
  <w:style w:type="character" w:customStyle="1" w:styleId="109">
    <w:name w:val="EFADisclaimerHiddenText Char"/>
    <w:basedOn w:val="28"/>
    <w:link w:val="108"/>
    <w:qFormat/>
    <w:uiPriority w:val="0"/>
    <w:rPr>
      <w:vanish/>
      <w:color w:val="FFFFFF"/>
      <w:sz w:val="2"/>
      <w:lang w:eastAsia="ja-JP"/>
    </w:rPr>
  </w:style>
  <w:style w:type="paragraph" w:customStyle="1" w:styleId="110">
    <w:name w:val="EFAFPFooter2"/>
    <w:link w:val="111"/>
    <w:qFormat/>
    <w:uiPriority w:val="0"/>
    <w:pPr>
      <w:tabs>
        <w:tab w:val="right" w:pos="11544"/>
      </w:tabs>
      <w:autoSpaceDE w:val="0"/>
      <w:autoSpaceDN w:val="0"/>
      <w:adjustRightInd w:val="0"/>
      <w:snapToGrid w:val="0"/>
      <w:spacing w:line="200" w:lineRule="exact"/>
      <w:jc w:val="both"/>
    </w:pPr>
    <w:rPr>
      <w:rFonts w:ascii="Calibri" w:hAnsi="Calibri" w:eastAsia="MS Mincho" w:cs="Arial"/>
      <w:snapToGrid w:val="0"/>
      <w:sz w:val="21"/>
      <w:szCs w:val="16"/>
      <w:lang w:val="en-US" w:eastAsia="ja-JP" w:bidi="ar-SA"/>
    </w:rPr>
  </w:style>
  <w:style w:type="character" w:customStyle="1" w:styleId="111">
    <w:name w:val="EFAFPFooter2 Char"/>
    <w:basedOn w:val="28"/>
    <w:link w:val="110"/>
    <w:qFormat/>
    <w:uiPriority w:val="0"/>
    <w:rPr>
      <w:rFonts w:cs="Arial"/>
      <w:sz w:val="21"/>
      <w:lang w:eastAsia="ja-JP"/>
    </w:rPr>
  </w:style>
  <w:style w:type="character" w:customStyle="1" w:styleId="112">
    <w:name w:val="EFADisclaimerText Char"/>
    <w:basedOn w:val="28"/>
    <w:link w:val="44"/>
    <w:qFormat/>
    <w:locked/>
    <w:uiPriority w:val="99"/>
    <w:rPr>
      <w:lang w:eastAsia="ja-JP"/>
    </w:rPr>
  </w:style>
  <w:style w:type="paragraph" w:customStyle="1" w:styleId="113">
    <w:name w:val="EFAFPColFrameText_Left"/>
    <w:basedOn w:val="1"/>
    <w:link w:val="116"/>
    <w:qFormat/>
    <w:uiPriority w:val="0"/>
    <w:pPr>
      <w:framePr w:w="3045" w:h="12844" w:hRule="exact" w:hSpace="180" w:wrap="around" w:vAnchor="page" w:hAnchor="page" w:x="336" w:y="2721" w:anchorLock="1"/>
      <w:adjustRightInd w:val="0"/>
      <w:snapToGrid w:val="0"/>
    </w:pPr>
    <w:rPr>
      <w:sz w:val="14"/>
      <w:szCs w:val="14"/>
      <w:lang w:val="en-US" w:eastAsia="zh-CN"/>
    </w:rPr>
  </w:style>
  <w:style w:type="paragraph" w:customStyle="1" w:styleId="114">
    <w:name w:val="EFAFPColFrame_AnalystName"/>
    <w:basedOn w:val="113"/>
    <w:qFormat/>
    <w:uiPriority w:val="0"/>
    <w:pPr>
      <w:framePr w:wrap="around"/>
    </w:pPr>
    <w:rPr>
      <w:b/>
      <w:sz w:val="16"/>
    </w:rPr>
  </w:style>
  <w:style w:type="paragraph" w:customStyle="1" w:styleId="115">
    <w:name w:val="EFAFPColFrameText_8pt"/>
    <w:basedOn w:val="113"/>
    <w:qFormat/>
    <w:uiPriority w:val="0"/>
    <w:pPr>
      <w:framePr w:wrap="around"/>
    </w:pPr>
    <w:rPr>
      <w:sz w:val="16"/>
    </w:rPr>
  </w:style>
  <w:style w:type="character" w:customStyle="1" w:styleId="116">
    <w:name w:val="EFAFPColFrameText_Left Char"/>
    <w:basedOn w:val="28"/>
    <w:link w:val="113"/>
    <w:qFormat/>
    <w:uiPriority w:val="0"/>
    <w:rPr>
      <w:sz w:val="14"/>
      <w:szCs w:val="14"/>
    </w:rPr>
  </w:style>
  <w:style w:type="paragraph" w:customStyle="1" w:styleId="117">
    <w:name w:val="表1"/>
    <w:basedOn w:val="1"/>
    <w:link w:val="118"/>
    <w:qFormat/>
    <w:uiPriority w:val="0"/>
    <w:pPr>
      <w:widowControl w:val="0"/>
      <w:tabs>
        <w:tab w:val="left" w:pos="3819"/>
      </w:tabs>
      <w:ind w:right="55" w:rightChars="26"/>
    </w:pPr>
    <w:rPr>
      <w:rFonts w:ascii="Arial" w:hAnsi="Arial" w:eastAsia="楷体_GB2312"/>
      <w:b/>
      <w:bCs/>
      <w:snapToGrid/>
      <w:color w:val="000000"/>
      <w:kern w:val="2"/>
      <w:sz w:val="18"/>
      <w:szCs w:val="24"/>
      <w:lang w:val="zh-CN" w:eastAsia="zh-CN"/>
    </w:rPr>
  </w:style>
  <w:style w:type="character" w:customStyle="1" w:styleId="118">
    <w:name w:val="表1 Char"/>
    <w:link w:val="117"/>
    <w:qFormat/>
    <w:uiPriority w:val="0"/>
    <w:rPr>
      <w:rFonts w:ascii="Arial" w:hAnsi="Arial" w:eastAsia="楷体_GB2312"/>
      <w:b/>
      <w:bCs/>
      <w:snapToGrid/>
      <w:color w:val="000000"/>
      <w:kern w:val="2"/>
      <w:sz w:val="18"/>
      <w:szCs w:val="24"/>
      <w:lang w:val="zh-CN" w:eastAsia="zh-CN"/>
    </w:rPr>
  </w:style>
  <w:style w:type="paragraph" w:customStyle="1" w:styleId="119">
    <w:name w:val="EFABodyText(CN)"/>
    <w:link w:val="120"/>
    <w:qFormat/>
    <w:uiPriority w:val="0"/>
    <w:pPr>
      <w:widowControl w:val="0"/>
      <w:adjustRightInd w:val="0"/>
      <w:snapToGrid w:val="0"/>
    </w:pPr>
    <w:rPr>
      <w:rFonts w:ascii="Calibri" w:hAnsi="Calibri" w:eastAsia="宋体" w:cs="Times New Roman"/>
      <w:snapToGrid w:val="0"/>
      <w:szCs w:val="16"/>
      <w:lang w:val="en-US" w:eastAsia="zh-CN" w:bidi="ar-SA"/>
    </w:rPr>
  </w:style>
  <w:style w:type="character" w:customStyle="1" w:styleId="120">
    <w:name w:val="EFABodyText(CN) Char"/>
    <w:basedOn w:val="28"/>
    <w:link w:val="119"/>
    <w:qFormat/>
    <w:uiPriority w:val="0"/>
    <w:rPr>
      <w:rFonts w:eastAsia="宋体"/>
      <w:sz w:val="20"/>
    </w:rPr>
  </w:style>
  <w:style w:type="paragraph" w:customStyle="1" w:styleId="121">
    <w:name w:val="图序号"/>
    <w:basedOn w:val="1"/>
    <w:link w:val="122"/>
    <w:qFormat/>
    <w:uiPriority w:val="0"/>
    <w:pPr>
      <w:widowControl w:val="0"/>
      <w:ind w:right="55" w:rightChars="26"/>
      <w:jc w:val="both"/>
    </w:pPr>
    <w:rPr>
      <w:rFonts w:ascii="Arial" w:hAnsi="Arial" w:eastAsia="楷体_GB2312"/>
      <w:b/>
      <w:bCs/>
      <w:snapToGrid/>
      <w:color w:val="000000"/>
      <w:kern w:val="2"/>
      <w:sz w:val="18"/>
      <w:szCs w:val="18"/>
      <w:lang w:val="zh-CN" w:eastAsia="zh-CN"/>
    </w:rPr>
  </w:style>
  <w:style w:type="character" w:customStyle="1" w:styleId="122">
    <w:name w:val="图序号 字符"/>
    <w:link w:val="121"/>
    <w:qFormat/>
    <w:uiPriority w:val="0"/>
    <w:rPr>
      <w:rFonts w:ascii="Arial" w:hAnsi="Arial" w:eastAsia="楷体_GB2312"/>
      <w:b/>
      <w:bCs/>
      <w:snapToGrid/>
      <w:color w:val="000000"/>
      <w:kern w:val="2"/>
      <w:sz w:val="18"/>
      <w:szCs w:val="18"/>
      <w:lang w:val="zh-CN" w:eastAsia="zh-CN"/>
    </w:rPr>
  </w:style>
  <w:style w:type="character" w:customStyle="1" w:styleId="123">
    <w:name w:val="Heading 1 Char"/>
    <w:link w:val="2"/>
    <w:qFormat/>
    <w:uiPriority w:val="0"/>
    <w:rPr>
      <w:rFonts w:cs="Arial"/>
      <w:b/>
      <w:bCs/>
      <w:kern w:val="32"/>
      <w:sz w:val="24"/>
      <w:szCs w:val="32"/>
      <w:lang w:val="en-GB" w:eastAsia="ja-JP"/>
    </w:rPr>
  </w:style>
  <w:style w:type="character" w:customStyle="1" w:styleId="124">
    <w:name w:val="Heading 4 Char"/>
    <w:basedOn w:val="28"/>
    <w:link w:val="5"/>
    <w:qFormat/>
    <w:uiPriority w:val="0"/>
    <w:rPr>
      <w:rFonts w:ascii="Cambria" w:hAnsi="Cambria" w:eastAsia="宋体"/>
      <w:b/>
      <w:bCs/>
      <w:snapToGrid/>
      <w:kern w:val="2"/>
      <w:sz w:val="28"/>
      <w:szCs w:val="28"/>
      <w:lang w:val="zh-CN" w:eastAsia="zh-CN"/>
    </w:rPr>
  </w:style>
  <w:style w:type="character" w:customStyle="1" w:styleId="125">
    <w:name w:val="Body Text Char"/>
    <w:basedOn w:val="28"/>
    <w:link w:val="10"/>
    <w:qFormat/>
    <w:uiPriority w:val="0"/>
    <w:rPr>
      <w:rFonts w:ascii="Times New Roman" w:hAnsi="Times New Roman" w:eastAsia="宋体"/>
      <w:snapToGrid/>
      <w:kern w:val="2"/>
      <w:sz w:val="21"/>
      <w:szCs w:val="24"/>
    </w:rPr>
  </w:style>
  <w:style w:type="character" w:customStyle="1" w:styleId="126">
    <w:name w:val="Body Text Indent Char"/>
    <w:basedOn w:val="28"/>
    <w:link w:val="11"/>
    <w:qFormat/>
    <w:uiPriority w:val="0"/>
    <w:rPr>
      <w:rFonts w:ascii="汉仪楷体简" w:hAnsi="Times New Roman" w:eastAsia="汉仪楷体简"/>
      <w:snapToGrid/>
      <w:color w:val="000000"/>
      <w:sz w:val="18"/>
    </w:rPr>
  </w:style>
  <w:style w:type="character" w:customStyle="1" w:styleId="127">
    <w:name w:val="Body Text 2 Char"/>
    <w:basedOn w:val="28"/>
    <w:link w:val="23"/>
    <w:qFormat/>
    <w:uiPriority w:val="0"/>
    <w:rPr>
      <w:rFonts w:ascii="Times New Roman" w:hAnsi="Times New Roman" w:eastAsia="汉仪楷体简"/>
      <w:snapToGrid/>
      <w:sz w:val="18"/>
      <w:szCs w:val="24"/>
    </w:rPr>
  </w:style>
  <w:style w:type="character" w:customStyle="1" w:styleId="128">
    <w:name w:val="Body Text 3 Char"/>
    <w:basedOn w:val="28"/>
    <w:link w:val="9"/>
    <w:qFormat/>
    <w:uiPriority w:val="0"/>
    <w:rPr>
      <w:rFonts w:ascii="汉仪楷体简" w:hAnsi="Times New Roman" w:eastAsia="汉仪楷体简"/>
      <w:snapToGrid/>
      <w:color w:val="000000"/>
      <w:sz w:val="18"/>
    </w:rPr>
  </w:style>
  <w:style w:type="character" w:customStyle="1" w:styleId="129">
    <w:name w:val="Body Text Indent 2 Char"/>
    <w:basedOn w:val="28"/>
    <w:link w:val="15"/>
    <w:qFormat/>
    <w:uiPriority w:val="0"/>
    <w:rPr>
      <w:rFonts w:ascii="楷体_GB2312" w:hAnsi="Times New Roman" w:eastAsia="楷体_GB2312"/>
      <w:snapToGrid/>
      <w:sz w:val="24"/>
      <w:szCs w:val="24"/>
    </w:rPr>
  </w:style>
  <w:style w:type="character" w:customStyle="1" w:styleId="130">
    <w:name w:val="Body Text Indent 3 Char"/>
    <w:basedOn w:val="28"/>
    <w:link w:val="20"/>
    <w:qFormat/>
    <w:uiPriority w:val="0"/>
    <w:rPr>
      <w:rFonts w:ascii="楷体_GB2312" w:hAnsi="Times New Roman" w:eastAsia="楷体_GB2312"/>
      <w:snapToGrid/>
      <w:color w:val="000000"/>
      <w:kern w:val="2"/>
      <w:sz w:val="24"/>
      <w:szCs w:val="24"/>
    </w:rPr>
  </w:style>
  <w:style w:type="character" w:customStyle="1" w:styleId="131">
    <w:name w:val="Date Char"/>
    <w:basedOn w:val="28"/>
    <w:link w:val="14"/>
    <w:qFormat/>
    <w:uiPriority w:val="0"/>
    <w:rPr>
      <w:rFonts w:ascii="宋体" w:hAnsi="Times New Roman" w:eastAsia="宋体"/>
      <w:snapToGrid/>
      <w:kern w:val="2"/>
      <w:sz w:val="28"/>
      <w:szCs w:val="20"/>
    </w:rPr>
  </w:style>
  <w:style w:type="character" w:customStyle="1" w:styleId="132">
    <w:name w:val="style12"/>
    <w:basedOn w:val="28"/>
    <w:qFormat/>
    <w:uiPriority w:val="0"/>
  </w:style>
  <w:style w:type="character" w:customStyle="1" w:styleId="133">
    <w:name w:val="style13"/>
    <w:basedOn w:val="28"/>
    <w:qFormat/>
    <w:uiPriority w:val="0"/>
  </w:style>
  <w:style w:type="paragraph" w:customStyle="1" w:styleId="134">
    <w:name w:val="默认段落字体 Para Char Char Char Char Char Char 字元 Char"/>
    <w:basedOn w:val="1"/>
    <w:qFormat/>
    <w:uiPriority w:val="0"/>
    <w:pPr>
      <w:widowControl w:val="0"/>
      <w:tabs>
        <w:tab w:val="left" w:pos="840"/>
      </w:tabs>
      <w:ind w:left="840" w:hanging="360"/>
      <w:jc w:val="both"/>
    </w:pPr>
    <w:rPr>
      <w:rFonts w:ascii="Times New Roman" w:hAnsi="Times New Roman" w:eastAsia="宋体"/>
      <w:snapToGrid/>
      <w:kern w:val="2"/>
      <w:sz w:val="24"/>
      <w:szCs w:val="24"/>
      <w:lang w:val="en-US" w:eastAsia="zh-CN"/>
    </w:rPr>
  </w:style>
  <w:style w:type="paragraph" w:customStyle="1" w:styleId="135">
    <w:name w:val="二级目录"/>
    <w:basedOn w:val="12"/>
    <w:qFormat/>
    <w:uiPriority w:val="0"/>
    <w:pPr>
      <w:spacing w:before="240" w:beforeLines="100" w:after="240" w:afterLines="100" w:line="320" w:lineRule="exact"/>
      <w:ind w:left="2977" w:leftChars="0" w:right="0" w:rightChars="0" w:firstLine="0"/>
    </w:pPr>
    <w:rPr>
      <w:rFonts w:eastAsia="楷体_GB2312"/>
      <w:b/>
      <w:color w:val="000080"/>
      <w:sz w:val="24"/>
    </w:rPr>
  </w:style>
  <w:style w:type="character" w:customStyle="1" w:styleId="136">
    <w:name w:val="Comment Text Char"/>
    <w:basedOn w:val="28"/>
    <w:link w:val="8"/>
    <w:qFormat/>
    <w:uiPriority w:val="0"/>
    <w:rPr>
      <w:rFonts w:ascii="Times New Roman" w:hAnsi="Times New Roman" w:eastAsia="宋体"/>
      <w:snapToGrid/>
      <w:kern w:val="2"/>
      <w:sz w:val="21"/>
      <w:szCs w:val="24"/>
      <w:lang w:val="zh-CN" w:eastAsia="zh-CN"/>
    </w:rPr>
  </w:style>
  <w:style w:type="character" w:customStyle="1" w:styleId="137">
    <w:name w:val="Comment Subject Char"/>
    <w:basedOn w:val="136"/>
    <w:link w:val="25"/>
    <w:qFormat/>
    <w:uiPriority w:val="0"/>
    <w:rPr>
      <w:rFonts w:ascii="Times New Roman" w:hAnsi="Times New Roman" w:eastAsia="宋体"/>
      <w:b/>
      <w:bCs/>
      <w:snapToGrid/>
      <w:kern w:val="2"/>
      <w:sz w:val="21"/>
      <w:szCs w:val="24"/>
      <w:lang w:val="zh-CN" w:eastAsia="zh-CN"/>
    </w:rPr>
  </w:style>
  <w:style w:type="paragraph" w:customStyle="1" w:styleId="138">
    <w:name w:val="HUS封面正文"/>
    <w:qFormat/>
    <w:uiPriority w:val="0"/>
    <w:pPr>
      <w:numPr>
        <w:ilvl w:val="0"/>
        <w:numId w:val="12"/>
      </w:numPr>
      <w:spacing w:after="120"/>
      <w:jc w:val="both"/>
    </w:pPr>
    <w:rPr>
      <w:rFonts w:ascii="Arial" w:hAnsi="Arial" w:eastAsia="楷体_GB2312" w:cs="Times New Roman"/>
      <w:kern w:val="2"/>
      <w:lang w:val="en-US" w:eastAsia="zh-CN" w:bidi="ar-SA"/>
    </w:rPr>
  </w:style>
  <w:style w:type="paragraph" w:customStyle="1" w:styleId="139">
    <w:name w:val="Default"/>
    <w:qFormat/>
    <w:uiPriority w:val="0"/>
    <w:pPr>
      <w:widowControl w:val="0"/>
      <w:autoSpaceDE w:val="0"/>
      <w:autoSpaceDN w:val="0"/>
      <w:adjustRightInd w:val="0"/>
    </w:pPr>
    <w:rPr>
      <w:rFonts w:ascii="楷体_GB2312" w:hAnsi="Times New Roman" w:eastAsia="楷体_GB2312" w:cs="楷体_GB2312"/>
      <w:color w:val="000000"/>
      <w:sz w:val="24"/>
      <w:szCs w:val="24"/>
      <w:lang w:val="en-US" w:eastAsia="zh-CN" w:bidi="ar-SA"/>
    </w:rPr>
  </w:style>
  <w:style w:type="character" w:customStyle="1" w:styleId="140">
    <w:name w:val="Heading 3 Char"/>
    <w:link w:val="4"/>
    <w:qFormat/>
    <w:uiPriority w:val="0"/>
    <w:rPr>
      <w:rFonts w:cs="Arial"/>
      <w:b/>
      <w:bCs/>
      <w:szCs w:val="26"/>
      <w:lang w:val="en-GB" w:eastAsia="ja-JP"/>
    </w:rPr>
  </w:style>
  <w:style w:type="paragraph" w:customStyle="1" w:styleId="141">
    <w:name w:val="国泰君安题注"/>
    <w:basedOn w:val="1"/>
    <w:qFormat/>
    <w:uiPriority w:val="0"/>
    <w:pPr>
      <w:widowControl w:val="0"/>
      <w:jc w:val="both"/>
    </w:pPr>
    <w:rPr>
      <w:rFonts w:ascii="Times New Roman" w:hAnsi="Times New Roman" w:eastAsia="楷体_GB2312" w:cs="宋体"/>
      <w:b/>
      <w:bCs/>
      <w:snapToGrid/>
      <w:kern w:val="2"/>
      <w:sz w:val="21"/>
      <w:szCs w:val="20"/>
      <w:lang w:val="en-US" w:eastAsia="zh-CN"/>
    </w:rPr>
  </w:style>
  <w:style w:type="paragraph" w:customStyle="1" w:styleId="142">
    <w:name w:val="国泰君安报告正文"/>
    <w:basedOn w:val="1"/>
    <w:qFormat/>
    <w:uiPriority w:val="0"/>
    <w:pPr>
      <w:widowControl w:val="0"/>
      <w:jc w:val="both"/>
    </w:pPr>
    <w:rPr>
      <w:rFonts w:ascii="Times New Roman" w:hAnsi="Times New Roman" w:eastAsia="楷体_GB2312" w:cs="宋体"/>
      <w:snapToGrid/>
      <w:kern w:val="2"/>
      <w:sz w:val="21"/>
      <w:szCs w:val="20"/>
      <w:lang w:val="en-US" w:eastAsia="zh-CN"/>
    </w:rPr>
  </w:style>
  <w:style w:type="paragraph" w:customStyle="1" w:styleId="143">
    <w:name w:val="国泰君安数据来源"/>
    <w:basedOn w:val="142"/>
    <w:qFormat/>
    <w:uiPriority w:val="0"/>
    <w:rPr>
      <w:sz w:val="18"/>
    </w:rPr>
  </w:style>
  <w:style w:type="paragraph" w:customStyle="1" w:styleId="144">
    <w:name w:val="表"/>
    <w:basedOn w:val="1"/>
    <w:qFormat/>
    <w:uiPriority w:val="0"/>
    <w:pPr>
      <w:widowControl w:val="0"/>
    </w:pPr>
    <w:rPr>
      <w:rFonts w:ascii="Arial" w:hAnsi="Arial" w:eastAsia="楷体_GB2312" w:cs="宋体"/>
      <w:b/>
      <w:bCs/>
      <w:snapToGrid/>
      <w:color w:val="000000"/>
      <w:kern w:val="2"/>
      <w:sz w:val="18"/>
      <w:szCs w:val="20"/>
      <w:lang w:val="en-US" w:eastAsia="zh-CN"/>
    </w:rPr>
  </w:style>
  <w:style w:type="character" w:customStyle="1" w:styleId="145">
    <w:name w:val="标题 1 字符"/>
    <w:qFormat/>
    <w:uiPriority w:val="0"/>
    <w:rPr>
      <w:rFonts w:eastAsia="楷体_GB2312"/>
      <w:b/>
      <w:bCs/>
      <w:color w:val="000080"/>
      <w:sz w:val="30"/>
      <w:szCs w:val="24"/>
    </w:rPr>
  </w:style>
  <w:style w:type="table" w:customStyle="1" w:styleId="146">
    <w:name w:val="网格表 2 - 着色 11"/>
    <w:basedOn w:val="26"/>
    <w:qFormat/>
    <w:uiPriority w:val="47"/>
    <w:tblPr>
      <w:tblBorders>
        <w:top w:val="single" w:color="8EAADB" w:sz="2" w:space="0"/>
        <w:bottom w:val="single" w:color="8EAADB" w:sz="2" w:space="0"/>
        <w:insideH w:val="single" w:color="8EAADB" w:sz="2" w:space="0"/>
        <w:insideV w:val="single" w:color="8EAADB" w:sz="2" w:space="0"/>
      </w:tblBorders>
    </w:tblPr>
    <w:tblStylePr w:type="firstRow">
      <w:rPr>
        <w:b/>
        <w:bCs/>
      </w:rPr>
      <w:tcPr>
        <w:tcBorders>
          <w:top w:val="nil"/>
          <w:bottom w:val="single" w:color="8EAADB" w:sz="12" w:space="0"/>
          <w:insideH w:val="nil"/>
          <w:insideV w:val="nil"/>
        </w:tcBorders>
        <w:shd w:val="clear" w:color="auto" w:fill="FFFFFF"/>
      </w:tcPr>
    </w:tblStylePr>
    <w:tblStylePr w:type="lastRow">
      <w:rPr>
        <w:b/>
        <w:bCs/>
      </w:rPr>
      <w:tcPr>
        <w:tcBorders>
          <w:top w:val="double" w:color="8EAADB" w:sz="2" w:space="0"/>
          <w:bottom w:val="nil"/>
          <w:insideH w:val="nil"/>
          <w:insideV w:val="nil"/>
        </w:tcBorders>
        <w:shd w:val="clear" w:color="auto" w:fill="FFFFFF"/>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147">
    <w:name w:val="网格表 3 - 着色 31"/>
    <w:basedOn w:val="26"/>
    <w:qFormat/>
    <w:uiPriority w:val="48"/>
    <w:tblPr>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Pr>
    <w:tblStylePr w:type="firstRow">
      <w:rPr>
        <w:b/>
        <w:bCs/>
      </w:rPr>
      <w:tcPr>
        <w:tcBorders>
          <w:top w:val="nil"/>
          <w:left w:val="nil"/>
          <w:right w:val="nil"/>
          <w:insideH w:val="nil"/>
          <w:insideV w:val="nil"/>
        </w:tcBorders>
        <w:shd w:val="clear" w:color="auto" w:fill="FFFFFF"/>
      </w:tcPr>
    </w:tblStylePr>
    <w:tblStylePr w:type="lastRow">
      <w:rPr>
        <w:b/>
        <w:bCs/>
      </w:rPr>
      <w:tcPr>
        <w:tcBorders>
          <w:left w:val="nil"/>
          <w:bottom w:val="nil"/>
          <w:right w:val="nil"/>
          <w:insideH w:val="nil"/>
          <w:insideV w:val="nil"/>
        </w:tcBorders>
        <w:shd w:val="clear" w:color="auto" w:fill="FFFFFF"/>
      </w:tcPr>
    </w:tblStylePr>
    <w:tblStylePr w:type="firstCol">
      <w:pPr>
        <w:jc w:val="right"/>
      </w:pPr>
      <w:rPr>
        <w:i/>
        <w:iCs/>
      </w:rPr>
      <w:tcPr>
        <w:tcBorders>
          <w:top w:val="nil"/>
          <w:left w:val="nil"/>
          <w:bottom w:val="nil"/>
          <w:insideH w:val="nil"/>
          <w:insideV w:val="nil"/>
        </w:tcBorders>
        <w:shd w:val="clear" w:color="auto" w:fill="FFFFFF"/>
      </w:tcPr>
    </w:tblStylePr>
    <w:tblStylePr w:type="lastCol">
      <w:rPr>
        <w:i/>
        <w:iCs/>
      </w:rPr>
      <w:tcPr>
        <w:tcBorders>
          <w:top w:val="nil"/>
          <w:bottom w:val="nil"/>
          <w:right w:val="nil"/>
          <w:insideH w:val="nil"/>
          <w:insideV w:val="nil"/>
        </w:tcBorders>
        <w:shd w:val="clear" w:color="auto" w:fill="FFFFFF"/>
      </w:tcPr>
    </w:tblStylePr>
    <w:tblStylePr w:type="band1Vert">
      <w:tcPr>
        <w:shd w:val="clear" w:color="auto" w:fill="EDEDED"/>
      </w:tcPr>
    </w:tblStylePr>
    <w:tblStylePr w:type="band1Horz">
      <w:tcPr>
        <w:shd w:val="clear" w:color="auto" w:fill="EDEDED"/>
      </w:tcPr>
    </w:tblStylePr>
    <w:tblStylePr w:type="neCell">
      <w:tcPr>
        <w:tcBorders>
          <w:bottom w:val="single" w:color="C9C9C9" w:sz="4" w:space="0"/>
        </w:tcBorders>
      </w:tcPr>
    </w:tblStylePr>
    <w:tblStylePr w:type="nwCell">
      <w:tcPr>
        <w:tcBorders>
          <w:bottom w:val="single" w:color="C9C9C9" w:sz="4" w:space="0"/>
        </w:tcBorders>
      </w:tcPr>
    </w:tblStylePr>
    <w:tblStylePr w:type="seCell">
      <w:tcPr>
        <w:tcBorders>
          <w:top w:val="single" w:color="C9C9C9" w:sz="4" w:space="0"/>
        </w:tcBorders>
      </w:tcPr>
    </w:tblStylePr>
    <w:tblStylePr w:type="swCell">
      <w:tcPr>
        <w:tcBorders>
          <w:top w:val="single" w:color="C9C9C9" w:sz="4" w:space="0"/>
        </w:tcBorders>
      </w:tcPr>
    </w:tblStylePr>
  </w:style>
  <w:style w:type="table" w:customStyle="1" w:styleId="148">
    <w:name w:val="网格表 2 - 着色 51"/>
    <w:basedOn w:val="26"/>
    <w:qFormat/>
    <w:uiPriority w:val="47"/>
    <w:tblPr>
      <w:tblBorders>
        <w:top w:val="single" w:color="9CC2E5" w:sz="2" w:space="0"/>
        <w:bottom w:val="single" w:color="9CC2E5" w:sz="2" w:space="0"/>
        <w:insideH w:val="single" w:color="9CC2E5" w:sz="2" w:space="0"/>
        <w:insideV w:val="single" w:color="9CC2E5" w:sz="2" w:space="0"/>
      </w:tblBorders>
    </w:tblPr>
    <w:tblStylePr w:type="firstRow">
      <w:rPr>
        <w:b/>
        <w:bCs/>
      </w:rPr>
      <w:tcPr>
        <w:tcBorders>
          <w:top w:val="nil"/>
          <w:bottom w:val="single" w:color="9CC2E5" w:sz="12" w:space="0"/>
          <w:insideH w:val="nil"/>
          <w:insideV w:val="nil"/>
        </w:tcBorders>
        <w:shd w:val="clear" w:color="auto" w:fill="FFFFFF"/>
      </w:tcPr>
    </w:tblStylePr>
    <w:tblStylePr w:type="lastRow">
      <w:rPr>
        <w:b/>
        <w:bCs/>
      </w:rPr>
      <w:tcPr>
        <w:tcBorders>
          <w:top w:val="double" w:color="9CC2E5" w:sz="2" w:space="0"/>
          <w:bottom w:val="nil"/>
          <w:insideH w:val="nil"/>
          <w:insideV w:val="nil"/>
        </w:tcBorders>
        <w:shd w:val="clear" w:color="auto" w:fill="FFFFFF"/>
      </w:tcPr>
    </w:tblStylePr>
    <w:tblStylePr w:type="firstCol">
      <w:rPr>
        <w:b/>
        <w:bCs/>
      </w:rPr>
    </w:tblStylePr>
    <w:tblStylePr w:type="lastCol">
      <w:rPr>
        <w:b/>
        <w:bCs/>
      </w:rPr>
    </w:tblStylePr>
    <w:tblStylePr w:type="band1Vert">
      <w:tcPr>
        <w:shd w:val="clear" w:color="auto" w:fill="DEEAF6"/>
      </w:tcPr>
    </w:tblStylePr>
    <w:tblStylePr w:type="band1Horz">
      <w:tcPr>
        <w:shd w:val="clear" w:color="auto" w:fill="DEEAF6"/>
      </w:tcPr>
    </w:tblStylePr>
  </w:style>
  <w:style w:type="table" w:customStyle="1" w:styleId="149">
    <w:name w:val="清单表 1 浅色 - 着色 51"/>
    <w:basedOn w:val="26"/>
    <w:qFormat/>
    <w:uiPriority w:val="46"/>
    <w:tblStylePr w:type="firstRow">
      <w:rPr>
        <w:b/>
        <w:bCs/>
      </w:rPr>
      <w:tcPr>
        <w:tcBorders>
          <w:bottom w:val="single" w:color="9CC2E5" w:sz="4" w:space="0"/>
        </w:tcBorders>
      </w:tcPr>
    </w:tblStylePr>
    <w:tblStylePr w:type="lastRow">
      <w:rPr>
        <w:b/>
        <w:bCs/>
      </w:rPr>
      <w:tcPr>
        <w:tcBorders>
          <w:top w:val="single" w:color="9CC2E5" w:sz="4" w:space="0"/>
        </w:tcBorders>
      </w:tcPr>
    </w:tblStylePr>
    <w:tblStylePr w:type="firstCol">
      <w:rPr>
        <w:b/>
        <w:bCs/>
      </w:rPr>
    </w:tblStylePr>
    <w:tblStylePr w:type="lastCol">
      <w:rPr>
        <w:b/>
        <w:bCs/>
      </w:rPr>
    </w:tblStylePr>
    <w:tblStylePr w:type="band1Vert">
      <w:tcPr>
        <w:shd w:val="clear" w:color="auto" w:fill="DEEAF6"/>
      </w:tcPr>
    </w:tblStylePr>
    <w:tblStylePr w:type="band1Horz">
      <w:tcPr>
        <w:shd w:val="clear" w:color="auto" w:fill="DEEAF6"/>
      </w:tcPr>
    </w:tblStylePr>
  </w:style>
  <w:style w:type="paragraph" w:customStyle="1" w:styleId="150">
    <w:name w:val="EFAFPColFrameText_Right"/>
    <w:basedOn w:val="1"/>
    <w:qFormat/>
    <w:uiPriority w:val="0"/>
    <w:pPr>
      <w:framePr w:w="3045" w:h="12844" w:hRule="exact" w:hSpace="180" w:wrap="around" w:vAnchor="page" w:hAnchor="page" w:x="336" w:y="2721" w:anchorLock="1"/>
      <w:adjustRightInd w:val="0"/>
      <w:snapToGrid w:val="0"/>
      <w:jc w:val="right"/>
    </w:pPr>
    <w:rPr>
      <w:sz w:val="14"/>
      <w:szCs w:val="14"/>
      <w:lang w:val="en-US" w:eastAsia="zh-CN"/>
    </w:rPr>
  </w:style>
  <w:style w:type="paragraph" w:customStyle="1" w:styleId="151">
    <w:name w:val="EFAFPHdrInfo"/>
    <w:link w:val="152"/>
    <w:qFormat/>
    <w:uiPriority w:val="0"/>
    <w:pPr>
      <w:framePr w:wrap="around" w:vAnchor="margin" w:hAnchor="text" w:xAlign="right" w:y="1"/>
      <w:suppressOverlap/>
      <w:ind w:left="240"/>
    </w:pPr>
    <w:rPr>
      <w:rFonts w:ascii="Calibri" w:hAnsi="Calibri" w:eastAsia="MS Mincho" w:cs="Times New Roman"/>
      <w:b/>
      <w:bCs/>
      <w:snapToGrid w:val="0"/>
      <w:color w:val="000000"/>
      <w:sz w:val="32"/>
      <w:szCs w:val="32"/>
      <w:lang w:val="en-US" w:eastAsia="ja-JP" w:bidi="ar-SA"/>
    </w:rPr>
  </w:style>
  <w:style w:type="character" w:customStyle="1" w:styleId="152">
    <w:name w:val="EFAFPHdrInfo Char"/>
    <w:basedOn w:val="105"/>
    <w:link w:val="151"/>
    <w:qFormat/>
    <w:uiPriority w:val="0"/>
    <w:rPr>
      <w:b/>
      <w:bCs/>
      <w:color w:val="000000"/>
      <w:sz w:val="32"/>
      <w:szCs w:val="32"/>
      <w:lang w:eastAsia="ja-JP"/>
    </w:rPr>
  </w:style>
  <w:style w:type="paragraph" w:customStyle="1" w:styleId="153">
    <w:name w:val="EFAFPTitle6"/>
    <w:link w:val="154"/>
    <w:qFormat/>
    <w:uiPriority w:val="0"/>
    <w:rPr>
      <w:rFonts w:ascii="Calibri" w:hAnsi="Calibri" w:eastAsia="MS Mincho" w:cs="Times New Roman"/>
      <w:b/>
      <w:bCs/>
      <w:snapToGrid w:val="0"/>
      <w:color w:val="FFFFFF"/>
      <w:sz w:val="32"/>
      <w:lang w:val="en-US" w:eastAsia="ja-JP" w:bidi="ar-SA"/>
    </w:rPr>
  </w:style>
  <w:style w:type="character" w:customStyle="1" w:styleId="154">
    <w:name w:val="EFAFPTitle6 Char"/>
    <w:basedOn w:val="28"/>
    <w:link w:val="153"/>
    <w:qFormat/>
    <w:uiPriority w:val="0"/>
    <w:rPr>
      <w:b/>
      <w:bCs/>
      <w:color w:val="FFFFFF"/>
      <w:sz w:val="32"/>
      <w:szCs w:val="20"/>
      <w:lang w:eastAsia="ja-JP"/>
    </w:rPr>
  </w:style>
  <w:style w:type="table" w:customStyle="1" w:styleId="155">
    <w:name w:val="Common"/>
    <w:basedOn w:val="27"/>
    <w:qFormat/>
    <w:uiPriority w:val="99"/>
    <w:pPr>
      <w:spacing w:line="240" w:lineRule="exact"/>
    </w:pPr>
    <w:rPr>
      <w:rFonts w:eastAsiaTheme="minorEastAsia"/>
      <w:sz w:val="18"/>
    </w:rPr>
    <w:tblPr>
      <w:tblBorders>
        <w:insideH w:val="single" w:color="auto" w:sz="12" w:space="0"/>
      </w:tblBorders>
      <w:tblCellMar>
        <w:left w:w="0" w:type="dxa"/>
        <w:right w:w="0" w:type="dxa"/>
      </w:tblCellMar>
    </w:tblPr>
    <w:tcPr>
      <w:vAlign w:val="center"/>
    </w:tcPr>
    <w:tblStylePr w:type="firstRow">
      <w:rPr>
        <w:rFonts w:asciiTheme="minorHAnsi" w:hAnsiTheme="minorHAnsi"/>
        <w:b/>
        <w:sz w:val="17"/>
      </w:rPr>
      <w:tcPr>
        <w:tcBorders>
          <w:top w:val="nil"/>
          <w:left w:val="nil"/>
          <w:bottom w:val="single" w:color="000000" w:themeColor="text1" w:sz="12" w:space="0"/>
          <w:right w:val="nil"/>
          <w:insideH w:val="nil"/>
          <w:insideV w:val="nil"/>
          <w:tl2br w:val="nil"/>
          <w:tr2bl w:val="nil"/>
        </w:tcBorders>
      </w:tcPr>
    </w:tblStylePr>
    <w:tblStylePr w:type="lastRow">
      <w:tcPr>
        <w:tcBorders>
          <w:top w:val="nil"/>
          <w:left w:val="nil"/>
          <w:bottom w:val="nil"/>
          <w:right w:val="nil"/>
          <w:insideH w:val="nil"/>
          <w:insideV w:val="nil"/>
          <w:tl2br w:val="nil"/>
          <w:tr2bl w:val="nil"/>
        </w:tcBorders>
      </w:tcPr>
    </w:tblStyle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theme" Target="theme/theme1.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houlinhong\AppData\Roaming\EFA\Macro%20note%20-%20HTI.dotx" TargetMode="External"/></Relationships>
</file>

<file path=word/theme/theme1.xml><?xml version="1.0" encoding="utf-8"?>
<a:theme xmlns:a="http://schemas.openxmlformats.org/drawingml/2006/main" name="Office Theme">
  <a:themeElements>
    <a:clrScheme name="MyNewTheme">
      <a:dk1>
        <a:sysClr val="windowText" lastClr="000000"/>
      </a:dk1>
      <a:lt1>
        <a:sysClr val="window" lastClr="FFFFFF"/>
      </a:lt1>
      <a:dk2>
        <a:srgbClr val="1F497D"/>
      </a:dk2>
      <a:lt2>
        <a:srgbClr val="EEECE1"/>
      </a:lt2>
      <a:accent1>
        <a:srgbClr val="99CCFF"/>
      </a:accent1>
      <a:accent2>
        <a:srgbClr val="FF8181"/>
      </a:accent2>
      <a:accent3>
        <a:srgbClr val="86C091"/>
      </a:accent3>
      <a:accent4>
        <a:srgbClr val="ECB340"/>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23558C">
            <a:alpha val="90000"/>
          </a:srgbClr>
        </a:solidFill>
        <a:ln>
          <a:noFill/>
        </a:ln>
        <a:effectLst>
          <a:softEdge rad="0"/>
        </a:effectLst>
      </a:spPr>
      <a:bodyPr rot="0" spcFirstLastPara="0" vertOverflow="overflow" horzOverflow="overflow" vert="horz" wrap="square" lIns="91440" tIns="45720" rIns="91440" bIns="45720" numCol="1" spcCol="0" rtlCol="0" fromWordArt="0" anchor="ctr" anchorCtr="0" forceAA="0" compatLnSpc="1">
        <a:noAutofit/>
      </a:bodyPr>
      <a:lstStyle/>
      <a:style>
        <a:lnRef idx="2">
          <a:schemeClr val="accent1">
            <a:shade val="50000"/>
          </a:schemeClr>
        </a:lnRef>
        <a:fillRef idx="1">
          <a:schemeClr val="accent1"/>
        </a:fillRef>
        <a:effectRef idx="0">
          <a:schemeClr val="accent1"/>
        </a:effectRef>
        <a:fontRef idx="minor">
          <a:schemeClr val="lt1"/>
        </a:fontRef>
      </a:style>
    </a:sp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9897B2F-D567-4463-8BC9-F5D2ABA75856}">
  <ds:schemaRefs/>
</ds:datastoreItem>
</file>

<file path=docProps/app.xml><?xml version="1.0" encoding="utf-8"?>
<Properties xmlns="http://schemas.openxmlformats.org/officeDocument/2006/extended-properties" xmlns:vt="http://schemas.openxmlformats.org/officeDocument/2006/docPropsVTypes">
  <Template>Macro note - HTI.dotx</Template>
  <Company>Japaninvest</Company>
  <Pages>6</Pages>
  <Words>5284</Words>
  <Characters>13461</Characters>
  <Lines>109</Lines>
  <Paragraphs>30</Paragraphs>
  <TotalTime>1</TotalTime>
  <ScaleCrop>false</ScaleCrop>
  <LinksUpToDate>false</LinksUpToDate>
  <CharactersWithSpaces>15166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2026-03-01T02:50:00Z</dcterms:created>
  <dc:creator>zhoulinhong</dc:creator>
  <cp:lastModifiedBy>微信用户</cp:lastModifiedBy>
  <cp:lastPrinted>2026-03-01T02:55:00Z</cp:lastPrinted>
  <dcterms:modified xsi:type="dcterms:W3CDTF">2026-03-17T08:22:50Z</dcterms:modified>
  <dc:title>Sector note</dc:title>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FADisclaimerHiddenTextStyle">
    <vt:lpwstr>EFADisclaimerHiddenText</vt:lpwstr>
  </property>
  <property fmtid="{D5CDD505-2E9C-101B-9397-08002B2CF9AE}" pid="3" name="EFADisclaimerTextStyle">
    <vt:lpwstr>EFADisclaimerText</vt:lpwstr>
  </property>
  <property fmtid="{D5CDD505-2E9C-101B-9397-08002B2CF9AE}" pid="4" name="EFADocTemplateVer">
    <vt:lpwstr>HaiTong</vt:lpwstr>
  </property>
  <property fmtid="{D5CDD505-2E9C-101B-9397-08002B2CF9AE}" pid="5" name="EFALanguageID">
    <vt:lpwstr>2057</vt:lpwstr>
  </property>
  <property fmtid="{D5CDD505-2E9C-101B-9397-08002B2CF9AE}" pid="6" name="EFATemplate">
    <vt:lpwstr>Macro note - HTI.dotx</vt:lpwstr>
  </property>
  <property fmtid="{D5CDD505-2E9C-101B-9397-08002B2CF9AE}" pid="7" name="EFATemplateID">
    <vt:lpwstr>203</vt:lpwstr>
  </property>
  <property fmtid="{D5CDD505-2E9C-101B-9397-08002B2CF9AE}" pid="8" name="EFACorpID">
    <vt:lpwstr>-1</vt:lpwstr>
  </property>
  <property fmtid="{D5CDD505-2E9C-101B-9397-08002B2CF9AE}" pid="9" name="EFACoName">
    <vt:lpwstr/>
  </property>
  <property fmtid="{D5CDD505-2E9C-101B-9397-08002B2CF9AE}" pid="10" name="EFAModel">
    <vt:lpwstr/>
  </property>
  <property fmtid="{D5CDD505-2E9C-101B-9397-08002B2CF9AE}" pid="11" name="EFADevData">
    <vt:lpwstr>0</vt:lpwstr>
  </property>
  <property fmtid="{D5CDD505-2E9C-101B-9397-08002B2CF9AE}" pid="12" name="EFAUnits">
    <vt:lpwstr>Use Default</vt:lpwstr>
  </property>
  <property fmtid="{D5CDD505-2E9C-101B-9397-08002B2CF9AE}" pid="13" name="EFAStartYear">
    <vt:lpwstr>0</vt:lpwstr>
  </property>
  <property fmtid="{D5CDD505-2E9C-101B-9397-08002B2CF9AE}" pid="14" name="EFADefaultPriceDate">
    <vt:lpwstr>-1</vt:lpwstr>
  </property>
  <property fmtid="{D5CDD505-2E9C-101B-9397-08002B2CF9AE}" pid="15" name="EFAPriceDate">
    <vt:lpwstr>20190727 00:00:00</vt:lpwstr>
  </property>
  <property fmtid="{D5CDD505-2E9C-101B-9397-08002B2CF9AE}" pid="16" name="EFADocID">
    <vt:lpwstr>38659</vt:lpwstr>
  </property>
  <property fmtid="{D5CDD505-2E9C-101B-9397-08002B2CF9AE}" pid="17" name="EFALastRefreshDate">
    <vt:lpwstr>20190728 11:52:34</vt:lpwstr>
  </property>
  <property fmtid="{D5CDD505-2E9C-101B-9397-08002B2CF9AE}" pid="18" name="EFAUserID">
    <vt:lpwstr>2100</vt:lpwstr>
  </property>
  <property fmtid="{D5CDD505-2E9C-101B-9397-08002B2CF9AE}" pid="19" name="EFAAccountID">
    <vt:lpwstr>1010</vt:lpwstr>
  </property>
  <property fmtid="{D5CDD505-2E9C-101B-9397-08002B2CF9AE}" pid="20" name="EFAExcelVersion">
    <vt:lpwstr>14</vt:lpwstr>
  </property>
  <property fmtid="{D5CDD505-2E9C-101B-9397-08002B2CF9AE}" pid="21" name="EFAWordVersion">
    <vt:lpwstr>14</vt:lpwstr>
  </property>
  <property fmtid="{D5CDD505-2E9C-101B-9397-08002B2CF9AE}" pid="22" name="EFAUseIntTables">
    <vt:lpwstr>0</vt:lpwstr>
  </property>
  <property fmtid="{D5CDD505-2E9C-101B-9397-08002B2CF9AE}" pid="23" name="EFAIntStartYear">
    <vt:lpwstr>0</vt:lpwstr>
  </property>
  <property fmtid="{D5CDD505-2E9C-101B-9397-08002B2CF9AE}" pid="24" name="EFAIntEndYear">
    <vt:lpwstr>0</vt:lpwstr>
  </property>
  <property fmtid="{D5CDD505-2E9C-101B-9397-08002B2CF9AE}" pid="25" name="EFAFirstIntOffset">
    <vt:lpwstr>1</vt:lpwstr>
  </property>
  <property fmtid="{D5CDD505-2E9C-101B-9397-08002B2CF9AE}" pid="26" name="EFAIntPeriodNumber">
    <vt:lpwstr>0</vt:lpwstr>
  </property>
  <property fmtid="{D5CDD505-2E9C-101B-9397-08002B2CF9AE}" pid="27" name="EFASectorID">
    <vt:lpwstr/>
  </property>
  <property fmtid="{D5CDD505-2E9C-101B-9397-08002B2CF9AE}" pid="28" name="EFAIndustryID">
    <vt:lpwstr/>
  </property>
  <property fmtid="{D5CDD505-2E9C-101B-9397-08002B2CF9AE}" pid="29" name="EFAMarket">
    <vt:lpwstr>HK</vt:lpwstr>
  </property>
  <property fmtid="{D5CDD505-2E9C-101B-9397-08002B2CF9AE}" pid="30" name="EFASecurityIndex">
    <vt:lpwstr>0</vt:lpwstr>
  </property>
  <property fmtid="{D5CDD505-2E9C-101B-9397-08002B2CF9AE}" pid="31" name="EFASecurityID">
    <vt:lpwstr/>
  </property>
  <property fmtid="{D5CDD505-2E9C-101B-9397-08002B2CF9AE}" pid="32" name="EFAAnnualise">
    <vt:lpwstr>0</vt:lpwstr>
  </property>
  <property fmtid="{D5CDD505-2E9C-101B-9397-08002B2CF9AE}" pid="33" name="EFAAnnMonth">
    <vt:lpwstr>12</vt:lpwstr>
  </property>
  <property fmtid="{D5CDD505-2E9C-101B-9397-08002B2CF9AE}" pid="34" name="EFACompCorpIDs">
    <vt:lpwstr/>
  </property>
  <property fmtid="{D5CDD505-2E9C-101B-9397-08002B2CF9AE}" pid="35" name="EFACompCorpNames">
    <vt:lpwstr/>
  </property>
  <property fmtid="{D5CDD505-2E9C-101B-9397-08002B2CF9AE}" pid="36" name="EFACoShortName">
    <vt:lpwstr/>
  </property>
  <property fmtid="{D5CDD505-2E9C-101B-9397-08002B2CF9AE}" pid="37" name="EFACompCorpShortNames">
    <vt:lpwstr/>
  </property>
  <property fmtid="{D5CDD505-2E9C-101B-9397-08002B2CF9AE}" pid="38" name="EFACorpMentionIDs">
    <vt:lpwstr/>
  </property>
  <property fmtid="{D5CDD505-2E9C-101B-9397-08002B2CF9AE}" pid="39" name="EFACorpMentionNames">
    <vt:lpwstr/>
  </property>
  <property fmtid="{D5CDD505-2E9C-101B-9397-08002B2CF9AE}" pid="40" name="EFACorpMentionShortNames">
    <vt:lpwstr/>
  </property>
  <property fmtid="{D5CDD505-2E9C-101B-9397-08002B2CF9AE}" pid="41" name="EFAAuthorIDs">
    <vt:lpwstr>2081</vt:lpwstr>
  </property>
  <property fmtid="{D5CDD505-2E9C-101B-9397-08002B2CF9AE}" pid="42" name="EFAAuthorNames">
    <vt:lpwstr>Andy So, CFA</vt:lpwstr>
  </property>
  <property fmtid="{D5CDD505-2E9C-101B-9397-08002B2CF9AE}" pid="43" name="EFAAuthorEmails">
    <vt:lpwstr>andy.cy.so@htisec.com</vt:lpwstr>
  </property>
  <property fmtid="{D5CDD505-2E9C-101B-9397-08002B2CF9AE}" pid="44" name="EFAAuthorPhones">
    <vt:lpwstr/>
  </property>
  <property fmtid="{D5CDD505-2E9C-101B-9397-08002B2CF9AE}" pid="45" name="EFAAuthorJobTitles">
    <vt:lpwstr/>
  </property>
  <property fmtid="{D5CDD505-2E9C-101B-9397-08002B2CF9AE}" pid="46" name="EFAPageCount">
    <vt:lpwstr>14</vt:lpwstr>
  </property>
  <property fmtid="{D5CDD505-2E9C-101B-9397-08002B2CF9AE}" pid="47" name="date">
    <vt:lpwstr>30 Jun 2020</vt:lpwstr>
  </property>
  <property fmtid="{D5CDD505-2E9C-101B-9397-08002B2CF9AE}" pid="48" name="languageType">
    <vt:lpwstr>1</vt:lpwstr>
  </property>
  <property fmtid="{D5CDD505-2E9C-101B-9397-08002B2CF9AE}" pid="49" name="reporttype">
    <vt:lpwstr>3</vt:lpwstr>
  </property>
  <property fmtid="{D5CDD505-2E9C-101B-9397-08002B2CF9AE}" pid="50" name="versiontype">
    <vt:lpwstr>HTI_Macro_CN</vt:lpwstr>
  </property>
  <property fmtid="{D5CDD505-2E9C-101B-9397-08002B2CF9AE}" pid="51" name="version">
    <vt:lpwstr>1.0</vt:lpwstr>
  </property>
  <property fmtid="{D5CDD505-2E9C-101B-9397-08002B2CF9AE}" pid="52" name="typeId">
    <vt:lpwstr>3</vt:lpwstr>
  </property>
  <property fmtid="{D5CDD505-2E9C-101B-9397-08002B2CF9AE}" pid="53" name="reporttitle">
    <vt:lpwstr/>
  </property>
  <property fmtid="{D5CDD505-2E9C-101B-9397-08002B2CF9AE}" pid="54" name="regionCn">
    <vt:lpwstr>中国</vt:lpwstr>
  </property>
  <property fmtid="{D5CDD505-2E9C-101B-9397-08002B2CF9AE}" pid="55" name="regionEn">
    <vt:lpwstr>China</vt:lpwstr>
  </property>
  <property fmtid="{D5CDD505-2E9C-101B-9397-08002B2CF9AE}" pid="56" name="analysts">
    <vt:lpwstr>System.Collections.ArrayList</vt:lpwstr>
  </property>
  <property fmtid="{D5CDD505-2E9C-101B-9397-08002B2CF9AE}" pid="57" name="typeName">
    <vt:lpwstr>Macro</vt:lpwstr>
  </property>
  <property fmtid="{D5CDD505-2E9C-101B-9397-08002B2CF9AE}" pid="58" name="analystids">
    <vt:lpwstr>3,117</vt:lpwstr>
  </property>
  <property fmtid="{D5CDD505-2E9C-101B-9397-08002B2CF9AE}" pid="59" name="reportid">
    <vt:lpwstr/>
  </property>
  <property fmtid="{D5CDD505-2E9C-101B-9397-08002B2CF9AE}" pid="60" name="typeChineseName">
    <vt:lpwstr>宏观</vt:lpwstr>
  </property>
  <property fmtid="{D5CDD505-2E9C-101B-9397-08002B2CF9AE}" pid="61" name="KSOTemplateDocerSaveRecord">
    <vt:lpwstr>eyJoZGlkIjoiN2YzNjBkOTgyNWQ1YTMxYzM3MzMwNWFiODNmOWIzYWMiLCJ1c2VySWQiOiIxMjgyNzI4NjcyIn0=</vt:lpwstr>
  </property>
  <property fmtid="{D5CDD505-2E9C-101B-9397-08002B2CF9AE}" pid="62" name="KSOProductBuildVer">
    <vt:lpwstr>2052-12.1.0.24034</vt:lpwstr>
  </property>
  <property fmtid="{D5CDD505-2E9C-101B-9397-08002B2CF9AE}" pid="63" name="ICV">
    <vt:lpwstr>E26B4D8F4C1347B8BA063E6C47B44D5D_12</vt:lpwstr>
  </property>
</Properties>
</file>