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Current T-cell receptor (TCR) specificity predictors perform reasonably on epitopes represented during training but fail to generalize to previously unseen epitopes [4–6]. One proposed explanation is that existing receptor representations ignore biologically meaningful organization created during V(D)J recombination [1,2]. We tested that prediction.</w:t>
      </w:r>
    </w:p>
    <w:p>
      <w:pPr>
        <w:pStyle w:val="BodyText"/>
      </w:pPr>
      <w:r>
        <w:rPr>
          <w:b/>
          <w:bCs/>
        </w:rPr>
        <w:t xml:space="preserve">Methods.</w:t>
      </w:r>
      <w:r>
        <w:t xml:space="preserve"> </w:t>
      </w:r>
      <w:r>
        <w:t xml:space="preserve">Using 203,308 VDJdb records (121,467 unique human TCRβ clonotypes after deduplication), we derived and reference-validated empirical V- and J-segment anchors, segmented each CDR3 into germline-derived termini and a junctional N-region, quantified order-dependent junctional organization, and compared biologically informed receptor features with raw CDR3 3-mers and a V/J-only control. Binding models were evaluated on both represented epitopes and epitopes withheld entirely from training, with independent confirmation on the official IMMREP23 benchmark.</w:t>
      </w:r>
    </w:p>
    <w:p>
      <w:pPr>
        <w:pStyle w:val="BodyText"/>
      </w:pPr>
      <w:r>
        <w:rPr>
          <w:b/>
          <w:bCs/>
        </w:rPr>
        <w:t xml:space="preserve">Results.</w:t>
      </w:r>
      <w:r>
        <w:t xml:space="preserve"> </w:t>
      </w:r>
      <w:r>
        <w:t xml:space="preserve">N-regions carry substantial order-dependent structure. A flat bigram model separates real from order-shuffled N-regions at AUC 0.6149; conditioning on the (V,J) pair raises this to 0.7162, a gain of +0.1013 (95% bootstrap CI [+0.0995, +0.1031]) that is not attributable to model capacity, since randomizing the conditioning labels removes it entirely (−0.0035). On seen epitopes, morphological tokenization outperforms raw 3-mers (0.7135 ± 0.0017 vs 0.6589 ± 0.0063). However, V and J gene identity alone reaches 0.7089 ± 0.0017, leaving approximately +0.005 attributable to junctional sequence. On unseen epitopes, all arms perform at chance and the morphological advantage disappears (+0.0046 ± 0.0104, pooled 95% CI [−0.0084, +0.0175]).</w:t>
      </w:r>
    </w:p>
    <w:p>
      <w:pPr>
        <w:pStyle w:val="BodyText"/>
      </w:pPr>
      <w:r>
        <w:rPr>
          <w:b/>
          <w:bCs/>
        </w:rPr>
        <w:t xml:space="preserve">Benchmark confirmation.</w:t>
      </w:r>
      <w:r>
        <w:t xml:space="preserve"> </w:t>
      </w:r>
      <w:r>
        <w:t xml:space="preserve">On the official IMMREP23 challenge data [12] scored with the official Macro AUC0.1 metric, all conclusions replicate: morphological tokenization beats raw 3-mers (+0.0375 on seen peptides, CI [+0.0086, +0.0677]) but not V/J identity alone (+0.0091, CI [−0.0166, +0.0338]), and on the seven test peptides absent from training no method exceeds 0.52. A TCRdist-style baseline using all six CDR loops of both chains outperforms our morphological model (0.6281 vs 0.5893 overall), indicating that breadth of receptor coverage matters more than depth of morphological analysis. NetTCR-2.2 [18], a published convolutional architecture over all six loops, retrained on the identical training split, reaches 0.6003 on seen peptides and 0.4868 on unseen peptides — statistically indistinguishable from raw CDR3β 3-mers (+0.0004, CI [−0.0425, +0.0339]) and below the TCRdist-style baseline (−0.0675, CI [−0.1164, −0.0272]), confirming that the failure on unseen peptides is not an artifact of our linear model class.</w:t>
      </w:r>
    </w:p>
    <w:p>
      <w:pPr>
        <w:pStyle w:val="BodyText"/>
      </w:pPr>
      <w:r>
        <w:rPr>
          <w:b/>
          <w:bCs/>
        </w:rPr>
        <w:t xml:space="preserve">Robustness.</w:t>
      </w:r>
      <w:r>
        <w:t xml:space="preserve"> </w:t>
      </w:r>
      <w:r>
        <w:t xml:space="preserve">Retraining under four negative-generation schemes leaves two conclusions intact — no arm exceeds 0.5062 on unseen peptides, and morphological features never meaningfully exceed germline V/J identity alone — while revealing that the advantage of morphology over raw k-mers is contingent on training-set size (+0.034 at ~68,000 pairs, absent at ~29,000), with a size-matched control excluding decoy similarity as the cause.</w:t>
      </w:r>
    </w:p>
    <w:p>
      <w:pPr>
        <w:pStyle w:val="BodyText"/>
      </w:pPr>
      <w:r>
        <w:rPr>
          <w:b/>
          <w:bCs/>
        </w:rPr>
        <w:t xml:space="preserve">Learning curve.</w:t>
      </w:r>
      <w:r>
        <w:t xml:space="preserve"> </w:t>
      </w:r>
      <w:r>
        <w:t xml:space="preserve">Across six training-set sizes, the advantage over raw k-mers rose monotonically from +0.0080 to +0.0375 Macro AUC0.1 (+0.0118 per log training pair, r = 0.985), while raw k-mer performance remained approximately flat. The unseen-peptide advantage also increased monotonically but remained within experimental uncertainty throughout the observed range.</w:t>
      </w:r>
    </w:p>
    <w:p>
      <w:pPr>
        <w:pStyle w:val="BodyText"/>
      </w:pPr>
      <w:r>
        <w:rPr>
          <w:b/>
          <w:bCs/>
        </w:rPr>
        <w:t xml:space="preserve">Conclusions.</w:t>
      </w:r>
      <w:r>
        <w:t xml:space="preserve"> </w:t>
      </w:r>
      <w:r>
        <w:t xml:space="preserve">Biologically informed segmentation captures genuine, germline-conditioned organization within TCR CDR3 sequences, but those gains do not extend to previously unseen epitopes. Most of the within-distribution advantage is explained by V/J identity rather than junctional sequence. Improving receptor representation alone therefore appears insufficient for cross-epitope prediction.</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nearest-neighbour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nearest-neighbour over all six CDR loops with CDR3 weighted</w:t>
      </w:r>
      <w:r>
        <w:t xml:space="preserve"> </w:t>
      </w:r>
      <w:r>
        <w:t xml:space="preserve">threefold [13]. Learned arms used L2-regularised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results first reported three decades ago. The HLA-A2-restricted</w:t>
      </w:r>
      <w:r>
        <w:t xml:space="preserve"> </w:t>
      </w:r>
      <w:r>
        <w:t xml:space="preserve">influenza M1 response was shown to be dominated by TCRs bearing the BV17 family</w:t>
      </w:r>
      <w:r>
        <w:t xml:space="preserve"> </w:t>
      </w:r>
      <w:r>
        <w:t xml:space="preserve">(TRBV19 in current nomenclature) with a conserved CDR3β motif [20,21], and shown</w:t>
      </w:r>
      <w:r>
        <w:t xml:space="preserve"> </w:t>
      </w:r>
      <w:r>
        <w:t xml:space="preserve">in 1998 to be highly polyclonal</w:t>
      </w:r>
      <w:r>
        <w:t xml:space="preserve"> </w:t>
      </w:r>
      <w:r>
        <w:rPr>
          <w:i/>
          <w:iCs/>
        </w:rPr>
        <w:t xml:space="preserve">within</w:t>
      </w:r>
      <w:r>
        <w:t xml:space="preserve"> </w:t>
      </w:r>
      <w:r>
        <w:t xml:space="preserve">that constraint: 95 distinct CDR3β</w:t>
      </w:r>
      <w:r>
        <w:t xml:space="preserve"> </w:t>
      </w:r>
      <w:r>
        <w:t xml:space="preserve">clonotypes carrying the I/sRS(A)/S motif, with a power-law distribution of</w:t>
      </w:r>
      <w:r>
        <w:t xml:space="preserve"> </w:t>
      </w:r>
      <w:r>
        <w:t xml:space="preserve">clonotype frequencies [9]. The structural basis followed in 2003 [10]. The 41.0%</w:t>
      </w:r>
      <w:r>
        <w:t xml:space="preserve"> </w:t>
      </w:r>
      <w:r>
        <w:t xml:space="preserve">TRBV19 usage and the</w:t>
      </w:r>
      <w:r>
        <w:t xml:space="preserve"> </w:t>
      </w:r>
      <w:r>
        <w:rPr>
          <w:rStyle w:val="VerbatimChar"/>
        </w:rPr>
        <w:t xml:space="preserve">RS</w:t>
      </w:r>
      <w:r>
        <w:t xml:space="preserve"> </w:t>
      </w:r>
      <w:r>
        <w:t xml:space="preserve">core we measure correspond directly to the first</w:t>
      </w:r>
      <w:r>
        <w:t xml:space="preserve"> </w:t>
      </w:r>
      <w:r>
        <w:t xml:space="preserve">observation, and the distributed-family character we recover after deduplication</w:t>
      </w:r>
      <w:r>
        <w:t xml:space="preserve"> </w:t>
      </w:r>
      <w:r>
        <w:t xml:space="preserve">— no N-region exceeding nine clonotypes — corresponds to the second. We present</w:t>
      </w:r>
      <w:r>
        <w:t xml:space="preserve"> </w:t>
      </w:r>
      <w:r>
        <w:t xml:space="preserve">this as pipeline validation, not as a finding: recovering a result of that age</w:t>
      </w:r>
      <w:r>
        <w:t xml:space="preserve"> </w:t>
      </w:r>
      <w:r>
        <w:t xml:space="preserve">from first principles is evidence the decomposition tracks real biology, and the</w:t>
      </w:r>
      <w:r>
        <w:t xml:space="preserve"> </w:t>
      </w:r>
      <w:r>
        <w:t xml:space="preserve">fact that raw row counts would have obscured the polyclonality that the 1998</w:t>
      </w:r>
      <w:r>
        <w:t xml:space="preserve"> </w:t>
      </w:r>
      <w:r>
        <w:t xml:space="preserve">study emphasized is a further argument for clonotype-level counting.</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nearest-neighbour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nearest-neighbour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measurable at +0.1013 AUC with model capacity controlled and generalizing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 protein-language-model embeddings were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and may occasionally absorb convergent junctional residues, although agreement with the available reference is high (28 of 29 overlapping anchors).</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licence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rPr>
          <w:b/>
          <w:bCs/>
        </w:rPr>
        <w:t xml:space="preserve">ET</w:t>
      </w:r>
      <w:r>
        <w:t xml:space="preserve">: conceptualization, linguistic formalization, software, analysis, writing — original draft.</w:t>
      </w:r>
      <w:r>
        <w:t xml:space="preserve"> </w:t>
      </w:r>
      <w:r>
        <w:rPr>
          <w:b/>
          <w:bCs/>
        </w:rPr>
        <w:t xml:space="preserve">MEP</w:t>
      </w:r>
      <w:r>
        <w:t xml:space="preserve">: biological and immunological interpretation, verification of motif prior art, linguistic framing, critical revision. Both authors approved the submitted version and accept accountability for its content.</w:t>
      </w:r>
    </w:p>
    <w:bookmarkEnd w:id="35"/>
    <w:bookmarkStart w:id="36" w:name="competing-interests"/>
    <w:p>
      <w:pPr>
        <w:pStyle w:val="Heading2"/>
      </w:pPr>
      <w:r>
        <w:t xml:space="preserve">Competing interests</w:t>
      </w:r>
    </w:p>
    <w:p>
      <w:pPr>
        <w:pStyle w:val="FirstParagraph"/>
      </w:pPr>
      <w:r>
        <w:t xml:space="preserve">None declared.</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4079630" cy="3094892"/>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4079630" cy="309489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 16,304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2026-08-03T05:04:48Z</dcterms:created>
  <dcterms:modified xsi:type="dcterms:W3CDTF">2026-08-03T05:04:48Z</dcterms:modified>
</cp:coreProperties>
</file>

<file path=docProps/custom.xml><?xml version="1.0" encoding="utf-8"?>
<Properties xmlns="http://schemas.openxmlformats.org/officeDocument/2006/custom-properties" xmlns:vt="http://schemas.openxmlformats.org/officeDocument/2006/docPropsVTypes"/>
</file>