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tep-by-step-from-here-to-published"/>
    <w:p>
      <w:pPr>
        <w:pStyle w:val="Heading1"/>
      </w:pPr>
      <w:r>
        <w:t xml:space="preserve">Step-by-step: from here to published</w:t>
      </w:r>
    </w:p>
    <w:p>
      <w:pPr>
        <w:pStyle w:val="FirstParagraph"/>
      </w:pPr>
      <w:r>
        <w:t xml:space="preserve">A chronological runbook. Every step says who does it, what to do, how long it</w:t>
      </w:r>
      <w:r>
        <w:t xml:space="preserve"> </w:t>
      </w:r>
      <w:r>
        <w:t xml:space="preserve">takes, and what to expect next.</w:t>
      </w:r>
      <w:r>
        <w:t xml:space="preserve"> </w:t>
      </w:r>
      <w:r>
        <w:rPr>
          <w:rStyle w:val="VerbatimChar"/>
        </w:rPr>
        <w:t xml:space="preserve">paper/submission-packet.md</w:t>
      </w:r>
      <w:r>
        <w:t xml:space="preserve"> </w:t>
      </w:r>
      <w:r>
        <w:t xml:space="preserve">is the companion</w:t>
      </w:r>
      <w:r>
        <w:t xml:space="preserve"> </w:t>
      </w:r>
      <w:r>
        <w:t xml:space="preserve">document — it maps files to upload slots. This one is the order of operations.</w:t>
      </w:r>
    </w:p>
    <w:p>
      <w:pPr>
        <w:pStyle w:val="BodyText"/>
      </w:pPr>
      <w:r>
        <w:t xml:space="preserve">Nothing below is urgent. The preprint step protects you regardless of how long</w:t>
      </w:r>
      <w:r>
        <w:t xml:space="preserve"> </w:t>
      </w:r>
      <w:r>
        <w:t xml:space="preserve">the rest takes.</w:t>
      </w:r>
    </w:p>
    <w:p>
      <w:r>
        <w:pict>
          <v:rect style="width:0;height:1.5pt" o:hralign="center" o:hrstd="t" o:hr="t"/>
        </w:pict>
      </w:r>
    </w:p>
    <w:bookmarkStart w:id="9" w:name="X5e1f3519f922d6ad1dee23de897690f2e0cdb38"/>
    <w:p>
      <w:pPr>
        <w:pStyle w:val="Heading2"/>
      </w:pPr>
      <w:r>
        <w:t xml:space="preserve">Stage 0 — Pre-flight (15 minutes, either author)</w:t>
      </w:r>
    </w:p>
    <w:p>
      <w:pPr>
        <w:pStyle w:val="FirstParagraph"/>
      </w:pPr>
      <w:r>
        <w:t xml:space="preserve">Confirm the deliverable still builds and passes its own checks.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/Users/e/grammar-of-immunity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paper/build.py                     </w:t>
      </w:r>
      <w:r>
        <w:rPr>
          <w:rStyle w:val="CommentTok"/>
        </w:rPr>
        <w:t xml:space="preserve"># rebuilds DOCX + HTML from the markdown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paper/check_highlights.py          </w:t>
      </w:r>
      <w:r>
        <w:rPr>
          <w:rStyle w:val="CommentTok"/>
        </w:rPr>
        <w:t xml:space="preserve"># expect PASS</w:t>
      </w:r>
      <w:r>
        <w:br/>
      </w:r>
      <w:r>
        <w:rPr>
          <w:rStyle w:val="ExtensionTok"/>
        </w:rPr>
        <w:t xml:space="preserve">.venv/bin/codespell</w:t>
      </w:r>
      <w:r>
        <w:rPr>
          <w:rStyle w:val="NormalTok"/>
        </w:rPr>
        <w:t xml:space="preserve"> paper/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README.md   </w:t>
      </w:r>
      <w:r>
        <w:rPr>
          <w:rStyle w:val="CommentTok"/>
        </w:rPr>
        <w:t xml:space="preserve"># expect no output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paper/build/manuscript.docx paper/TCR_Manuscript_V3.docx</w:t>
      </w:r>
    </w:p>
    <w:p>
      <w:pPr>
        <w:pStyle w:val="FirstParagraph"/>
      </w:pPr>
      <w:r>
        <w:t xml:space="preserve">Then open</w:t>
      </w:r>
      <w:r>
        <w:t xml:space="preserve"> </w:t>
      </w:r>
      <w:r>
        <w:rPr>
          <w:rStyle w:val="VerbatimChar"/>
        </w:rPr>
        <w:t xml:space="preserve">paper/TCR_Manuscript_V3.docx</w:t>
      </w:r>
      <w:r>
        <w:t xml:space="preserve"> </w:t>
      </w:r>
      <w:r>
        <w:t xml:space="preserve">and read it once end to end. Not to</w:t>
      </w:r>
      <w:r>
        <w:t xml:space="preserve"> </w:t>
      </w:r>
      <w:r>
        <w:t xml:space="preserve">check the numbers — those are verified — but to hear the sentences. This is the</w:t>
      </w:r>
      <w:r>
        <w:t xml:space="preserve"> </w:t>
      </w:r>
      <w:r>
        <w:t xml:space="preserve">last point where changing your mind is free.</w:t>
      </w:r>
    </w:p>
    <w:p>
      <w:pPr>
        <w:pStyle w:val="BodyText"/>
      </w:pPr>
      <w:r>
        <w:rPr>
          <w:b/>
          <w:bCs/>
        </w:rPr>
        <w:t xml:space="preserve">Done when:</w:t>
      </w:r>
      <w:r>
        <w:t xml:space="preserve"> </w:t>
      </w:r>
      <w:r>
        <w:t xml:space="preserve">the DOCX opens, figures appear, and you have both read it.</w:t>
      </w:r>
    </w:p>
    <w:p>
      <w:r>
        <w:pict>
          <v:rect style="width:0;height:1.5pt" o:hralign="center" o:hrstd="t" o:hr="t"/>
        </w:pict>
      </w:r>
    </w:p>
    <w:bookmarkEnd w:id="9"/>
    <w:bookmarkStart w:id="10" w:name="X82194c67c32d75aa7241320227068bc7c3d60a2"/>
    <w:p>
      <w:pPr>
        <w:pStyle w:val="Heading2"/>
      </w:pPr>
      <w:r>
        <w:t xml:space="preserve">Stage 1 — Post the preprint (20 minutes, Erick)</w:t>
      </w:r>
    </w:p>
    <w:p>
      <w:pPr>
        <w:pStyle w:val="FirstParagraph"/>
      </w:pPr>
      <w:r>
        <w:t xml:space="preserve">Go to https://www.biorxiv.org/submit-a-manuscript and create an account with</w:t>
      </w:r>
      <w:r>
        <w:t xml:space="preserve"> </w:t>
      </w:r>
      <w:r>
        <w:t xml:space="preserve">erick.tejkowski@gmail.com.</w:t>
      </w:r>
    </w:p>
    <w:p>
      <w:pPr>
        <w:pStyle w:val="BodyText"/>
      </w:pPr>
      <w:r>
        <w:t xml:space="preserve">Work through the form using the table in</w:t>
      </w:r>
      <w:r>
        <w:t xml:space="preserve"> </w:t>
      </w:r>
      <w:r>
        <w:rPr>
          <w:rStyle w:val="VerbatimChar"/>
        </w:rPr>
        <w:t xml:space="preserve">paper/submission-packet.md</w:t>
      </w:r>
      <w:r>
        <w:t xml:space="preserve">. The</w:t>
      </w:r>
      <w:r>
        <w:t xml:space="preserve"> </w:t>
      </w:r>
      <w:r>
        <w:t xml:space="preserve">answers that people get wrong: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Bioinformatics. Not Immunology. The paper’s audience is</w:t>
      </w:r>
      <w:r>
        <w:t xml:space="preserve"> </w:t>
      </w:r>
      <w:r>
        <w:t xml:space="preserve">methods-minded readers.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License:</w:t>
      </w:r>
      <w:r>
        <w:t xml:space="preserve"> </w:t>
      </w:r>
      <w:r>
        <w:t xml:space="preserve">CC-BY 4.0. It does not affect journal submission afterward.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Submitted to a journal?</w:t>
      </w:r>
      <w:r>
        <w:t xml:space="preserve"> </w:t>
      </w:r>
      <w:r>
        <w:t xml:space="preserve">No. That is true today and stays true until Stage 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Authors in order:</w:t>
      </w:r>
      <w:r>
        <w:t xml:space="preserve"> </w:t>
      </w:r>
      <w:r>
        <w:t xml:space="preserve">Erick, then Maria. bioRxiv freezes this into the citation.</w:t>
      </w:r>
    </w:p>
    <w:p>
      <w:pPr>
        <w:pStyle w:val="FirstParagraph"/>
      </w:pPr>
      <w:r>
        <w:t xml:space="preserve">Upload</w:t>
      </w:r>
      <w:r>
        <w:t xml:space="preserve"> </w:t>
      </w:r>
      <w:r>
        <w:rPr>
          <w:rStyle w:val="VerbatimChar"/>
        </w:rPr>
        <w:t xml:space="preserve">paper/TCR_Manuscript_V3.docx</w:t>
      </w:r>
      <w:r>
        <w:t xml:space="preserve">. If it asks for figures separately, use</w:t>
      </w:r>
      <w:r>
        <w:t xml:space="preserve"> </w:t>
      </w:r>
      <w:r>
        <w:rPr>
          <w:rStyle w:val="VerbatimChar"/>
        </w:rPr>
        <w:t xml:space="preserve">paper/figures/*.png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Immediately after submitting, tell Maria to watch for an email from bioRxiv</w:t>
      </w:r>
      <w:r>
        <w:rPr>
          <w:b/>
          <w:bCs/>
        </w:rPr>
        <w:t xml:space="preserve"> </w:t>
      </w:r>
      <w:r>
        <w:rPr>
          <w:b/>
          <w:bCs/>
        </w:rPr>
        <w:t xml:space="preserve">asking her to confirm authorship.</w:t>
      </w:r>
      <w:r>
        <w:t xml:space="preserve"> </w:t>
      </w:r>
      <w:r>
        <w:t xml:space="preserve">The posting does not proceed until she clicks</w:t>
      </w:r>
      <w:r>
        <w:t xml:space="preserve"> </w:t>
      </w:r>
      <w:r>
        <w:t xml:space="preserve">it. This is the single most common cause of a stalled preprint.</w:t>
      </w:r>
    </w:p>
    <w:p>
      <w:pPr>
        <w:pStyle w:val="BodyText"/>
      </w:pPr>
      <w:r>
        <w:rPr>
          <w:b/>
          <w:bCs/>
        </w:rPr>
        <w:t xml:space="preserve">Done when:</w:t>
      </w:r>
      <w:r>
        <w:t xml:space="preserve"> </w:t>
      </w:r>
      <w:r>
        <w:t xml:space="preserve">you see</w:t>
      </w:r>
      <w:r>
        <w:t xml:space="preserve"> </w:t>
      </w:r>
      <w:r>
        <w:t xml:space="preserve">“submitted”</w:t>
      </w:r>
      <w:r>
        <w:t xml:space="preserve"> </w:t>
      </w:r>
      <w:r>
        <w:t xml:space="preserve">status and Maria has clicked her link.</w:t>
      </w:r>
    </w:p>
    <w:p>
      <w:r>
        <w:pict>
          <v:rect style="width:0;height:1.5pt" o:hralign="center" o:hrstd="t" o:hr="t"/>
        </w:pict>
      </w:r>
    </w:p>
    <w:bookmarkEnd w:id="10"/>
    <w:bookmarkStart w:id="11" w:name="stage-2-screening-12-days-no-action"/>
    <w:p>
      <w:pPr>
        <w:pStyle w:val="Heading2"/>
      </w:pPr>
      <w:r>
        <w:t xml:space="preserve">Stage 2 — Screening (1–2 days, no action)</w:t>
      </w:r>
    </w:p>
    <w:p>
      <w:pPr>
        <w:pStyle w:val="FirstParagraph"/>
      </w:pPr>
      <w:r>
        <w:t xml:space="preserve">A bioRxiv staff member checks that this is life-science research, is not</w:t>
      </w:r>
      <w:r>
        <w:t xml:space="preserve"> </w:t>
      </w:r>
      <w:r>
        <w:t xml:space="preserve">plagiarized, contains no patient-identifying data, and makes no dangerous claims.</w:t>
      </w:r>
      <w:r>
        <w:t xml:space="preserve"> </w:t>
      </w:r>
      <w:r>
        <w:t xml:space="preserve">It is not peer review. Rejection here is rare and is usually about category or</w:t>
      </w:r>
      <w:r>
        <w:t xml:space="preserve"> </w:t>
      </w:r>
      <w:r>
        <w:t xml:space="preserve">file format.</w:t>
      </w:r>
    </w:p>
    <w:p>
      <w:pPr>
        <w:pStyle w:val="BodyText"/>
      </w:pPr>
      <w:r>
        <w:rPr>
          <w:b/>
          <w:bCs/>
        </w:rPr>
        <w:t xml:space="preserve">What arrives:</w:t>
      </w:r>
      <w:r>
        <w:t xml:space="preserve"> </w:t>
      </w:r>
      <w:r>
        <w:t xml:space="preserve">an email with your DOI, formatted like</w:t>
      </w:r>
      <w:r>
        <w:t xml:space="preserve"> </w:t>
      </w:r>
      <w:r>
        <w:rPr>
          <w:rStyle w:val="VerbatimChar"/>
        </w:rPr>
        <w:t xml:space="preserve">10.1101/2026.08.03.xxxxxx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stage-3-record-the-doi-5-minutes"/>
    <w:p>
      <w:pPr>
        <w:pStyle w:val="Heading2"/>
      </w:pPr>
      <w:r>
        <w:t xml:space="preserve">Stage 3 — Record the DOI (5 minutes)</w:t>
      </w:r>
    </w:p>
    <w:p>
      <w:pPr>
        <w:pStyle w:val="FirstParagraph"/>
      </w:pPr>
      <w:r>
        <w:t xml:space="preserve">Two files need it: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paper/cover-letter.md</w:t>
      </w:r>
      <w:r>
        <w:t xml:space="preserve"> </w:t>
      </w:r>
      <w:r>
        <w:t xml:space="preserve">— replace</w:t>
      </w:r>
      <w:r>
        <w:t xml:space="preserve"> </w:t>
      </w:r>
      <w:r>
        <w:rPr>
          <w:rStyle w:val="VerbatimChar"/>
        </w:rPr>
        <w:t xml:space="preserve">DOI: XXXX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add it near the top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python3 paper/build.py</w:t>
      </w:r>
      <w:r>
        <w:t xml:space="preserve"> </w:t>
      </w:r>
      <w:r>
        <w:t xml:space="preserve">and re-copy the DOCX, so the manuscript and the</w:t>
      </w:r>
      <w:r>
        <w:t xml:space="preserve"> </w:t>
      </w:r>
      <w:r>
        <w:t xml:space="preserve">letter agree. The assistant can do this in one pass if you paste the DOI.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from this moment you have a timestamped, citable record with</w:t>
      </w:r>
      <w:r>
        <w:t xml:space="preserve"> </w:t>
      </w:r>
      <w:r>
        <w:t xml:space="preserve">both your names on it, independent of any journal’s decision. Whatever happens</w:t>
      </w:r>
      <w:r>
        <w:t xml:space="preserve"> </w:t>
      </w:r>
      <w:r>
        <w:t xml:space="preserve">next, the work is yours and it is public.</w:t>
      </w:r>
    </w:p>
    <w:p>
      <w:r>
        <w:pict>
          <v:rect style="width:0;height:1.5pt" o:hralign="center" o:hrstd="t" o:hr="t"/>
        </w:pict>
      </w:r>
    </w:p>
    <w:bookmarkEnd w:id="12"/>
    <w:bookmarkStart w:id="13" w:name="stage-4-journal-preparation-1-hour-erick"/>
    <w:p>
      <w:pPr>
        <w:pStyle w:val="Heading2"/>
      </w:pPr>
      <w:r>
        <w:t xml:space="preserve">Stage 4 — Journal preparation (1 hour, Erick)</w:t>
      </w:r>
    </w:p>
    <w:p>
      <w:pPr>
        <w:pStyle w:val="FirstParagraph"/>
      </w:pPr>
      <w:r>
        <w:t xml:space="preserve">Open ImmunoInformatics’ guide for authors in a browser:</w:t>
      </w:r>
      <w:r>
        <w:t xml:space="preserve"> </w:t>
      </w:r>
      <w:r>
        <w:t xml:space="preserve">https://www.elsevier.com/journals/immunoinformatics/2667-1190/guide-for-authors</w:t>
      </w:r>
    </w:p>
    <w:p>
      <w:pPr>
        <w:pStyle w:val="BodyText"/>
      </w:pPr>
      <w:r>
        <w:t xml:space="preserve">That page blocks automated access, so four things are unresolved. Find and copy</w:t>
      </w:r>
      <w:r>
        <w:t xml:space="preserve"> </w:t>
      </w:r>
      <w:r>
        <w:t xml:space="preserve">these sections:</w:t>
      </w:r>
    </w:p>
    <w:p>
      <w:pPr>
        <w:pStyle w:val="Compact"/>
        <w:numPr>
          <w:ilvl w:val="0"/>
          <w:numId w:val="1003"/>
        </w:numPr>
      </w:pPr>
      <w:r>
        <w:t xml:space="preserve">Abstract word limit — ours is 264. If the cap is 250, cut the TCRdist</w:t>
      </w:r>
      <w:r>
        <w:t xml:space="preserve"> </w:t>
      </w:r>
      <w:r>
        <w:t xml:space="preserve">parenthetical.</w:t>
      </w:r>
    </w:p>
    <w:p>
      <w:pPr>
        <w:pStyle w:val="Compact"/>
        <w:numPr>
          <w:ilvl w:val="0"/>
          <w:numId w:val="1003"/>
        </w:numPr>
      </w:pPr>
      <w:r>
        <w:t xml:space="preserve">Whether structured-abstract headings are fixed. Ours end with</w:t>
      </w:r>
      <w:r>
        <w:t xml:space="preserve"> </w:t>
      </w:r>
      <w:r>
        <w:t xml:space="preserve">“Validation”</w:t>
      </w:r>
      <w:r>
        <w:t xml:space="preserve">,</w:t>
      </w:r>
      <w:r>
        <w:t xml:space="preserve"> </w:t>
      </w:r>
      <w:r>
        <w:t xml:space="preserve">which is non-standard.</w:t>
      </w:r>
    </w:p>
    <w:p>
      <w:pPr>
        <w:pStyle w:val="Compact"/>
        <w:numPr>
          <w:ilvl w:val="0"/>
          <w:numId w:val="1003"/>
        </w:numPr>
      </w:pPr>
      <w:r>
        <w:t xml:space="preserve">Whether Highlights are required, and their character limit. Five are ready.</w:t>
      </w:r>
    </w:p>
    <w:p>
      <w:pPr>
        <w:pStyle w:val="Compact"/>
        <w:numPr>
          <w:ilvl w:val="0"/>
          <w:numId w:val="1003"/>
        </w:numPr>
      </w:pPr>
      <w:r>
        <w:t xml:space="preserve">Reference style, and whether figure captions belong in the manuscript or a</w:t>
      </w:r>
      <w:r>
        <w:t xml:space="preserve"> </w:t>
      </w:r>
      <w:r>
        <w:t xml:space="preserve">separate file.</w:t>
      </w:r>
    </w:p>
    <w:p>
      <w:pPr>
        <w:pStyle w:val="FirstParagraph"/>
      </w:pPr>
      <w:r>
        <w:t xml:space="preserve">Also read their generative-AI policy. Your declaration is already in the</w:t>
      </w:r>
      <w:r>
        <w:t xml:space="preserve"> </w:t>
      </w:r>
      <w:r>
        <w:t xml:space="preserve">manuscript before the references. Read how they frame it so you are not surprised</w:t>
      </w:r>
      <w:r>
        <w:t xml:space="preserve"> </w:t>
      </w:r>
      <w:r>
        <w:t xml:space="preserve">later.</w:t>
      </w:r>
    </w:p>
    <w:p>
      <w:pPr>
        <w:pStyle w:val="BodyText"/>
      </w:pPr>
      <w:r>
        <w:t xml:space="preserve">Paste those sections to the assistant; the files get conformed in one pass.</w:t>
      </w:r>
    </w:p>
    <w:p>
      <w:pPr>
        <w:pStyle w:val="BodyText"/>
      </w:pPr>
      <w:r>
        <w:rPr>
          <w:b/>
          <w:bCs/>
        </w:rPr>
        <w:t xml:space="preserve">Done when:</w:t>
      </w:r>
      <w:r>
        <w:t xml:space="preserve"> </w:t>
      </w:r>
      <w:r>
        <w:t xml:space="preserve">the abstract is within their limit, headings match their format,</w:t>
      </w:r>
      <w:r>
        <w:t xml:space="preserve"> </w:t>
      </w:r>
      <w:r>
        <w:t xml:space="preserve">and the highlights file is saved as .docx.</w:t>
      </w:r>
    </w:p>
    <w:p>
      <w:r>
        <w:pict>
          <v:rect style="width:0;height:1.5pt" o:hralign="center" o:hrstd="t" o:hr="t"/>
        </w:pict>
      </w:r>
    </w:p>
    <w:bookmarkEnd w:id="13"/>
    <w:bookmarkStart w:id="14" w:name="X685f329bd24501313e04e996d3b73bb0c961dad"/>
    <w:p>
      <w:pPr>
        <w:pStyle w:val="Heading2"/>
      </w:pPr>
      <w:r>
        <w:t xml:space="preserve">Stage 5 — Submit to the journal (45 minutes, Erick)</w:t>
      </w:r>
    </w:p>
    <w:p>
      <w:pPr>
        <w:pStyle w:val="FirstParagraph"/>
      </w:pPr>
      <w:r>
        <w:t xml:space="preserve">Create an Editorial Manager account for ImmunoInformatics. Upload, in this order: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paper/TCR_Manuscript_V3.docx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Highlights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paper/highlights.md</w:t>
            </w:r>
            <w:r>
              <w:t xml:space="preserve"> </w:t>
            </w:r>
            <w:r>
              <w:t xml:space="preserve">saved as 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paper/figures/vector/*.pdf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 letter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paper/cover-letter.md</w:t>
            </w:r>
            <w:r>
              <w:t xml:space="preserve">, adapted using the ImmunoInformatics note in that file</w:t>
            </w:r>
          </w:p>
        </w:tc>
      </w:tr>
    </w:tbl>
    <w:p>
      <w:pPr>
        <w:pStyle w:val="BodyText"/>
      </w:pPr>
      <w:r>
        <w:t xml:space="preserve">In the cover letter, state the preprint DOI. Declare no competing interests and</w:t>
      </w:r>
      <w:r>
        <w:t xml:space="preserve"> </w:t>
      </w:r>
      <w:r>
        <w:t xml:space="preserve">no funding. If it asks for suggested reviewers, use the guidance at the bottom of</w:t>
      </w:r>
      <w:r>
        <w:t xml:space="preserve"> </w:t>
      </w:r>
      <w:r>
        <w:t xml:space="preserve">the cover letter, and do not name anyone either of you has corresponded with.</w:t>
      </w:r>
    </w:p>
    <w:p>
      <w:pPr>
        <w:pStyle w:val="BodyText"/>
      </w:pPr>
      <w:r>
        <w:t xml:space="preserve">The system will generate a PDF proof of your submission.</w:t>
      </w:r>
      <w:r>
        <w:t xml:space="preserve"> </w:t>
      </w:r>
      <w:r>
        <w:rPr>
          <w:b/>
          <w:bCs/>
        </w:rPr>
        <w:t xml:space="preserve">Read it before</w:t>
      </w:r>
      <w:r>
        <w:rPr>
          <w:b/>
          <w:bCs/>
        </w:rPr>
        <w:t xml:space="preserve"> </w:t>
      </w:r>
      <w:r>
        <w:rPr>
          <w:b/>
          <w:bCs/>
        </w:rPr>
        <w:t xml:space="preserve">approving</w:t>
      </w:r>
      <w:r>
        <w:t xml:space="preserve"> </w:t>
      </w:r>
      <w:r>
        <w:t xml:space="preserve">— Editorial Manager mangles tables and special characters more often</w:t>
      </w:r>
      <w:r>
        <w:t xml:space="preserve"> </w:t>
      </w:r>
      <w:r>
        <w:t xml:space="preserve">than you would expect, and β and en-dashes are the usual casualties.</w:t>
      </w:r>
    </w:p>
    <w:p>
      <w:pPr>
        <w:pStyle w:val="BodyText"/>
      </w:pPr>
      <w:r>
        <w:rPr>
          <w:b/>
          <w:bCs/>
        </w:rPr>
        <w:t xml:space="preserve">Done when:</w:t>
      </w:r>
      <w:r>
        <w:t xml:space="preserve"> </w:t>
      </w:r>
      <w:r>
        <w:t xml:space="preserve">status reads</w:t>
      </w:r>
      <w:r>
        <w:t xml:space="preserve"> </w:t>
      </w:r>
      <w:r>
        <w:t xml:space="preserve">“submitted to journal”</w:t>
      </w:r>
      <w:r>
        <w:t xml:space="preserve"> </w:t>
      </w:r>
      <w:r>
        <w:t xml:space="preserve">or</w:t>
      </w:r>
      <w:r>
        <w:t xml:space="preserve"> </w:t>
      </w:r>
      <w:r>
        <w:t xml:space="preserve">“with editor”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stage-6-waiting-2-weeks-to-6-months"/>
    <w:p>
      <w:pPr>
        <w:pStyle w:val="Heading2"/>
      </w:pPr>
      <w:r>
        <w:t xml:space="preserve">Stage 6 — Waiting (2 weeks to 6 months)</w:t>
      </w:r>
    </w:p>
    <w:p>
      <w:pPr>
        <w:pStyle w:val="FirstParagraph"/>
      </w:pPr>
      <w:r>
        <w:t xml:space="preserve">Editorial Manager statuses, in the order you will probably see them: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 Editor</w:t>
            </w:r>
          </w:p>
        </w:tc>
        <w:tc>
          <w:tcPr/>
          <w:p>
            <w:pPr>
              <w:pStyle w:val="Compact"/>
            </w:pPr>
            <w:r>
              <w:t xml:space="preserve">An editor is deciding whether to send it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 Review</w:t>
            </w:r>
          </w:p>
        </w:tc>
        <w:tc>
          <w:tcPr/>
          <w:p>
            <w:pPr>
              <w:pStyle w:val="Compact"/>
            </w:pPr>
            <w:r>
              <w:t xml:space="preserve">Reviewers have accepted the invitation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Reviews Complete</w:t>
            </w:r>
          </w:p>
        </w:tc>
        <w:tc>
          <w:tcPr/>
          <w:p>
            <w:pPr>
              <w:pStyle w:val="Compact"/>
            </w:pPr>
            <w:r>
              <w:t xml:space="preserve">Reports are in; the editor is deciding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in Process</w:t>
            </w:r>
          </w:p>
        </w:tc>
        <w:tc>
          <w:tcPr/>
          <w:p>
            <w:pPr>
              <w:pStyle w:val="Compact"/>
            </w:pPr>
            <w:r>
              <w:t xml:space="preserve">A letter is coming</w:t>
            </w:r>
          </w:p>
        </w:tc>
      </w:tr>
    </w:tbl>
    <w:p>
      <w:pPr>
        <w:pStyle w:val="BodyText"/>
      </w:pPr>
      <w:r>
        <w:t xml:space="preserve">DOAJ lists this journal’s median submission-to-publication time at 23 weeks. A</w:t>
      </w:r>
      <w:r>
        <w:t xml:space="preserve"> </w:t>
      </w:r>
      <w:r>
        <w:t xml:space="preserve">desk rejection, if it happens, usually arrives within two weeks and means the</w:t>
      </w:r>
      <w:r>
        <w:t xml:space="preserve"> </w:t>
      </w:r>
      <w:r>
        <w:t xml:space="preserve">editor judged it out of scope rather than unsound.</w:t>
      </w:r>
    </w:p>
    <w:p>
      <w:pPr>
        <w:pStyle w:val="BodyText"/>
      </w:pPr>
      <w:r>
        <w:rPr>
          <w:b/>
          <w:bCs/>
        </w:rPr>
        <w:t xml:space="preserve">Do not</w:t>
      </w:r>
      <w:r>
        <w:t xml:space="preserve"> </w:t>
      </w:r>
      <w:r>
        <w:t xml:space="preserve">email to ask about progress before eight weeks. After twelve, a short</w:t>
      </w:r>
      <w:r>
        <w:t xml:space="preserve"> </w:t>
      </w:r>
      <w:r>
        <w:t xml:space="preserve">polite query is normal.</w:t>
      </w:r>
    </w:p>
    <w:p>
      <w:r>
        <w:pict>
          <v:rect style="width:0;height:1.5pt" o:hralign="center" o:hrstd="t" o:hr="t"/>
        </w:pict>
      </w:r>
    </w:p>
    <w:bookmarkEnd w:id="15"/>
    <w:bookmarkStart w:id="16" w:name="stage-7-the-decision"/>
    <w:p>
      <w:pPr>
        <w:pStyle w:val="Heading2"/>
      </w:pPr>
      <w:r>
        <w:t xml:space="preserve">Stage 7 — The decision</w:t>
      </w:r>
    </w:p>
    <w:p>
      <w:pPr>
        <w:pStyle w:val="FirstParagraph"/>
      </w:pPr>
      <w:r>
        <w:t xml:space="preserve">Four possible outcomes.</w:t>
      </w:r>
    </w:p>
    <w:p>
      <w:pPr>
        <w:pStyle w:val="BodyText"/>
      </w:pPr>
      <w:r>
        <w:rPr>
          <w:b/>
          <w:bCs/>
        </w:rPr>
        <w:t xml:space="preserve">Major revision.</w:t>
      </w:r>
      <w:r>
        <w:t xml:space="preserve"> </w:t>
      </w:r>
      <w:r>
        <w:t xml:space="preserve">The most likely, and it is a good outcome — it means they</w:t>
      </w:r>
      <w:r>
        <w:t xml:space="preserve"> </w:t>
      </w:r>
      <w:r>
        <w:t xml:space="preserve">engaged. Expect requests for one or more of: a comparison against TULIP or TCRen,</w:t>
      </w:r>
      <w:r>
        <w:t xml:space="preserve"> </w:t>
      </w:r>
      <w:r>
        <w:t xml:space="preserve">a VDJdb confidence-score replication, more detail on negative-example</w:t>
      </w:r>
      <w:r>
        <w:t xml:space="preserve"> </w:t>
      </w:r>
      <w:r>
        <w:t xml:space="preserve">construction, or a defense of the linear model class. All four are already</w:t>
      </w:r>
      <w:r>
        <w:t xml:space="preserve"> </w:t>
      </w:r>
      <w:r>
        <w:t xml:space="preserve">disclosed in Limitations, so none is a surprise. Go to Stage 8.</w:t>
      </w:r>
    </w:p>
    <w:p>
      <w:pPr>
        <w:pStyle w:val="BodyText"/>
      </w:pPr>
      <w:r>
        <w:rPr>
          <w:b/>
          <w:bCs/>
        </w:rPr>
        <w:t xml:space="preserve">Minor revision.</w:t>
      </w:r>
      <w:r>
        <w:t xml:space="preserve"> </w:t>
      </w:r>
      <w:r>
        <w:t xml:space="preserve">Clarifications and wording. Usually a week of work.</w:t>
      </w:r>
    </w:p>
    <w:p>
      <w:pPr>
        <w:pStyle w:val="BodyText"/>
      </w:pPr>
      <w:r>
        <w:rPr>
          <w:b/>
          <w:bCs/>
        </w:rPr>
        <w:t xml:space="preserve">Reject and resubmit.</w:t>
      </w:r>
      <w:r>
        <w:t xml:space="preserve"> </w:t>
      </w:r>
      <w:r>
        <w:t xml:space="preserve">Not the same as rejection. They want substantial new work</w:t>
      </w:r>
      <w:r>
        <w:t xml:space="preserve"> </w:t>
      </w:r>
      <w:r>
        <w:t xml:space="preserve">but would look again. Treat it as Stage 8 with a longer timeline.</w:t>
      </w:r>
    </w:p>
    <w:p>
      <w:pPr>
        <w:pStyle w:val="BodyText"/>
      </w:pPr>
      <w:r>
        <w:rPr>
          <w:b/>
          <w:bCs/>
        </w:rPr>
        <w:t xml:space="preserve">Rejection.</w:t>
      </w:r>
      <w:r>
        <w:t xml:space="preserve"> </w:t>
      </w:r>
      <w:r>
        <w:t xml:space="preserve">Go to Stage 9.</w:t>
      </w:r>
    </w:p>
    <w:p>
      <w:r>
        <w:pict>
          <v:rect style="width:0;height:1.5pt" o:hralign="center" o:hrstd="t" o:hr="t"/>
        </w:pict>
      </w:r>
    </w:p>
    <w:bookmarkEnd w:id="16"/>
    <w:bookmarkStart w:id="17" w:name="X331f41d972c4477237f10c9b7a1fa99eeab92d7"/>
    <w:p>
      <w:pPr>
        <w:pStyle w:val="Heading2"/>
      </w:pPr>
      <w:r>
        <w:t xml:space="preserve">Stage 8 — Revision (1–6 weeks depending on what they ask)</w:t>
      </w:r>
    </w:p>
    <w:p>
      <w:pPr>
        <w:pStyle w:val="FirstParagraph"/>
      </w:pPr>
      <w:r>
        <w:t xml:space="preserve">The mechanics that matter: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Write a point-by-point response letter.</w:t>
      </w:r>
      <w:r>
        <w:t xml:space="preserve"> </w:t>
      </w:r>
      <w:r>
        <w:t xml:space="preserve">Quote each reviewer comment, then</w:t>
      </w:r>
      <w:r>
        <w:t xml:space="preserve"> </w:t>
      </w:r>
      <w:r>
        <w:t xml:space="preserve">answer directly beneath it. Say exactly what changed and give the section and</w:t>
      </w:r>
      <w:r>
        <w:t xml:space="preserve"> </w:t>
      </w:r>
      <w:r>
        <w:t xml:space="preserve">line. Reviewers look for whether you took them seriously.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Where you disagree, say so with evidence, politely.</w:t>
      </w:r>
      <w:r>
        <w:t xml:space="preserve"> </w:t>
      </w:r>
      <w:r>
        <w:t xml:space="preserve">“We respectfully</w:t>
      </w:r>
      <w:r>
        <w:t xml:space="preserve"> </w:t>
      </w:r>
      <w:r>
        <w:t xml:space="preserve">disagree, for the following reason”</w:t>
      </w:r>
      <w:r>
        <w:t xml:space="preserve"> </w:t>
      </w:r>
      <w:r>
        <w:t xml:space="preserve">is normal and expected. Capitulating to a</w:t>
      </w:r>
      <w:r>
        <w:t xml:space="preserve"> </w:t>
      </w:r>
      <w:r>
        <w:t xml:space="preserve">comment you believe is wrong makes the paper worse.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Supply a tracked-changes version</w:t>
      </w:r>
      <w:r>
        <w:t xml:space="preserve"> </w:t>
      </w:r>
      <w:r>
        <w:t xml:space="preserve">as well as a clean one, if they ask.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 any new analysis in the repository</w:t>
      </w:r>
      <w:r>
        <w:t xml:space="preserve">, not by hand, so the number in the</w:t>
      </w:r>
      <w:r>
        <w:t xml:space="preserve"> </w:t>
      </w:r>
      <w:r>
        <w:t xml:space="preserve">response letter and the number in the code are the same thing.</w:t>
      </w:r>
    </w:p>
    <w:p>
      <w:pPr>
        <w:pStyle w:val="FirstParagraph"/>
      </w:pPr>
      <w:r>
        <w:t xml:space="preserve">The likely requests and their real cost, for planning: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VDJdb confidence-score replication</w:t>
            </w:r>
          </w:p>
        </w:tc>
        <w:tc>
          <w:tcPr/>
          <w:p>
            <w:pPr>
              <w:pStyle w:val="Compact"/>
            </w:pPr>
            <w:r>
              <w:t xml:space="preserve">1–2 days</w:t>
            </w:r>
          </w:p>
        </w:tc>
        <w:tc>
          <w:tcPr/>
          <w:p>
            <w:pPr>
              <w:pStyle w:val="Compact"/>
            </w:pPr>
            <w:r>
              <w:t xml:space="preserve">needs the official release file, not the chunk records; will shift Table 1 slightly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Comparison against TULIP</w:t>
            </w:r>
          </w:p>
        </w:tc>
        <w:tc>
          <w:tcPr/>
          <w:p>
            <w:pPr>
              <w:pStyle w:val="Compact"/>
            </w:pPr>
            <w:r>
              <w:t xml:space="preserve">2–4 weeks</w:t>
            </w:r>
          </w:p>
        </w:tc>
        <w:tc>
          <w:tcPr/>
          <w:p>
            <w:pPr>
              <w:pStyle w:val="Compact"/>
            </w:pPr>
            <w:r>
              <w:t xml:space="preserve">unsupervised, needs its own harness; no negative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Comparison against TCRen</w:t>
            </w:r>
          </w:p>
        </w:tc>
        <w:tc>
          <w:tcPr/>
          <w:p>
            <w:pPr>
              <w:pStyle w:val="Compact"/>
            </w:pPr>
            <w:r>
              <w:t xml:space="preserve">3+ weeks</w:t>
            </w:r>
          </w:p>
        </w:tc>
        <w:tc>
          <w:tcPr/>
          <w:p>
            <w:pPr>
              <w:pStyle w:val="Compact"/>
            </w:pPr>
            <w:r>
              <w:t xml:space="preserve">needs structural models per 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Clarify negatives / model class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text only; the controls already exist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stage-9-if-rejected"/>
    <w:p>
      <w:pPr>
        <w:pStyle w:val="Heading2"/>
      </w:pPr>
      <w:r>
        <w:t xml:space="preserve">Stage 9 — If rejected</w:t>
      </w:r>
    </w:p>
    <w:p>
      <w:pPr>
        <w:pStyle w:val="FirstParagraph"/>
      </w:pPr>
      <w:r>
        <w:t xml:space="preserve">Nothing about a rejection invalidates the work, and your preprint stays up.</w:t>
      </w:r>
    </w:p>
    <w:p>
      <w:pPr>
        <w:pStyle w:val="BodyText"/>
      </w:pPr>
      <w:r>
        <w:rPr>
          <w:b/>
          <w:bCs/>
        </w:rPr>
        <w:t xml:space="preserve">Next venue, in my order of preference: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Frontiers in Immunology</w:t>
      </w:r>
      <w:r>
        <w:t xml:space="preserve">, Systems Immunology or Methods section. Reaches</w:t>
      </w:r>
      <w:r>
        <w:t xml:space="preserve"> </w:t>
      </w:r>
      <w:r>
        <w:t xml:space="preserve">many more readers and is PubMed-indexed, but the APC is CHF 3,150 — roughly</w:t>
      </w:r>
      <w:r>
        <w:t xml:space="preserve"> </w:t>
      </w:r>
      <w:r>
        <w:t xml:space="preserve">twice ImmunoInformatics — and their fee-support program does not cover US</w:t>
      </w:r>
      <w:r>
        <w:t xml:space="preserve"> </w:t>
      </w:r>
      <w:r>
        <w:t xml:space="preserve">authors. Reframe the cover letter to lead with the immunology: the batch-effect</w:t>
      </w:r>
      <w:r>
        <w:t xml:space="preserve"> </w:t>
      </w:r>
      <w:r>
        <w:t xml:space="preserve">finding and the germline-versus-junctional decomposition.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zero-cost hybrid</w:t>
      </w:r>
      <w:r>
        <w:t xml:space="preserve"> </w:t>
      </w:r>
      <w:r>
        <w:t xml:space="preserve">such as Briefings in Bioinformatics or Bioinformatics,</w:t>
      </w:r>
      <w:r>
        <w:t xml:space="preserve"> </w:t>
      </w:r>
      <w:r>
        <w:t xml:space="preserve">declining the open-access option so there is no charge. Both are</w:t>
      </w:r>
      <w:r>
        <w:t xml:space="preserve"> </w:t>
      </w:r>
      <w:r>
        <w:t xml:space="preserve">PubMed-indexed. The accepted version sits behind a paywall while your preprint</w:t>
      </w:r>
      <w:r>
        <w:t xml:space="preserve"> </w:t>
      </w:r>
      <w:r>
        <w:t xml:space="preserve">stays free. Confirm current pricing before relying on this.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PeerJ or BMC Bioinformatics.</w:t>
      </w:r>
      <w:r>
        <w:t xml:space="preserve"> </w:t>
      </w:r>
      <w:r>
        <w:t xml:space="preserve">These judge soundness rather than novelty,</w:t>
      </w:r>
      <w:r>
        <w:t xml:space="preserve"> </w:t>
      </w:r>
      <w:r>
        <w:t xml:space="preserve">which suits this paper. Emphasize the control architecture.</w:t>
      </w:r>
    </w:p>
    <w:p>
      <w:pPr>
        <w:pStyle w:val="FirstParagraph"/>
      </w:pPr>
      <w:r>
        <w:t xml:space="preserve">Whichever you choose, incorporate anything useful the first set of reviewers</w:t>
      </w:r>
      <w:r>
        <w:t xml:space="preserve"> </w:t>
      </w:r>
      <w:r>
        <w:t xml:space="preserve">said, even if they rejected it. Free peer review is still peer review.</w:t>
      </w:r>
    </w:p>
    <w:p>
      <w:r>
        <w:pict>
          <v:rect style="width:0;height:1.5pt" o:hralign="center" o:hrstd="t" o:hr="t"/>
        </w:pict>
      </w:r>
    </w:p>
    <w:bookmarkEnd w:id="18"/>
    <w:bookmarkStart w:id="19" w:name="stage-10-acceptance"/>
    <w:p>
      <w:pPr>
        <w:pStyle w:val="Heading2"/>
      </w:pPr>
      <w:r>
        <w:t xml:space="preserve">Stage 10 — Acceptance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Pay the APC.</w:t>
      </w:r>
      <w:r>
        <w:t xml:space="preserve"> </w:t>
      </w:r>
      <w:r>
        <w:t xml:space="preserve">ImmunoInformatics is USD 1,900. DOAJ lists a waiver policy;</w:t>
      </w:r>
      <w:r>
        <w:t xml:space="preserve"> </w:t>
      </w:r>
      <w:r>
        <w:t xml:space="preserve">as unaffiliated authors with no funding, ask about it explicitly before paying.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Proofs arrive within about two weeks.</w:t>
      </w:r>
      <w:r>
        <w:t xml:space="preserve"> </w:t>
      </w:r>
      <w:r>
        <w:t xml:space="preserve">Check the tables character by</w:t>
      </w:r>
      <w:r>
        <w:t xml:space="preserve"> </w:t>
      </w:r>
      <w:r>
        <w:t xml:space="preserve">character — typesetters re-key numbers, and this paper is mostly numbers.</w:t>
      </w:r>
      <w:r>
        <w:t xml:space="preserve"> </w:t>
      </w:r>
      <w:r>
        <w:t xml:space="preserve">Confirm β renders, the en-dashes in ranges survive, and every CI bracket is</w:t>
      </w:r>
      <w:r>
        <w:t xml:space="preserve"> </w:t>
      </w:r>
      <w:r>
        <w:t xml:space="preserve">intact.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Update the preprint.</w:t>
      </w:r>
      <w:r>
        <w:t xml:space="preserve"> </w:t>
      </w:r>
      <w:r>
        <w:t xml:space="preserve">Post the accepted version to bioRxiv as v2; the</w:t>
      </w:r>
      <w:r>
        <w:t xml:space="preserve"> </w:t>
      </w:r>
      <w:r>
        <w:t xml:space="preserve">original stays visible and the DOI still resolves.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 the published DOI</w:t>
      </w:r>
      <w:r>
        <w:t xml:space="preserve"> </w:t>
      </w:r>
      <w:r>
        <w:t xml:space="preserve">to the README and the repository description.</w:t>
      </w:r>
    </w:p>
    <w:p>
      <w:r>
        <w:pict>
          <v:rect style="width:0;height:1.5pt" o:hralign="center" o:hrstd="t" o:hr="t"/>
        </w:pict>
      </w:r>
    </w:p>
    <w:bookmarkEnd w:id="19"/>
    <w:bookmarkStart w:id="20" w:name="timeline-realistically"/>
    <w:p>
      <w:pPr>
        <w:pStyle w:val="Heading2"/>
      </w:pPr>
      <w:r>
        <w:t xml:space="preserve">Timeline, realistically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Elapsed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Preprint live with a DOI</w:t>
            </w:r>
          </w:p>
        </w:tc>
        <w:tc>
          <w:tcPr/>
          <w:p>
            <w:pPr>
              <w:pStyle w:val="Compact"/>
            </w:pPr>
            <w:r>
              <w:t xml:space="preserve">1–3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 submission complete</w:t>
            </w:r>
          </w:p>
        </w:tc>
        <w:tc>
          <w:tcPr/>
          <w:p>
            <w:pPr>
              <w:pStyle w:val="Compact"/>
            </w:pPr>
            <w:r>
              <w:t xml:space="preserve">within a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decision</w:t>
            </w:r>
          </w:p>
        </w:tc>
        <w:tc>
          <w:tcPr/>
          <w:p>
            <w:pPr>
              <w:pStyle w:val="Compact"/>
            </w:pPr>
            <w:r>
              <w:t xml:space="preserve">6 weeks to 6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 and resubmission</w:t>
            </w:r>
          </w:p>
        </w:tc>
        <w:tc>
          <w:tcPr/>
          <w:p>
            <w:pPr>
              <w:pStyle w:val="Compact"/>
            </w:pPr>
            <w:r>
              <w:t xml:space="preserve">plus 2–8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 to publication</w:t>
            </w:r>
          </w:p>
        </w:tc>
        <w:tc>
          <w:tcPr/>
          <w:p>
            <w:pPr>
              <w:pStyle w:val="Compact"/>
            </w:pPr>
            <w:r>
              <w:t xml:space="preserve">plus 4–8 weeks</w:t>
            </w:r>
          </w:p>
        </w:tc>
      </w:tr>
    </w:tbl>
    <w:p>
      <w:pPr>
        <w:pStyle w:val="BodyText"/>
      </w:pPr>
      <w:r>
        <w:t xml:space="preserve">Roughly six to twelve months to a published paper, and about three days to a</w:t>
      </w:r>
      <w:r>
        <w:t xml:space="preserve"> </w:t>
      </w:r>
      <w:r>
        <w:t xml:space="preserve">citable one. That gap is the reason to do Stage 1 tonight and Stage 5 whenever</w:t>
      </w:r>
      <w:r>
        <w:t xml:space="preserve"> </w:t>
      </w:r>
      <w:r>
        <w:t xml:space="preserve">you are ready.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2026-08-03T19:13:13Z</dcterms:created>
  <dcterms:modified xsi:type="dcterms:W3CDTF">2026-08-03T19:13:13Z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