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what-this-study-asked-and-what-we-found"/>
    <w:p>
      <w:pPr>
        <w:pStyle w:val="Heading1"/>
      </w:pPr>
      <w:r>
        <w:t xml:space="preserve">What this study asked, and what we found</w:t>
      </w:r>
    </w:p>
    <w:p>
      <w:pPr>
        <w:pStyle w:val="FirstParagraph"/>
      </w:pPr>
      <w:r>
        <w:rPr>
          <w:i/>
          <w:iCs/>
        </w:rPr>
        <w:t xml:space="preserve">A plain-language summary. No background in immunology or computing assumed.</w:t>
      </w:r>
    </w:p>
    <w:p>
      <w:pPr>
        <w:pStyle w:val="BodyText"/>
      </w:pPr>
      <w:r>
        <w:t xml:space="preserve">Erick Tejkowski and Maria Elisa Paredes · Fairview Heights, Illinois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Your immune system carries billions of T cells. Each one has a receptor on its</w:t>
      </w:r>
      <w:r>
        <w:t xml:space="preserve"> </w:t>
      </w:r>
      <w:r>
        <w:t xml:space="preserve">surface that recognizes one specific fragment of an invader — a virus protein, a</w:t>
      </w:r>
      <w:r>
        <w:t xml:space="preserve"> </w:t>
      </w:r>
      <w:r>
        <w:t xml:space="preserve">bacterial protein, a piece of a tumor. Think of the receptor as a key and the</w:t>
      </w:r>
      <w:r>
        <w:t xml:space="preserve"> </w:t>
      </w:r>
      <w:r>
        <w:t xml:space="preserve">fragment as a lock. When a key fits a lock, that T cell multiplies and attacks.</w:t>
      </w:r>
    </w:p>
    <w:p>
      <w:pPr>
        <w:pStyle w:val="BodyText"/>
      </w:pPr>
      <w:r>
        <w:t xml:space="preserve">If we could look at a receptor’s sequence and predict which fragment it opens, a</w:t>
      </w:r>
      <w:r>
        <w:t xml:space="preserve"> </w:t>
      </w:r>
      <w:r>
        <w:t xml:space="preserve">great deal would follow: vaccines designed with more confidence, cancer therapies</w:t>
      </w:r>
      <w:r>
        <w:t xml:space="preserve"> </w:t>
      </w:r>
      <w:r>
        <w:t xml:space="preserve">matched to a patient’s own T cells, blood tests that read someone’s infection</w:t>
      </w:r>
      <w:r>
        <w:t xml:space="preserve"> </w:t>
      </w:r>
      <w:r>
        <w:t xml:space="preserve">history from their immune repertoire.</w:t>
      </w:r>
    </w:p>
    <w:p>
      <w:pPr>
        <w:pStyle w:val="BodyText"/>
      </w:pPr>
      <w:r>
        <w:t xml:space="preserve">We cannot do this yet. Computer models predict reasonably well for fragments they</w:t>
      </w:r>
      <w:r>
        <w:t xml:space="preserve"> </w:t>
      </w:r>
      <w:r>
        <w:t xml:space="preserve">were trained on, and collapse to roughly coin-flip accuracy for fragments they</w:t>
      </w:r>
      <w:r>
        <w:t xml:space="preserve"> </w:t>
      </w:r>
      <w:r>
        <w:t xml:space="preserve">have never seen. That second case is the one that matters, because a new virus is</w:t>
      </w:r>
      <w:r>
        <w:t xml:space="preserve"> </w:t>
      </w:r>
      <w:r>
        <w:t xml:space="preserve">by definition a fragment nobody trained on.</w:t>
      </w:r>
    </w:p>
    <w:bookmarkEnd w:id="9"/>
    <w:bookmarkStart w:id="10" w:name="the-idea-we-tested"/>
    <w:p>
      <w:pPr>
        <w:pStyle w:val="Heading2"/>
      </w:pPr>
      <w:r>
        <w:t xml:space="preserve">The idea we tested</w:t>
      </w:r>
    </w:p>
    <w:p>
      <w:pPr>
        <w:pStyle w:val="FirstParagraph"/>
      </w:pPr>
      <w:r>
        <w:t xml:space="preserve">The receptors are not designed; they are assembled. Your body builds each one by</w:t>
      </w:r>
      <w:r>
        <w:t xml:space="preserve"> </w:t>
      </w:r>
      <w:r>
        <w:t xml:space="preserve">picking two inherited gene pieces — a beginning and an end — and stitching them</w:t>
      </w:r>
      <w:r>
        <w:t xml:space="preserve"> </w:t>
      </w:r>
      <w:r>
        <w:t xml:space="preserve">together with a short run of essentially random letters in the middle. The</w:t>
      </w:r>
      <w:r>
        <w:t xml:space="preserve"> </w:t>
      </w:r>
      <w:r>
        <w:t xml:space="preserve">critical, lock-touching part of the receptor is therefore made of three parts: an</w:t>
      </w:r>
      <w:r>
        <w:t xml:space="preserve"> </w:t>
      </w:r>
      <w:r>
        <w:t xml:space="preserve">inherited front, a random middle, and an inherited back.</w:t>
      </w:r>
    </w:p>
    <w:p>
      <w:pPr>
        <w:pStyle w:val="BodyText"/>
      </w:pPr>
      <w:r>
        <w:t xml:space="preserve">In 1984, immunologist Niels Jerne suggested in his Nobel lecture that the immune</w:t>
      </w:r>
      <w:r>
        <w:t xml:space="preserve"> </w:t>
      </w:r>
      <w:r>
        <w:t xml:space="preserve">system works something like a language, with its own grammar. In 2024, a research</w:t>
      </w:r>
      <w:r>
        <w:t xml:space="preserve"> </w:t>
      </w:r>
      <w:r>
        <w:t xml:space="preserve">group made that concrete: they argued that current computer models fail partly</w:t>
      </w:r>
      <w:r>
        <w:t xml:space="preserve"> </w:t>
      </w:r>
      <w:r>
        <w:t xml:space="preserve">because they chop receptor sequences into meaningless fragments, the way you</w:t>
      </w:r>
      <w:r>
        <w:t xml:space="preserve"> </w:t>
      </w:r>
      <w:r>
        <w:t xml:space="preserve">might cut the word</w:t>
      </w:r>
      <w:r>
        <w:t xml:space="preserve"> </w:t>
      </w:r>
      <w:r>
        <w:rPr>
          <w:i/>
          <w:iCs/>
        </w:rPr>
        <w:t xml:space="preserve">unhappiness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unha</w:t>
      </w:r>
      <w:r>
        <w:t xml:space="preserve">,</w:t>
      </w:r>
      <w:r>
        <w:t xml:space="preserve"> </w:t>
      </w:r>
      <w:r>
        <w:rPr>
          <w:i/>
          <w:iCs/>
        </w:rPr>
        <w:t xml:space="preserve">ppin</w:t>
      </w:r>
      <w:r>
        <w:t xml:space="preserve">,</w:t>
      </w:r>
      <w:r>
        <w:t xml:space="preserve"> </w:t>
      </w:r>
      <w:r>
        <w:rPr>
          <w:i/>
          <w:iCs/>
        </w:rPr>
        <w:t xml:space="preserve">ess</w:t>
      </w:r>
      <w:r>
        <w:t xml:space="preserve">. A linguist would</w:t>
      </w:r>
      <w:r>
        <w:t xml:space="preserve"> </w:t>
      </w:r>
      <w:r>
        <w:t xml:space="preserve">cut it into</w:t>
      </w:r>
      <w:r>
        <w:t xml:space="preserve"> </w:t>
      </w:r>
      <w:r>
        <w:rPr>
          <w:i/>
          <w:iCs/>
        </w:rPr>
        <w:t xml:space="preserve">un-</w:t>
      </w:r>
      <w:r>
        <w:t xml:space="preserve">,</w:t>
      </w:r>
      <w:r>
        <w:t xml:space="preserve"> </w:t>
      </w:r>
      <w:r>
        <w:rPr>
          <w:i/>
          <w:iCs/>
        </w:rPr>
        <w:t xml:space="preserve">happy</w:t>
      </w:r>
      <w:r>
        <w:t xml:space="preserve">,</w:t>
      </w:r>
      <w:r>
        <w:t xml:space="preserve"> </w:t>
      </w:r>
      <w:r>
        <w:rPr>
          <w:i/>
          <w:iCs/>
        </w:rPr>
        <w:t xml:space="preserve">-ness</w:t>
      </w:r>
      <w:r>
        <w:t xml:space="preserve"> </w:t>
      </w:r>
      <w:r>
        <w:t xml:space="preserve">— the parts that actually carry meaning. They</w:t>
      </w:r>
      <w:r>
        <w:t xml:space="preserve"> </w:t>
      </w:r>
      <w:r>
        <w:t xml:space="preserve">proposed doing the same for receptors, and invited someone to try it.</w:t>
      </w:r>
    </w:p>
    <w:p>
      <w:pPr>
        <w:pStyle w:val="BodyText"/>
      </w:pPr>
      <w:r>
        <w:t xml:space="preserve">We tried it. Cut each receptor at its real seams — inherited front, random middle,</w:t>
      </w:r>
      <w:r>
        <w:t xml:space="preserve"> </w:t>
      </w:r>
      <w:r>
        <w:t xml:space="preserve">inherited back — and see whether models built from those meaningful parts predict</w:t>
      </w:r>
      <w:r>
        <w:t xml:space="preserve"> </w:t>
      </w:r>
      <w:r>
        <w:t xml:space="preserve">better, especially for fragments they have never seen.</w:t>
      </w:r>
    </w:p>
    <w:bookmarkEnd w:id="10"/>
    <w:bookmarkStart w:id="11" w:name="what-we-found"/>
    <w:p>
      <w:pPr>
        <w:pStyle w:val="Heading2"/>
      </w:pPr>
      <w:r>
        <w:t xml:space="preserve">What we found</w:t>
      </w:r>
    </w:p>
    <w:p>
      <w:pPr>
        <w:pStyle w:val="FirstParagraph"/>
      </w:pPr>
      <w:r>
        <w:rPr>
          <w:b/>
          <w:bCs/>
        </w:rPr>
        <w:t xml:space="preserve">The structure is real.</w:t>
      </w:r>
      <w:r>
        <w:t xml:space="preserve"> </w:t>
      </w:r>
      <w:r>
        <w:t xml:space="preserve">The</w:t>
      </w:r>
      <w:r>
        <w:t xml:space="preserve"> </w:t>
      </w:r>
      <w:r>
        <w:t xml:space="preserve">“random”</w:t>
      </w:r>
      <w:r>
        <w:t xml:space="preserve"> </w:t>
      </w:r>
      <w:r>
        <w:t xml:space="preserve">middle is not fully random. We could tell</w:t>
      </w:r>
      <w:r>
        <w:t xml:space="preserve"> </w:t>
      </w:r>
      <w:r>
        <w:t xml:space="preserve">a genuine middle from the same letters shuffled into a different order, which</w:t>
      </w:r>
      <w:r>
        <w:t xml:space="preserve"> </w:t>
      </w:r>
      <w:r>
        <w:t xml:space="preserve">means the order follows rules. Knowing which inherited pieces a receptor used</w:t>
      </w:r>
      <w:r>
        <w:t xml:space="preserve"> </w:t>
      </w:r>
      <w:r>
        <w:t xml:space="preserve">made that easier still.</w:t>
      </w:r>
    </w:p>
    <w:p>
      <w:pPr>
        <w:pStyle w:val="BodyText"/>
      </w:pPr>
      <w:r>
        <w:rPr>
          <w:b/>
          <w:bCs/>
        </w:rPr>
        <w:t xml:space="preserve">But it doesn’t help where it counts.</w:t>
      </w:r>
      <w:r>
        <w:t xml:space="preserve"> </w:t>
      </w:r>
      <w:r>
        <w:t xml:space="preserve">For fragments the model had already</w:t>
      </w:r>
      <w:r>
        <w:t xml:space="preserve"> </w:t>
      </w:r>
      <w:r>
        <w:t xml:space="preserve">studied, cutting at the seams did improve predictions. For fragments withheld</w:t>
      </w:r>
      <w:r>
        <w:t xml:space="preserve"> </w:t>
      </w:r>
      <w:r>
        <w:t xml:space="preserve">entirely, every version we built performed at chance — the same as guessing. The</w:t>
      </w:r>
      <w:r>
        <w:t xml:space="preserve"> </w:t>
      </w:r>
      <w:r>
        <w:t xml:space="preserve">improvement did not transfer.</w:t>
      </w:r>
    </w:p>
    <w:p>
      <w:pPr>
        <w:pStyle w:val="BodyText"/>
      </w:pPr>
      <w:r>
        <w:rPr>
          <w:b/>
          <w:bCs/>
        </w:rPr>
        <w:t xml:space="preserve">And most of the apparent benefit was not about the middle at all.</w:t>
      </w:r>
      <w:r>
        <w:t xml:space="preserve"> </w:t>
      </w:r>
      <w:r>
        <w:t xml:space="preserve">When we gave</w:t>
      </w:r>
      <w:r>
        <w:t xml:space="preserve"> </w:t>
      </w:r>
      <w:r>
        <w:t xml:space="preserve">a model nothing but the identity of the two inherited pieces — no middle sequence</w:t>
      </w:r>
      <w:r>
        <w:t xml:space="preserve"> </w:t>
      </w:r>
      <w:r>
        <w:t xml:space="preserve">whatsoever — it performed almost as well as the full method. So what looked like</w:t>
      </w:r>
      <w:r>
        <w:t xml:space="preserve"> </w:t>
      </w:r>
      <w:r>
        <w:t xml:space="preserve">insight into the creative, random middle was mostly bookkeeping about which</w:t>
      </w:r>
      <w:r>
        <w:t xml:space="preserve"> </w:t>
      </w:r>
      <w:r>
        <w:t xml:space="preserve">inherited parts the body happened to pick.</w:t>
      </w:r>
    </w:p>
    <w:p>
      <w:pPr>
        <w:pStyle w:val="BodyText"/>
      </w:pPr>
      <w:r>
        <w:rPr>
          <w:b/>
          <w:bCs/>
        </w:rPr>
        <w:t xml:space="preserve">A published neural network did no better.</w:t>
      </w:r>
      <w:r>
        <w:t xml:space="preserve"> </w:t>
      </w:r>
      <w:r>
        <w:t xml:space="preserve">The obvious objection is that our</w:t>
      </w:r>
      <w:r>
        <w:t xml:space="preserve"> </w:t>
      </w:r>
      <w:r>
        <w:t xml:space="preserve">methods were too simple. So we took a published deep-learning model built by</w:t>
      </w:r>
      <w:r>
        <w:t xml:space="preserve"> </w:t>
      </w:r>
      <w:r>
        <w:t xml:space="preserve">other researchers, retrained it on exactly the same data, and tested it the same</w:t>
      </w:r>
      <w:r>
        <w:t xml:space="preserve"> </w:t>
      </w:r>
      <w:r>
        <w:t xml:space="preserve">way. On its own practice material it scored 92%. On fragments it had never seen,</w:t>
      </w:r>
      <w:r>
        <w:t xml:space="preserve"> </w:t>
      </w:r>
      <w:r>
        <w:t xml:space="preserve">it landed at chance, like everything else. The problem is not that our tools were</w:t>
      </w:r>
      <w:r>
        <w:t xml:space="preserve"> </w:t>
      </w:r>
      <w:r>
        <w:t xml:space="preserve">too blunt.</w:t>
      </w:r>
    </w:p>
    <w:bookmarkEnd w:id="11"/>
    <w:bookmarkStart w:id="12" w:name="Xa2f99d1cc657cbdfbce57ebb40229c2e56f0ba0"/>
    <w:p>
      <w:pPr>
        <w:pStyle w:val="Heading2"/>
      </w:pPr>
      <w:r>
        <w:t xml:space="preserve">The check that changed one of our own numbers</w:t>
      </w:r>
    </w:p>
    <w:p>
      <w:pPr>
        <w:pStyle w:val="FirstParagraph"/>
      </w:pPr>
      <w:r>
        <w:t xml:space="preserve">Late in the work we asked a skeptical question about our own strongest result.</w:t>
      </w:r>
    </w:p>
    <w:p>
      <w:pPr>
        <w:pStyle w:val="BodyText"/>
      </w:pPr>
      <w:r>
        <w:t xml:space="preserve">We identify the inherited front and back by looking for letters that barely vary</w:t>
      </w:r>
      <w:r>
        <w:t xml:space="preserve"> </w:t>
      </w:r>
      <w:r>
        <w:t xml:space="preserve">across thousands of receptors. But that rule stops a little early. Some inherited</w:t>
      </w:r>
      <w:r>
        <w:t xml:space="preserve"> </w:t>
      </w:r>
      <w:r>
        <w:t xml:space="preserve">letters end up counted as part of the</w:t>
      </w:r>
      <w:r>
        <w:t xml:space="preserve"> </w:t>
      </w:r>
      <w:r>
        <w:t xml:space="preserve">“random”</w:t>
      </w:r>
      <w:r>
        <w:t xml:space="preserve"> </w:t>
      </w:r>
      <w:r>
        <w:t xml:space="preserve">middle — and those letters are</w:t>
      </w:r>
      <w:r>
        <w:t xml:space="preserve"> </w:t>
      </w:r>
      <w:r>
        <w:t xml:space="preserve">perfectly predictable from which inherited piece was used. A model could look</w:t>
      </w:r>
      <w:r>
        <w:t xml:space="preserve"> </w:t>
      </w:r>
      <w:r>
        <w:t xml:space="preserve">clever simply by recognizing them, without understanding the middle at all.</w:t>
      </w:r>
    </w:p>
    <w:p>
      <w:pPr>
        <w:pStyle w:val="BodyText"/>
      </w:pPr>
      <w:r>
        <w:t xml:space="preserve">So we deleted the letters at each edge of the middle and ran everything again.</w:t>
      </w:r>
      <w:r>
        <w:t xml:space="preserve"> </w:t>
      </w:r>
      <w:r>
        <w:t xml:space="preserve">The advantage dropped by about 60%. It did not vanish — real structure remains in</w:t>
      </w:r>
      <w:r>
        <w:t xml:space="preserve"> </w:t>
      </w:r>
      <w:r>
        <w:t xml:space="preserve">the interior, and it survives every control we could think of — but it is roughly</w:t>
      </w:r>
      <w:r>
        <w:t xml:space="preserve"> </w:t>
      </w:r>
      <w:r>
        <w:t xml:space="preserve">a third of what we first measured.</w:t>
      </w:r>
    </w:p>
    <w:p>
      <w:pPr>
        <w:pStyle w:val="BodyText"/>
      </w:pPr>
      <w:r>
        <w:t xml:space="preserve">We report both numbers in the paper. The alternative was letting a reviewer, or a</w:t>
      </w:r>
      <w:r>
        <w:t xml:space="preserve"> </w:t>
      </w:r>
      <w:r>
        <w:t xml:space="preserve">later researcher, find it for us.</w:t>
      </w:r>
    </w:p>
    <w:bookmarkEnd w:id="12"/>
    <w:bookmarkStart w:id="13" w:name="Xabcd784a624623c3cba56f332d88c358d254d11"/>
    <w:p>
      <w:pPr>
        <w:pStyle w:val="Heading2"/>
      </w:pPr>
      <w:r>
        <w:t xml:space="preserve">Two side findings that may matter more than the main one</w:t>
      </w:r>
    </w:p>
    <w:p>
      <w:pPr>
        <w:pStyle w:val="FirstParagraph"/>
      </w:pPr>
      <w:r>
        <w:rPr>
          <w:b/>
          <w:bCs/>
        </w:rPr>
        <w:t xml:space="preserve">A trap in public data.</w:t>
      </w:r>
      <w:r>
        <w:t xml:space="preserve"> </w:t>
      </w:r>
      <w:r>
        <w:t xml:space="preserve">For one of the three most-studied fragments, a single</w:t>
      </w:r>
      <w:r>
        <w:t xml:space="preserve"> </w:t>
      </w:r>
      <w:r>
        <w:t xml:space="preserve">laboratory contributed 79.5% of all the data. That lab’s receptors carry an</w:t>
      </w:r>
      <w:r>
        <w:t xml:space="preserve"> </w:t>
      </w:r>
      <w:r>
        <w:t xml:space="preserve">unusual chemical signature — a particular amino acid appears in 10.8% of their</w:t>
      </w:r>
      <w:r>
        <w:t xml:space="preserve"> </w:t>
      </w:r>
      <w:r>
        <w:t xml:space="preserve">sequences against roughly 0.5% everywhere else. Anyone analyzing that fragment</w:t>
      </w:r>
      <w:r>
        <w:t xml:space="preserve"> </w:t>
      </w:r>
      <w:r>
        <w:t xml:space="preserve">without checking sources would</w:t>
      </w:r>
      <w:r>
        <w:t xml:space="preserve"> </w:t>
      </w:r>
      <w:r>
        <w:t xml:space="preserve">“discover”</w:t>
      </w:r>
      <w:r>
        <w:t xml:space="preserve"> </w:t>
      </w:r>
      <w:r>
        <w:t xml:space="preserve">a convincing biological signature that</w:t>
      </w:r>
      <w:r>
        <w:t xml:space="preserve"> </w:t>
      </w:r>
      <w:r>
        <w:t xml:space="preserve">is really one lab’s experimental method. We nearly did exactly that, and we say so</w:t>
      </w:r>
      <w:r>
        <w:t xml:space="preserve"> </w:t>
      </w:r>
      <w:r>
        <w:t xml:space="preserve">in the paper.</w:t>
      </w:r>
    </w:p>
    <w:p>
      <w:pPr>
        <w:pStyle w:val="BodyText"/>
      </w:pPr>
      <w:r>
        <w:rPr>
          <w:b/>
          <w:bCs/>
        </w:rPr>
        <w:t xml:space="preserve">Counting the wrong thing.</w:t>
      </w:r>
      <w:r>
        <w:t xml:space="preserve"> </w:t>
      </w:r>
      <w:r>
        <w:t xml:space="preserve">The main public database lists the same receptor</w:t>
      </w:r>
      <w:r>
        <w:t xml:space="preserve"> </w:t>
      </w:r>
      <w:r>
        <w:t xml:space="preserve">once for every study that reported it. One sequence appears in 1,077 entries but</w:t>
      </w:r>
      <w:r>
        <w:t xml:space="preserve"> </w:t>
      </w:r>
      <w:r>
        <w:t xml:space="preserve">represents a single receptor. Count entries instead of receptors and you inflate</w:t>
      </w:r>
      <w:r>
        <w:t xml:space="preserve"> </w:t>
      </w:r>
      <w:r>
        <w:t xml:space="preserve">some patterns a thousandfold. An earlier version of our own analysis did this. We</w:t>
      </w:r>
      <w:r>
        <w:t xml:space="preserve"> </w:t>
      </w:r>
      <w:r>
        <w:t xml:space="preserve">found it, fixed it, and reported it.</w:t>
      </w:r>
    </w:p>
    <w:bookmarkEnd w:id="13"/>
    <w:bookmarkStart w:id="14" w:name="what-we-think-it-means"/>
    <w:p>
      <w:pPr>
        <w:pStyle w:val="Heading2"/>
      </w:pPr>
      <w:r>
        <w:t xml:space="preserve">What we think it means</w:t>
      </w:r>
    </w:p>
    <w:p>
      <w:pPr>
        <w:pStyle w:val="FirstParagraph"/>
      </w:pPr>
      <w:r>
        <w:t xml:space="preserve">The receptor side of this problem is not the bottleneck.</w:t>
      </w:r>
    </w:p>
    <w:p>
      <w:pPr>
        <w:pStyle w:val="BodyText"/>
      </w:pPr>
      <w:r>
        <w:t xml:space="preserve">There is a useful distinction hiding in our results: understanding</w:t>
      </w:r>
      <w:r>
        <w:t xml:space="preserve"> </w:t>
      </w:r>
      <w:r>
        <w:rPr>
          <w:i/>
          <w:iCs/>
        </w:rPr>
        <w:t xml:space="preserve">how receptors</w:t>
      </w:r>
      <w:r>
        <w:rPr>
          <w:i/>
          <w:iCs/>
        </w:rPr>
        <w:t xml:space="preserve"> </w:t>
      </w:r>
      <w:r>
        <w:rPr>
          <w:i/>
          <w:iCs/>
        </w:rPr>
        <w:t xml:space="preserve">are built</w:t>
      </w:r>
      <w:r>
        <w:t xml:space="preserve"> </w:t>
      </w:r>
      <w:r>
        <w:t xml:space="preserve">is not the same as understanding</w:t>
      </w:r>
      <w:r>
        <w:t xml:space="preserve"> </w:t>
      </w:r>
      <w:r>
        <w:rPr>
          <w:i/>
          <w:iCs/>
        </w:rPr>
        <w:t xml:space="preserve">what they recognize</w:t>
      </w:r>
      <w:r>
        <w:t xml:space="preserve">. We got better</w:t>
      </w:r>
      <w:r>
        <w:t xml:space="preserve"> </w:t>
      </w:r>
      <w:r>
        <w:t xml:space="preserve">at the first and it bought us nothing on the second. Nothing in a description of</w:t>
      </w:r>
      <w:r>
        <w:t xml:space="preserve"> </w:t>
      </w:r>
      <w:r>
        <w:t xml:space="preserve">a receptor tells a model how a brand-new fragment should be matched against it.</w:t>
      </w:r>
    </w:p>
    <w:p>
      <w:pPr>
        <w:pStyle w:val="BodyText"/>
      </w:pPr>
      <w:r>
        <w:t xml:space="preserve">So the effort probably needs to move to the other side of the lock and key —</w:t>
      </w:r>
      <w:r>
        <w:t xml:space="preserve"> </w:t>
      </w:r>
      <w:r>
        <w:t xml:space="preserve">better representations of the fragment and the molecule presenting it, rather than</w:t>
      </w:r>
      <w:r>
        <w:t xml:space="preserve"> </w:t>
      </w:r>
      <w:r>
        <w:t xml:space="preserve">ever more refined descriptions of the receptor. That is a redirection, and a</w:t>
      </w:r>
      <w:r>
        <w:t xml:space="preserve"> </w:t>
      </w:r>
      <w:r>
        <w:t xml:space="preserve">negative result is a legitimate way to argue for one.</w:t>
      </w:r>
    </w:p>
    <w:bookmarkEnd w:id="14"/>
    <w:bookmarkStart w:id="15" w:name="what-this-does-not-show"/>
    <w:p>
      <w:pPr>
        <w:pStyle w:val="Heading2"/>
      </w:pPr>
      <w:r>
        <w:t xml:space="preserve">What this does not show</w:t>
      </w:r>
    </w:p>
    <w:p>
      <w:pPr>
        <w:pStyle w:val="FirstParagraph"/>
      </w:pPr>
      <w:r>
        <w:t xml:space="preserve">It does not show that the language idea is wrong in principle. It shows that this</w:t>
      </w:r>
      <w:r>
        <w:t xml:space="preserve"> </w:t>
      </w:r>
      <w:r>
        <w:t xml:space="preserve">particular implementation, at the scale of data currently available publicly, does</w:t>
      </w:r>
      <w:r>
        <w:t xml:space="preserve"> </w:t>
      </w:r>
      <w:r>
        <w:t xml:space="preserve">not transfer to new fragments. Richer approaches remain untested, including two</w:t>
      </w:r>
      <w:r>
        <w:t xml:space="preserve"> </w:t>
      </w:r>
      <w:r>
        <w:t xml:space="preserve">published methods that specifically claim to handle unseen fragments and that we</w:t>
      </w:r>
      <w:r>
        <w:t xml:space="preserve"> </w:t>
      </w:r>
      <w:r>
        <w:t xml:space="preserve">did not evaluate — we say so plainly in the paper rather than implying we covered</w:t>
      </w:r>
      <w:r>
        <w:t xml:space="preserve"> </w:t>
      </w:r>
      <w:r>
        <w:t xml:space="preserve">everything.</w:t>
      </w:r>
    </w:p>
    <w:p>
      <w:pPr>
        <w:pStyle w:val="BodyText"/>
      </w:pPr>
      <w:r>
        <w:t xml:space="preserve">Our data also cover only one of the receptor’s two arms, and our negative examples</w:t>
      </w:r>
      <w:r>
        <w:t xml:space="preserve"> </w:t>
      </w:r>
      <w:r>
        <w:t xml:space="preserve">are constructed by pairing receptors with fragments they probably don’t bind,</w:t>
      </w:r>
      <w:r>
        <w:t xml:space="preserve"> </w:t>
      </w:r>
      <w:r>
        <w:t xml:space="preserve">rather than by experiment. Both limits are stated in the paper.</w:t>
      </w:r>
    </w:p>
    <w:bookmarkEnd w:id="15"/>
    <w:bookmarkStart w:id="16" w:name="where-the-work-lives"/>
    <w:p>
      <w:pPr>
        <w:pStyle w:val="Heading2"/>
      </w:pPr>
      <w:r>
        <w:t xml:space="preserve">Where the work lives</w:t>
      </w:r>
    </w:p>
    <w:p>
      <w:pPr>
        <w:pStyle w:val="FirstParagraph"/>
      </w:pPr>
      <w:r>
        <w:t xml:space="preserve">Everything is public:</w:t>
      </w:r>
      <w:r>
        <w:t xml:space="preserve"> </w:t>
      </w:r>
      <w:r>
        <w:rPr>
          <w:rStyle w:val="VerbatimChar"/>
        </w:rPr>
        <w:t xml:space="preserve">https://github.com/etejkowski/grammar-of-immunity</w:t>
      </w:r>
      <w:r>
        <w:t xml:space="preserve">. The</w:t>
      </w:r>
      <w:r>
        <w:t xml:space="preserve"> </w:t>
      </w:r>
      <w:r>
        <w:t xml:space="preserve">main analyses use nothing but the Python standard library, run in about six</w:t>
      </w:r>
      <w:r>
        <w:t xml:space="preserve"> </w:t>
      </w:r>
      <w:r>
        <w:t xml:space="preserve">minutes on a laptop, and produce identical numbers every time. Anyone can check</w:t>
      </w:r>
      <w:r>
        <w:t xml:space="preserve"> </w:t>
      </w:r>
      <w:r>
        <w:t xml:space="preserve">any figure in this summary against the code that produced 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2026-08-03T07:54:55Z</dcterms:created>
  <dcterms:modified xsi:type="dcterms:W3CDTF">2026-08-03T07:54:55Z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