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work on epitopes seen in training and fail on unseen ones [4–6]. One proposed explanation is that receptor representations ignore the organization created by V(D)J recombination [1,2]. We tested that prediction.</w:t>
      </w:r>
    </w:p>
    <w:p>
      <w:pPr>
        <w:pStyle w:val="BodyText"/>
      </w:pPr>
      <w:r>
        <w:rPr>
          <w:b/>
          <w:bCs/>
        </w:rPr>
        <w:t xml:space="preserve">Methods.</w:t>
      </w:r>
      <w:r>
        <w:t xml:space="preserve"> </w:t>
      </w:r>
      <w:r>
        <w:t xml:space="preserve">From 203,308 VDJdb records (121,467 unique human TCRβ clonotypes) we derived reference-validated empirical V- and J-segment anchors, split each CDR3 into germline termini and a junctional N-region, and compared biologically informed features against raw CDR3 3-mers and a V/J-only control — on seen epitopes, on epitopes withheld entirely, and on the official IMMREP23 benchmark [12].</w:t>
      </w:r>
    </w:p>
    <w:p>
      <w:pPr>
        <w:pStyle w:val="BodyText"/>
      </w:pPr>
      <w:r>
        <w:rPr>
          <w:b/>
          <w:bCs/>
        </w:rPr>
        <w:t xml:space="preserve">Results.</w:t>
      </w:r>
      <w:r>
        <w:t xml:space="preserve"> </w:t>
      </w:r>
      <w:r>
        <w:t xml:space="preserve">Junctional regions carry order-dependent structure: conditioning a bigram model on the (V,J) pair improves discrimination of real from order-shuffled N-regions by +0.1013 AUC, a gain that a permuted-label control shows is not model capacity. A boundary-trim control locates most of it at the germline boundaries, leaving +0.0392 in the junctional interior. Binding prediction tells a different story: morphological features beat raw 3-mers on seen epitopes (0.7135 vs 0.6589) but not V/J identity alone (0.7089), and on withheld epitopes every arm performs at chance, the morphological advantage falling to +0.0046 with a confidence interval spanning zero.</w:t>
      </w:r>
    </w:p>
    <w:p>
      <w:pPr>
        <w:pStyle w:val="BodyText"/>
      </w:pPr>
      <w:r>
        <w:rPr>
          <w:b/>
          <w:bCs/>
        </w:rPr>
        <w:t xml:space="preserve">Validation.</w:t>
      </w:r>
      <w:r>
        <w:t xml:space="preserve"> </w:t>
      </w:r>
      <w:r>
        <w:t xml:space="preserve">Conclusions replicate on IMMREP23, where no method exceeds 0.52 on the seven unseen peptides, including a TCRdist-style baseline that otherwise outperforms our model (0.6281 vs 0.5893) and NetTCR-2.2 retrained on the identical split (0.4868 unseen) [18]. The advantage over k-mers proves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 for cross-epitope prediction.</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t xml:space="preserve">CRediT roles.</w:t>
      </w:r>
      <w:r>
        <w:t xml:space="preserve"> </w:t>
      </w:r>
      <w:r>
        <w:rPr>
          <w:b/>
          <w:bCs/>
        </w:rPr>
        <w:t xml:space="preserve">Erick Tejkowski:</w:t>
      </w:r>
      <w:r>
        <w:t xml:space="preserve"> </w:t>
      </w:r>
      <w:r>
        <w:t xml:space="preserve">Conceptualization, Methodology, Software, Formal analysis, Data curation, Visualization, Writing — original draft, Writing — review and editing.</w:t>
      </w:r>
      <w:r>
        <w:t xml:space="preserve"> </w:t>
      </w:r>
      <w:r>
        <w:rPr>
          <w:b/>
          <w:bCs/>
        </w:rPr>
        <w:t xml:space="preserve">Maria Elisa Paredes:</w:t>
      </w:r>
      <w:r>
        <w:t xml:space="preserve"> </w:t>
      </w:r>
      <w:r>
        <w:t xml:space="preserve">Conceptualization, Validation, Formal analysis, Writing — review and editing.</w:t>
      </w:r>
    </w:p>
    <w:p>
      <w:pPr>
        <w:pStyle w:val="BodyText"/>
      </w:pPr>
      <w:r>
        <w:t xml:space="preserve">In detail: ET contributed the linguistic formalization, all software and quantitative analysis, and the original draft. MEP contributed the biological and immunological interpretation, verification of the motif prior art, the linguistic framing, and critical revision. Both authors approved the submitted version and accept accountability for its content.</w:t>
      </w:r>
    </w:p>
    <w:bookmarkEnd w:id="35"/>
    <w:bookmarkStart w:id="36"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334000" cy="2290870"/>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334000" cy="229087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an AI coding assistant (Kiro CLI, Anthropic Claude) to draft and revise manuscript text, to implement and run analysis code, and to verify bibliographic records against public databases. All analyses were re-executed and their outputs checked by the authors, every reported number was confirmed against script output, and every reference was confirmed against the corresponding publisher record. The authors reviewed and edited the content and take full responsibility for the content of the publication.</w:t>
      </w:r>
    </w:p>
    <w:p>
      <w:r>
        <w:pict>
          <v:rect style="width:0;height:1.5pt" o:hralign="center" o:hrstd="t" o:hr="t"/>
        </w:pict>
      </w:r>
    </w:p>
    <w:bookmarkEnd w:id="62"/>
    <w:bookmarkStart w:id="63"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2026-08-03T20:10:27Z</dcterms:created>
  <dcterms:modified xsi:type="dcterms:W3CDTF">2026-08-03T20:10:27Z</dcterms:modified>
</cp:coreProperties>
</file>

<file path=docProps/custom.xml><?xml version="1.0" encoding="utf-8"?>
<Properties xmlns="http://schemas.openxmlformats.org/officeDocument/2006/custom-properties" xmlns:vt="http://schemas.openxmlformats.org/officeDocument/2006/docPropsVTypes"/>
</file>