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 A separate line of evidence reaches the same conclusion from the direction of data scale: published models fail once epitopes differ from the training distribution by more than a single residue, and the training set needed to overcome this has been estimated at a thousand times the size of current public data [25].</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release 2026-06-11 (repository commit</w:t>
      </w:r>
      <w:r>
        <w:t xml:space="preserve"> </w:t>
      </w:r>
      <w:r>
        <w:rPr>
          <w:rStyle w:val="VerbatimChar"/>
        </w:rPr>
        <w:t xml:space="preserve">3389001</w:t>
      </w:r>
      <w:r>
        <w:t xml:space="preserve">,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 Reference-based annotation would make the decomposition depend on a germline reference set whose contents change over time and which published studies frequently fail to specify [24]; deriving anchors from the clonotypes themselves removes that dependency, at the cost of the boundary imprecision we quantify in §3.3.</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 </w:t>
      </w:r>
      <w:r>
        <w:t xml:space="preserve">— the kind of divergence a versioned reference set produces, and one we resolve in favour of the data. We name the reference file above and date the VDJdb snapshot in §2.1 because an agreement figure is uninterpretable without both [24].</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Three published approaches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nuTCRacker likewise reports recognition of unseen peptides, from HLA-I–peptide complexes paired with αβTCRs [26]; we did not evaluate it, and record it here as a third published claim our data do not address. Our claim is therefore specific: within the class of models trained on re-paired sequence data under the IMMREP23 protocol, including a published convolutional architecture, no arm we evaluated exceeds 0.52 Macro AUC0.1 on unseen peptides. Whether unsupervised, structure-based, or other recently published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 the choice of substitution matrix within tcrdist3 has itself been compared systematically [27], which bears on how closely any reimplementation should be expected to track the original.</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 though such a calibration inherits the reference’s own version dependence and would need to name the release used [24]. The AIRR-Community TCR germline sets now in preparation for OGRDB, which are versioned, CC0-licensed and built on full-length sequence support, are the natural candidate when available. A related limitation is allele resolution. VDJdb carries allele-level calls for a minority of the records we retain — 40.8% of V assignments and 44.3% of J — and we collapse all of them to gene level. That is a deliberate choice rather than a database constraint: the surviving calls are inconsistently formatted, and 1,118 V calls (0.71%) are ambiguous between genes or alleles (</w:t>
      </w:r>
      <w:r>
        <w:rPr>
          <w:rStyle w:val="VerbatimChar"/>
        </w:rPr>
        <w:t xml:space="preserve">TRBV6-5*01,TRBV6-1*01</w:t>
      </w:r>
      <w:r>
        <w:t xml:space="preserve">,</w:t>
      </w:r>
      <w:r>
        <w:t xml:space="preserve"> </w:t>
      </w:r>
      <w:r>
        <w:rPr>
          <w:rStyle w:val="VerbatimChar"/>
        </w:rPr>
        <w:t xml:space="preserve">TRBV19*01/02</w:t>
      </w:r>
      <w:r>
        <w:t xml:space="preserve">), so conditioning on them would introduce more noise than it removed. The cost is that where alleles of one gene differ within the CDR3-proximal region, the modal residue frequency of §2.2 is computed over a mixture and the derived anchor reflects the majority allele rather than each clonotype’s own germline. This is not a hypothetical: Heather et al. report that 80% of human TCR V alleles encode unique polypeptides, and their worked example of reference drift is present in our data [24]. The public clonotype</w:t>
      </w:r>
      <w:r>
        <w:t xml:space="preserve"> </w:t>
      </w:r>
      <w:r>
        <w:rPr>
          <w:rStyle w:val="VerbatimChar"/>
        </w:rPr>
        <w:t xml:space="preserve">CATSRGQGYEQYF</w:t>
      </w:r>
      <w:r>
        <w:t xml:space="preserve"> </w:t>
      </w:r>
      <w:r>
        <w:t xml:space="preserve">(TRBV15/TRBJ2-7) appears twice in our deduplicated set, annotated to CMV pp65 epitopes, and our anchors assign</w:t>
      </w:r>
      <w:r>
        <w:t xml:space="preserve"> </w:t>
      </w:r>
      <w:r>
        <w:rPr>
          <w:rStyle w:val="VerbatimChar"/>
        </w:rPr>
        <w:t xml:space="preserve">CATS</w:t>
      </w:r>
      <w:r>
        <w:t xml:space="preserve"> </w:t>
      </w:r>
      <w:r>
        <w:t xml:space="preserve">to TRBV15 and</w:t>
      </w:r>
      <w:r>
        <w:t xml:space="preserve"> </w:t>
      </w:r>
      <w:r>
        <w:rPr>
          <w:rStyle w:val="VerbatimChar"/>
        </w:rPr>
        <w:t xml:space="preserve">EQYF</w:t>
      </w:r>
      <w:r>
        <w:t xml:space="preserve"> </w:t>
      </w:r>
      <w:r>
        <w:t xml:space="preserve">to TRBJ2-7; TRBV15</w:t>
      </w:r>
      <w:r>
        <w:rPr>
          <w:i/>
          <w:iCs/>
        </w:rPr>
        <w:t xml:space="preserve">01 and</w:t>
      </w:r>
      <w:r>
        <w:rPr>
          <w:i/>
          <w:iCs/>
        </w:rPr>
        <w:t xml:space="preserve"> </w:t>
      </w:r>
      <w:r>
        <w:t xml:space="preserve">02 differ by a single-nucleotide polymorphism encoding different amino acids, and in reference releases before 2018 *02 additionally lacked five nucleotides at its 3′ terminus — the end that contributes the CDR3 5′ residues our anchor treats as germline. The modal-frequency criterion absorbs part of this, since diverging alleles depress modal frequency and shorten the anchor, but it does not resolve it, and unambiguous allele assignment would require full-length V sequence, which VDJdb does not provide. Heather et al. note that gene-level discrimination suffices for analyses that do not turn on functional interpretation, which is the class ours belongs to; they also caution that highly quantitative assignment is not such a class, and §2.2 is quantitative.</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 An independent estimate places the requirement far beyond current public resources: Delaunay et al. confirm that published models fail to generalize beyond a single-residue dissimilarity from the training epitope distribution, and estimate that between one and 100 million epitopes — roughly a thousand times the size of current public data — would be needed to train a generalizable sequence-based specificity model [25]. That is consistent with the learning curve reported here, and suggests the ceiling we observe is at least partly a property of the data available rather than of receptor representation alone.</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p>
      <w:pPr>
        <w:pStyle w:val="Compact"/>
        <w:numPr>
          <w:ilvl w:val="0"/>
          <w:numId w:val="1001"/>
        </w:numPr>
      </w:pPr>
      <w:r>
        <w:t xml:space="preserve">Heather JM, Peres A, Yaari G, Lees W. The gremlin in the works: why T cell receptor researchers need to pay more attention to germline reference sequences.</w:t>
      </w:r>
      <w:r>
        <w:t xml:space="preserve"> </w:t>
      </w:r>
      <w:r>
        <w:rPr>
          <w:i/>
          <w:iCs/>
        </w:rPr>
        <w:t xml:space="preserve">ImmunoInformatics</w:t>
      </w:r>
      <w:r>
        <w:t xml:space="preserve">. 2025;20:100058. doi:10.1016/j.immuno.2025.100058.</w:t>
      </w:r>
    </w:p>
    <w:p>
      <w:pPr>
        <w:pStyle w:val="Compact"/>
        <w:numPr>
          <w:ilvl w:val="0"/>
          <w:numId w:val="1001"/>
        </w:numPr>
      </w:pPr>
      <w:r>
        <w:t xml:space="preserve">Delaunay A, McGibbon M, Djermani B, et al. Assessing data size requirements for training generalizable sequence-based TCR specificity models via pan-allelic MHC-I point-mutation ligandome evaluation.</w:t>
      </w:r>
      <w:r>
        <w:t xml:space="preserve"> </w:t>
      </w:r>
      <w:r>
        <w:rPr>
          <w:i/>
          <w:iCs/>
        </w:rPr>
        <w:t xml:space="preserve">Sci Rep</w:t>
      </w:r>
      <w:r>
        <w:t xml:space="preserve">. 2025;15(1):42384. doi:10.1038/s41598-025-26454-7.</w:t>
      </w:r>
    </w:p>
    <w:p>
      <w:pPr>
        <w:pStyle w:val="Compact"/>
        <w:numPr>
          <w:ilvl w:val="0"/>
          <w:numId w:val="1001"/>
        </w:numPr>
      </w:pPr>
      <w:r>
        <w:t xml:space="preserve">Barton J, Gore T, Phanichkrivalkosil M, Shepherd A, Mishto M. nuTCRacker: predicting the recognition of HLA-I–peptide complexes by αβTCRs for unseen peptides.</w:t>
      </w:r>
      <w:r>
        <w:t xml:space="preserve"> </w:t>
      </w:r>
      <w:r>
        <w:rPr>
          <w:i/>
          <w:iCs/>
        </w:rPr>
        <w:t xml:space="preserve">Eur J Immunol</w:t>
      </w:r>
      <w:r>
        <w:t xml:space="preserve">. 2025;55(7):e51607. doi:10.1002/eji.202451607.</w:t>
      </w:r>
    </w:p>
    <w:p>
      <w:pPr>
        <w:pStyle w:val="Compact"/>
        <w:numPr>
          <w:ilvl w:val="0"/>
          <w:numId w:val="1001"/>
        </w:numPr>
      </w:pPr>
      <w:r>
        <w:t xml:space="preserve">Hoffstedt M, Wätzig H, Baumann K. Comparison of different substitution matrices for distance based T-cell receptor epitope predictions using tcrdist3.</w:t>
      </w:r>
      <w:r>
        <w:t xml:space="preserve"> </w:t>
      </w:r>
      <w:r>
        <w:rPr>
          <w:i/>
          <w:iCs/>
        </w:rPr>
        <w:t xml:space="preserve">ImmunoInformatics</w:t>
      </w:r>
      <w:r>
        <w:t xml:space="preserve">. 2025;19:100051. doi:10.1016/j.immuno.2025.100051.</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2026-08-06T03:14:38Z</dcterms:created>
  <dcterms:modified xsi:type="dcterms:W3CDTF">2026-08-06T03:14:38Z</dcterms:modified>
</cp:coreProperties>
</file>

<file path=docProps/custom.xml><?xml version="1.0" encoding="utf-8"?>
<Properties xmlns="http://schemas.openxmlformats.org/officeDocument/2006/custom-properties" xmlns:vt="http://schemas.openxmlformats.org/officeDocument/2006/docPropsVTypes"/>
</file>