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TCR specificity predictors work on epitopes seen in training and fail on unseen ones [4–6]. One explanation holds that receptor representations ignore the organization created by V(D)J recombination [1,2]. We tested it.</w:t>
      </w:r>
    </w:p>
    <w:p>
      <w:pPr>
        <w:pStyle w:val="BodyText"/>
      </w:pPr>
      <w:r>
        <w:rPr>
          <w:b/>
          <w:bCs/>
        </w:rPr>
        <w:t xml:space="preserve">Methods.</w:t>
      </w:r>
      <w:r>
        <w:t xml:space="preserve"> </w:t>
      </w:r>
      <w:r>
        <w:t xml:space="preserve">From 121,467 deduplicated human TCRβ clonotypes in VDJdb we derived reference-validated germline anchors, split each CDR3 into germline termini and a junctional N-region, and compared biologically informed features against raw CDR3 3-mers and a V/J-only control, on seen epitopes, on withheld epitopes, and on the official IMMREP23 benchmark [12].</w:t>
      </w:r>
    </w:p>
    <w:p>
      <w:pPr>
        <w:pStyle w:val="BodyText"/>
      </w:pPr>
      <w:r>
        <w:rPr>
          <w:b/>
          <w:bCs/>
        </w:rPr>
        <w:t xml:space="preserve">Results.</w:t>
      </w:r>
      <w:r>
        <w:t xml:space="preserve"> </w:t>
      </w:r>
      <w:r>
        <w:t xml:space="preserve">Junctional regions carry order-dependent structure: conditioning a bigram model on the (V,J) pair improves discrimination of real from order-shuffled N-regions by +0.1013 AUC, not attributable to model capacity (permuted-label control). A boundary-trim control locates most of it at the germline boundaries, leaving +0.0392 in the junctional interior. Binding prediction differs: morphological features beat raw 3-mers on seen epitopes (0.7135 vs 0.6589) but not V/J identity alone (0.7089), and on withheld epitopes every arm sits at chance, the advantage falling to +0.0046 with a CI spanning zero.</w:t>
      </w:r>
    </w:p>
    <w:p>
      <w:pPr>
        <w:pStyle w:val="BodyText"/>
      </w:pPr>
      <w:r>
        <w:rPr>
          <w:b/>
          <w:bCs/>
        </w:rPr>
        <w:t xml:space="preserve">Validation.</w:t>
      </w:r>
      <w:r>
        <w:t xml:space="preserve"> </w:t>
      </w:r>
      <w:r>
        <w:t xml:space="preserve">Conclusions replicate on IMMREP23, where no method exceeds 0.52 on the seven unseen peptides, including a TCRdist-style baseline that otherwise outperforms our model and NetTCR-2.2 retrained on the identical split (0.4868 unseen) [18]. The advantage over k-mers proves contingent on training-set size.</w:t>
      </w:r>
    </w:p>
    <w:p>
      <w:pPr>
        <w:pStyle w:val="BodyText"/>
      </w:pPr>
      <w:r>
        <w:rPr>
          <w:b/>
          <w:bCs/>
        </w:rPr>
        <w:t xml:space="preserve">Conclusions.</w:t>
      </w:r>
      <w:r>
        <w:t xml:space="preserve"> </w:t>
      </w:r>
      <w:r>
        <w:t xml:space="preserve">Biologically informed segmentation captures genuine germline-conditioned organization that does not extend to unseen epitopes, and most of the within-distribution advantage reflects V/J identity rather than junctional sequence. Receptor representation alone appears insufficient.</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p>
      <w:pPr>
        <w:pStyle w:val="BodyText"/>
      </w:pPr>
      <w:r>
        <w:t xml:space="preserve">The permuted-label control cannot, however, separate junctional structure from</w:t>
      </w:r>
      <w:r>
        <w:t xml:space="preserve"> </w:t>
      </w:r>
      <w:r>
        <w:t xml:space="preserve">residual germline sequence. Empirical anchors stop extending when modal residue</w:t>
      </w:r>
      <w:r>
        <w:t xml:space="preserve"> </w:t>
      </w:r>
      <w:r>
        <w:t xml:space="preserve">frequency falls below 0.80 (§2.2), so where a segment’s germline contribution</w:t>
      </w:r>
      <w:r>
        <w:t xml:space="preserve"> </w:t>
      </w:r>
      <w:r>
        <w:t xml:space="preserve">runs longer than its derived anchor, germline residues remain at the edge of what</w:t>
      </w:r>
      <w:r>
        <w:t xml:space="preserve"> </w:t>
      </w:r>
      <w:r>
        <w:t xml:space="preserve">we treat as the N-region — and those residues are predictable from segment</w:t>
      </w:r>
      <w:r>
        <w:t xml:space="preserve"> </w:t>
      </w:r>
      <w:r>
        <w:t xml:space="preserve">identity, which would inflate the conditioned model without any junctional</w:t>
      </w:r>
      <w:r>
        <w:t xml:space="preserve"> </w:t>
      </w:r>
      <w:r>
        <w:t xml:space="preserve">grammar being involved. Permuting the labels destroys that leakage along with the</w:t>
      </w:r>
      <w:r>
        <w:t xml:space="preserve"> </w:t>
      </w:r>
      <w:r>
        <w:t xml:space="preserve">signal, so it leaves the question open.</w:t>
      </w:r>
    </w:p>
    <w:p>
      <w:pPr>
        <w:pStyle w:val="BodyText"/>
      </w:pPr>
      <w:r>
        <w:t xml:space="preserve">We therefore added a</w:t>
      </w:r>
      <w:r>
        <w:t xml:space="preserve"> </w:t>
      </w:r>
      <w:r>
        <w:rPr>
          <w:b/>
          <w:bCs/>
        </w:rPr>
        <w:t xml:space="preserve">boundary-trim control</w:t>
      </w:r>
      <w:r>
        <w:t xml:space="preserve">: the identical experiment repeated</w:t>
      </w:r>
      <w:r>
        <w:t xml:space="preserve"> </w:t>
      </w:r>
      <w:r>
        <w:t xml:space="preserve">with k residues removed from the N-region edges, on the same study split and</w:t>
      </w:r>
      <w:r>
        <w:t xml:space="preserve"> </w:t>
      </w:r>
      <w:r>
        <w:t xml:space="preserve">seed, trimming from both ends and from each end separately. Trimming also</w:t>
      </w:r>
      <w:r>
        <w:t xml:space="preserve"> </w:t>
      </w:r>
      <w:r>
        <w:t xml:space="preserve">shortens sequences and so costs every model information, which the flat model’s</w:t>
      </w:r>
      <w:r>
        <w:t xml:space="preserve"> </w:t>
      </w:r>
      <w:r>
        <w:t xml:space="preserve">AUC tracks; the informative comparison is between conditions that remove the same</w:t>
      </w:r>
      <w:r>
        <w:t xml:space="preserve"> </w:t>
      </w:r>
      <w:r>
        <w:t xml:space="preserve">number of residues from different positions. Sequences falling below the</w:t>
      </w:r>
      <w:r>
        <w:t xml:space="preserve"> </w:t>
      </w:r>
      <w:r>
        <w:t xml:space="preserve">three-residue minimum after trimming are dropped, which is why the k = 3</w:t>
      </w:r>
      <w:r>
        <w:t xml:space="preserve"> </w:t>
      </w:r>
      <w:r>
        <w:t xml:space="preserve">condition retains only a small and length-biased subset. We also report, as a</w:t>
      </w:r>
      <w:r>
        <w:t xml:space="preserve"> </w:t>
      </w:r>
      <w:r>
        <w:t xml:space="preserve">direct diagnostic, how far each N-region position is determined by the abutting</w:t>
      </w:r>
      <w:r>
        <w:t xml:space="preserve"> </w:t>
      </w:r>
      <w:r>
        <w:t xml:space="preserve">segment, measured as the mean modal-residue frequency within segment.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nearest-neighbor over all six CDR loops with CDR3 weighted</w:t>
      </w:r>
      <w:r>
        <w:t xml:space="preserve"> </w:t>
      </w:r>
      <w:r>
        <w:t xml:space="preserve">threefold [13]. Learned arms used L2-regularized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p>
      <w:pPr>
        <w:pStyle w:val="BodyText"/>
      </w:pPr>
      <w:r>
        <w:t xml:space="preserve">Most of that gain, however, comes from residues adjacent to the germline anchors</w:t>
      </w:r>
      <w:r>
        <w:t xml:space="preserve"> </w:t>
      </w:r>
      <w:r>
        <w:t xml:space="preserve">rather than from the junctional interior. The leakage diagnostic makes the</w:t>
      </w:r>
      <w:r>
        <w:t xml:space="preserve"> </w:t>
      </w:r>
      <w:r>
        <w:t xml:space="preserve">mechanism visible: the first N-region position is determined by V identity at a</w:t>
      </w:r>
      <w:r>
        <w:t xml:space="preserve"> </w:t>
      </w:r>
      <w:r>
        <w:t xml:space="preserve">mean modal-residue frequency of 0.517, and the last by J identity at 0.548,</w:t>
      </w:r>
      <w:r>
        <w:t xml:space="preserve"> </w:t>
      </w:r>
      <w:r>
        <w:t xml:space="preserve">against 0.251–0.327 for interior positions (Table 2, panel B). Removing one</w:t>
      </w:r>
      <w:r>
        <w:t xml:space="preserve"> </w:t>
      </w:r>
      <w:r>
        <w:t xml:space="preserve">residue from each end reduces the conditioned advantage from +0.1017 to</w:t>
      </w:r>
      <w:r>
        <w:t xml:space="preserve"> </w:t>
      </w:r>
      <w:r>
        <w:rPr>
          <w:b/>
          <w:bCs/>
        </w:rPr>
        <w:t xml:space="preserve">+0.0392</w:t>
      </w:r>
      <w:r>
        <w:t xml:space="preserve"> </w:t>
      </w:r>
      <w:r>
        <w:t xml:space="preserve">(95% CI [+0.0377, +0.0411]) — still positive and significant, but 61%</w:t>
      </w:r>
      <w:r>
        <w:t xml:space="preserve"> </w:t>
      </w:r>
      <w:r>
        <w:t xml:space="preserve">smaller. Two residues from each end give +0.0204; the three-residue condition</w:t>
      </w:r>
      <w:r>
        <w:t xml:space="preserve"> </w:t>
      </w:r>
      <w:r>
        <w:t xml:space="preserve">retains only 1,831 pairs and is too length-biased to interpret.</w:t>
      </w:r>
    </w:p>
    <w:p>
      <w:pPr>
        <w:pStyle w:val="BodyText"/>
      </w:pPr>
      <w:r>
        <w:t xml:space="preserve">Trimming costs every model information, so the placement of the trimmed residues</w:t>
      </w:r>
      <w:r>
        <w:t xml:space="preserve"> </w:t>
      </w:r>
      <w:r>
        <w:t xml:space="preserve">is what carries the inference. Two conditions remove the same two residues and</w:t>
      </w:r>
      <w:r>
        <w:t xml:space="preserve"> </w:t>
      </w:r>
      <w:r>
        <w:t xml:space="preserve">leave almost the same number of test pairs: trimming both ends by one (14,529</w:t>
      </w:r>
      <w:r>
        <w:t xml:space="preserve"> </w:t>
      </w:r>
      <w:r>
        <w:t xml:space="preserve">pairs) retains 39% of the advantage, whereas trimming the 5′ end by two (14,535</w:t>
      </w:r>
      <w:r>
        <w:t xml:space="preserve"> </w:t>
      </w:r>
      <w:r>
        <w:t xml:space="preserve">pairs) retains 69%. Equal information loss, unequal effect. The residues</w:t>
      </w:r>
      <w:r>
        <w:t xml:space="preserve"> </w:t>
      </w:r>
      <w:r>
        <w:t xml:space="preserve">immediately abutting each germline anchor therefore account for a substantial</w:t>
      </w:r>
      <w:r>
        <w:t xml:space="preserve"> </w:t>
      </w:r>
      <w:r>
        <w:t xml:space="preserve">share of the conditioned model’s advantage, consistent with the diagnostic above.</w:t>
      </w:r>
      <w:r>
        <w:t xml:space="preserve"> </w:t>
      </w:r>
      <w:r>
        <w:t xml:space="preserve">The permuted-label control remains below the flat model in every trim condition,</w:t>
      </w:r>
      <w:r>
        <w:t xml:space="preserve"> </w:t>
      </w:r>
      <w:r>
        <w:t xml:space="preserve">so the capacity conclusion is unaffected throughout.</w:t>
      </w:r>
    </w:p>
    <w:p>
      <w:pPr>
        <w:pStyle w:val="BodyText"/>
      </w:pPr>
      <w:r>
        <w:t xml:space="preserve">We report the untrimmed figure as the primary measurement, since it is what the</w:t>
      </w:r>
      <w:r>
        <w:t xml:space="preserve"> </w:t>
      </w:r>
      <w:r>
        <w:t xml:space="preserve">decomposition as defined yields, but the interpretation should be the trimmed one:</w:t>
      </w:r>
      <w:r>
        <w:t xml:space="preserve"> </w:t>
      </w:r>
      <w:r>
        <w:t xml:space="preserve">germline-conditioned organization within the junctional interior is real and</w:t>
      </w:r>
      <w:r>
        <w:t xml:space="preserve"> </w:t>
      </w:r>
      <w:r>
        <w:t xml:space="preserve">reproducible across held-out studies at roughly +0.04 AUC, and the larger raw</w:t>
      </w:r>
      <w:r>
        <w:t xml:space="preserve"> </w:t>
      </w:r>
      <w:r>
        <w:t xml:space="preserve">figure reflects imperfect anchor boundaries as much as junctional grammar. This</w:t>
      </w:r>
      <w:r>
        <w:t xml:space="preserve"> </w:t>
      </w:r>
      <w:r>
        <w:t xml:space="preserve">does not affect any downstream result, since the binding-prediction arms use</w:t>
      </w:r>
      <w:r>
        <w:t xml:space="preserve"> </w:t>
      </w:r>
      <w:r>
        <w:t xml:space="preserve">germline segment identity as an explicit feature rather than inferring it from</w:t>
      </w:r>
      <w:r>
        <w:t xml:space="preserve"> </w:t>
      </w:r>
      <w:r>
        <w:t xml:space="preserve">N-region edges.</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 measurable at +0.1013 AUC as the decomposition is defined, and at +0.0392 once residues abutting the germline anchors are excluded, with model capacity controlled in both cases and generalization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w:t>
      </w:r>
    </w:p>
    <w:p>
      <w:pPr>
        <w:pStyle w:val="BodyText"/>
      </w:pPr>
      <w:r>
        <w:t xml:space="preserve">Two method classes that explicitly claim the capability we find absent were not evaluated here, and we state the omission plainly rather than leaving it implicit. TULIP is an unsupervised transformer over paired peptide and receptor sequences that reports generalization to unseen epitopes without requiring negative examples [22]; because it dispenses with the negative-generation step that defines our training protocol, scoring it on our arms’ training split would not hold the learning problem fixed, and a fair comparison requires its own harness. TCRen scores receptor–epitope compatibility from residue-contact statistics on modelled structures and reports recognition of unseen epitopes [23]; it requires structural models for each pair, which our sequence-only pipeline does not produce. Our claim is therefore specific: within the class of models trained on re-paired sequence data under the IMMREP23 protocol, including a published convolutional architecture, no arm we evaluated exceeds 0.52 Macro AUC0.1 on unseen peptides. Whether unsupervised or structure-based approaches escape that ceiling is an open question our data do not address, and it is the comparison we would prioritize next.</w:t>
      </w:r>
    </w:p>
    <w:p>
      <w:pPr>
        <w:pStyle w:val="BodyText"/>
      </w:pPr>
      <w:r>
        <w:t xml:space="preserve">Protein-language-model embeddings were likewise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 We also retain all VDJdb records meeting the sequence-level criteria in §2.1 without applying VDJdb’s curated confidence score; a recent benchmark excluded score-0 entries as low confidence [4], so a score-filtered replication would test whether the dataset’s lowest-confidence records affect the estimates reported here.</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Agreement with the available reference is high (28 of 29 overlapping anchors), but the boundary-trim control (§3.3) shows the boundaries are imperfect in the direction of under-extension: because an anchor stops extending once modal residue frequency falls below 0.80, germline residues remain at the N-region edges often enough to account for most of the raw (V,J)-conditioned gain. IMGT-based boundaries, or per-segment anchor lengths calibrated against a complete germline reference, would sharpen the decomposition and are the obvious next refinement.</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license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 panel A;</w:t>
      </w:r>
      <w:r>
        <w:t xml:space="preserve"> </w:t>
      </w:r>
      <w:r>
        <w:rPr>
          <w:rStyle w:val="VerbatimChar"/>
        </w:rPr>
        <w:t xml:space="preserve">boundary_trim_control.py</w:t>
      </w:r>
      <w:r>
        <w:t xml:space="preserve"> </w:t>
      </w:r>
      <w:r>
        <w:t xml:space="preserve">reproduces Table 2, panel B and the leakage diagnostic;</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t xml:space="preserve">CRediT roles.</w:t>
      </w:r>
      <w:r>
        <w:t xml:space="preserve"> </w:t>
      </w:r>
      <w:r>
        <w:rPr>
          <w:b/>
          <w:bCs/>
        </w:rPr>
        <w:t xml:space="preserve">Erick Tejkowski:</w:t>
      </w:r>
      <w:r>
        <w:t xml:space="preserve"> </w:t>
      </w:r>
      <w:r>
        <w:t xml:space="preserve">Conceptualization, Methodology, Software, Formal analysis, Data curation, Visualization, Writing — original draft, Writing — review and editing.</w:t>
      </w:r>
      <w:r>
        <w:t xml:space="preserve"> </w:t>
      </w:r>
      <w:r>
        <w:rPr>
          <w:b/>
          <w:bCs/>
        </w:rPr>
        <w:t xml:space="preserve">Maria Elisa Paredes:</w:t>
      </w:r>
      <w:r>
        <w:t xml:space="preserve"> </w:t>
      </w:r>
      <w:r>
        <w:t xml:space="preserve">Conceptualization, Validation, Formal analysis, Writing — review and editing.</w:t>
      </w:r>
    </w:p>
    <w:p>
      <w:pPr>
        <w:pStyle w:val="BodyText"/>
      </w:pPr>
      <w:r>
        <w:t xml:space="preserve">In detail: ET contributed the linguistic formalization, all software and quantitative analysis, and the original draft. MEP contributed the biological and immunological interpretation, verification of the motif prior art, the linguistic framing, and critical revision. Both authors approved the submitted version and accept accountability for its content.</w:t>
      </w:r>
    </w:p>
    <w:bookmarkEnd w:id="35"/>
    <w:bookmarkStart w:id="36"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5943600" cy="2552684"/>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5943600" cy="2552684"/>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 The boundary-trim</w:t>
      </w:r>
      <w:r>
        <w:t xml:space="preserve"> </w:t>
      </w:r>
      <w:r>
        <w:t xml:space="preserve">control that qualifies this gain is tabulated in Table 2, panel B.</w:t>
      </w:r>
    </w:p>
    <w:p>
      <w:pPr>
        <w:pStyle w:val="BodyText"/>
      </w:pPr>
      <w:r>
        <w:drawing>
          <wp:inline>
            <wp:extent cx="5943600" cy="2990329"/>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943600" cy="2990329"/>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943600" cy="2733631"/>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943600" cy="273363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943600" cy="2598716"/>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943600" cy="2598716"/>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943600" cy="2609182"/>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943600" cy="260918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w:t>
      </w:r>
      <w:r>
        <w:t xml:space="preserve"> </w:t>
      </w:r>
      <w:r>
        <w:rPr>
          <w:b/>
          <w:bCs/>
        </w:rPr>
        <w:t xml:space="preserve">Panel A</w:t>
      </w:r>
      <w:r>
        <w:t xml:space="preserve">, models trained on untrimmed N-regions, 16,304 pairs.</w:t>
      </w:r>
      <w:r>
        <w:t xml:space="preserve"> </w:t>
      </w:r>
      <w:r>
        <w:rPr>
          <w:b/>
          <w:bCs/>
        </w:rPr>
        <w:t xml:space="preserve">Panel B</w:t>
      </w:r>
      <w:r>
        <w:t xml:space="preserve">, boundary-trim control: the identical experiment with residues removed from the N-region edges, same study split and seed. Decoys are redrawn under a separate random stream, so panel B’s untrimmed row reproduces panel A to within 0.0004.</w:t>
      </w:r>
    </w:p>
    <w:p>
      <w:pPr>
        <w:pStyle w:val="BodyText"/>
      </w:pPr>
      <w:r>
        <w:rPr>
          <w:i/>
          <w:iCs/>
        </w:rPr>
        <w:t xml:space="preserve">Panel A — models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i/>
          <w:iCs/>
        </w:rPr>
        <w:t xml:space="preserve">Panel B — boundary-trim control (shuffled decoys)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Residues trimmed</w:t>
            </w:r>
          </w:p>
        </w:tc>
        <w:tc>
          <w:tcPr/>
          <w:p>
            <w:pPr>
              <w:pStyle w:val="Compact"/>
            </w:pPr>
            <w:r>
              <w:t xml:space="preserve">Test pairs</w:t>
            </w:r>
          </w:p>
        </w:tc>
        <w:tc>
          <w:tcPr/>
          <w:p>
            <w:pPr>
              <w:pStyle w:val="Compact"/>
            </w:pPr>
            <w:r>
              <w:t xml:space="preserve">Flat</w:t>
            </w:r>
          </w:p>
        </w:tc>
        <w:tc>
          <w:tcPr/>
          <w:p>
            <w:pPr>
              <w:pStyle w:val="Compact"/>
            </w:pPr>
            <w:r>
              <w:t xml:space="preserve">Conditioned</w:t>
            </w:r>
          </w:p>
        </w:tc>
        <w:tc>
          <w:tcPr/>
          <w:p>
            <w:pPr>
              <w:pStyle w:val="Compact"/>
            </w:pPr>
            <w:r>
              <w:t xml:space="preserve">Permuted</w:t>
            </w:r>
          </w:p>
        </w:tc>
        <w:tc>
          <w:tcPr/>
          <w:p>
            <w:pPr>
              <w:pStyle w:val="Compact"/>
            </w:pPr>
            <w:r>
              <w:t xml:space="preserve">Conditioned − flat</w:t>
            </w:r>
          </w:p>
        </w:tc>
        <w:tc>
          <w:tcPr/>
          <w:p>
            <w:pPr>
              <w:pStyle w:val="Compact"/>
            </w:pPr>
            <w:r>
              <w:t xml:space="preserve">95% CI</w:t>
            </w:r>
          </w:p>
        </w:tc>
      </w:tr>
      <w:tr>
        <w:tc>
          <w:tcPr/>
          <w:p>
            <w:pPr>
              <w:pStyle w:val="Compact"/>
            </w:pPr>
            <w:r>
              <w:t xml:space="preserve">none</w:t>
            </w:r>
          </w:p>
        </w:tc>
        <w:tc>
          <w:tcPr/>
          <w:p>
            <w:pPr>
              <w:pStyle w:val="Compact"/>
            </w:pPr>
            <w:r>
              <w:t xml:space="preserve">16,304</w:t>
            </w:r>
          </w:p>
        </w:tc>
        <w:tc>
          <w:tcPr/>
          <w:p>
            <w:pPr>
              <w:pStyle w:val="Compact"/>
            </w:pPr>
            <w:r>
              <w:t xml:space="preserve">0.6149</w:t>
            </w:r>
          </w:p>
        </w:tc>
        <w:tc>
          <w:tcPr/>
          <w:p>
            <w:pPr>
              <w:pStyle w:val="Compact"/>
            </w:pPr>
            <w:r>
              <w:t xml:space="preserve">0.7166</w:t>
            </w:r>
          </w:p>
        </w:tc>
        <w:tc>
          <w:tcPr/>
          <w:p>
            <w:pPr>
              <w:pStyle w:val="Compact"/>
            </w:pPr>
            <w:r>
              <w:t xml:space="preserve">0.6118</w:t>
            </w:r>
          </w:p>
        </w:tc>
        <w:tc>
          <w:tcPr/>
          <w:p>
            <w:pPr>
              <w:pStyle w:val="Compact"/>
            </w:pPr>
            <w:r>
              <w:t xml:space="preserve">+0.1017</w:t>
            </w:r>
          </w:p>
        </w:tc>
        <w:tc>
          <w:tcPr/>
          <w:p>
            <w:pPr>
              <w:pStyle w:val="Compact"/>
            </w:pPr>
            <w:r>
              <w:t xml:space="preserve">[+0.0998, +0.1038]</w:t>
            </w:r>
          </w:p>
        </w:tc>
      </w:tr>
      <w:tr>
        <w:tc>
          <w:tcPr/>
          <w:p>
            <w:pPr>
              <w:pStyle w:val="Compact"/>
            </w:pPr>
            <w:r>
              <w:t xml:space="preserve">1 from each end</w:t>
            </w:r>
          </w:p>
        </w:tc>
        <w:tc>
          <w:tcPr/>
          <w:p>
            <w:pPr>
              <w:pStyle w:val="Compact"/>
            </w:pPr>
            <w:r>
              <w:t xml:space="preserve">14,529</w:t>
            </w:r>
          </w:p>
        </w:tc>
        <w:tc>
          <w:tcPr/>
          <w:p>
            <w:pPr>
              <w:pStyle w:val="Compact"/>
            </w:pPr>
            <w:r>
              <w:t xml:space="preserve">0.5559</w:t>
            </w:r>
          </w:p>
        </w:tc>
        <w:tc>
          <w:tcPr/>
          <w:p>
            <w:pPr>
              <w:pStyle w:val="Compact"/>
            </w:pPr>
            <w:r>
              <w:t xml:space="preserve">0.5951</w:t>
            </w:r>
          </w:p>
        </w:tc>
        <w:tc>
          <w:tcPr/>
          <w:p>
            <w:pPr>
              <w:pStyle w:val="Compact"/>
            </w:pPr>
            <w:r>
              <w:t xml:space="preserve">0.5523</w:t>
            </w:r>
          </w:p>
        </w:tc>
        <w:tc>
          <w:tcPr/>
          <w:p>
            <w:pPr>
              <w:pStyle w:val="Compact"/>
            </w:pPr>
            <w:r>
              <w:rPr>
                <w:b/>
                <w:bCs/>
              </w:rPr>
              <w:t xml:space="preserve">+0.0392</w:t>
            </w:r>
          </w:p>
        </w:tc>
        <w:tc>
          <w:tcPr/>
          <w:p>
            <w:pPr>
              <w:pStyle w:val="Compact"/>
            </w:pPr>
            <w:r>
              <w:t xml:space="preserve">[+0.0377, +0.0411]</w:t>
            </w:r>
          </w:p>
        </w:tc>
      </w:tr>
      <w:tr>
        <w:tc>
          <w:tcPr/>
          <w:p>
            <w:pPr>
              <w:pStyle w:val="Compact"/>
            </w:pPr>
            <w:r>
              <w:t xml:space="preserve">2 from each end</w:t>
            </w:r>
          </w:p>
        </w:tc>
        <w:tc>
          <w:tcPr/>
          <w:p>
            <w:pPr>
              <w:pStyle w:val="Compact"/>
            </w:pPr>
            <w:r>
              <w:t xml:space="preserve">7,939</w:t>
            </w:r>
          </w:p>
        </w:tc>
        <w:tc>
          <w:tcPr/>
          <w:p>
            <w:pPr>
              <w:pStyle w:val="Compact"/>
            </w:pPr>
            <w:r>
              <w:t xml:space="preserve">0.5419</w:t>
            </w:r>
          </w:p>
        </w:tc>
        <w:tc>
          <w:tcPr/>
          <w:p>
            <w:pPr>
              <w:pStyle w:val="Compact"/>
            </w:pPr>
            <w:r>
              <w:t xml:space="preserve">0.5623</w:t>
            </w:r>
          </w:p>
        </w:tc>
        <w:tc>
          <w:tcPr/>
          <w:p>
            <w:pPr>
              <w:pStyle w:val="Compact"/>
            </w:pPr>
            <w:r>
              <w:t xml:space="preserve">0.5388</w:t>
            </w:r>
          </w:p>
        </w:tc>
        <w:tc>
          <w:tcPr/>
          <w:p>
            <w:pPr>
              <w:pStyle w:val="Compact"/>
            </w:pPr>
            <w:r>
              <w:t xml:space="preserve">+0.0204</w:t>
            </w:r>
          </w:p>
        </w:tc>
        <w:tc>
          <w:tcPr/>
          <w:p>
            <w:pPr>
              <w:pStyle w:val="Compact"/>
            </w:pPr>
            <w:r>
              <w:t xml:space="preserve">[+0.0186, +0.0226]</w:t>
            </w:r>
          </w:p>
        </w:tc>
      </w:tr>
      <w:tr>
        <w:tc>
          <w:tcPr/>
          <w:p>
            <w:pPr>
              <w:pStyle w:val="Compact"/>
            </w:pPr>
            <w:r>
              <w:t xml:space="preserve">3 from each end</w:t>
            </w:r>
          </w:p>
        </w:tc>
        <w:tc>
          <w:tcPr/>
          <w:p>
            <w:pPr>
              <w:pStyle w:val="Compact"/>
            </w:pPr>
            <w:r>
              <w:t xml:space="preserve">1,831</w:t>
            </w:r>
          </w:p>
        </w:tc>
        <w:tc>
          <w:tcPr/>
          <w:p>
            <w:pPr>
              <w:pStyle w:val="Compact"/>
            </w:pPr>
            <w:r>
              <w:t xml:space="preserve">0.5490</w:t>
            </w:r>
          </w:p>
        </w:tc>
        <w:tc>
          <w:tcPr/>
          <w:p>
            <w:pPr>
              <w:pStyle w:val="Compact"/>
            </w:pPr>
            <w:r>
              <w:t xml:space="preserve">0.5529</w:t>
            </w:r>
          </w:p>
        </w:tc>
        <w:tc>
          <w:tcPr/>
          <w:p>
            <w:pPr>
              <w:pStyle w:val="Compact"/>
            </w:pPr>
            <w:r>
              <w:t xml:space="preserve">0.5458</w:t>
            </w:r>
          </w:p>
        </w:tc>
        <w:tc>
          <w:tcPr/>
          <w:p>
            <w:pPr>
              <w:pStyle w:val="Compact"/>
            </w:pPr>
            <w:r>
              <w:t xml:space="preserve">+0.0039</w:t>
            </w:r>
          </w:p>
        </w:tc>
        <w:tc>
          <w:tcPr/>
          <w:p>
            <w:pPr>
              <w:pStyle w:val="Compact"/>
            </w:pPr>
            <w:r>
              <w:t xml:space="preserve">[+0.0007, +0.0069]</w:t>
            </w:r>
          </w:p>
        </w:tc>
      </w:tr>
      <w:tr>
        <w:tc>
          <w:tcPr/>
          <w:p>
            <w:pPr>
              <w:pStyle w:val="Compact"/>
            </w:pPr>
            <w:r>
              <w:t xml:space="preserve">1 from 5′ (V) end</w:t>
            </w:r>
          </w:p>
        </w:tc>
        <w:tc>
          <w:tcPr/>
          <w:p>
            <w:pPr>
              <w:pStyle w:val="Compact"/>
            </w:pPr>
            <w:r>
              <w:t xml:space="preserve">15,833</w:t>
            </w:r>
          </w:p>
        </w:tc>
        <w:tc>
          <w:tcPr/>
          <w:p>
            <w:pPr>
              <w:pStyle w:val="Compact"/>
            </w:pPr>
            <w:r>
              <w:t xml:space="preserve">0.6065</w:t>
            </w:r>
          </w:p>
        </w:tc>
        <w:tc>
          <w:tcPr/>
          <w:p>
            <w:pPr>
              <w:pStyle w:val="Compact"/>
            </w:pPr>
            <w:r>
              <w:t xml:space="preserve">0.6811</w:t>
            </w:r>
          </w:p>
        </w:tc>
        <w:tc>
          <w:tcPr/>
          <w:p>
            <w:pPr>
              <w:pStyle w:val="Compact"/>
            </w:pPr>
            <w:r>
              <w:t xml:space="preserve">0.6022</w:t>
            </w:r>
          </w:p>
        </w:tc>
        <w:tc>
          <w:tcPr/>
          <w:p>
            <w:pPr>
              <w:pStyle w:val="Compact"/>
            </w:pPr>
            <w:r>
              <w:t xml:space="preserve">+0.0746</w:t>
            </w:r>
          </w:p>
        </w:tc>
        <w:tc>
          <w:tcPr/>
          <w:p>
            <w:pPr>
              <w:pStyle w:val="Compact"/>
            </w:pPr>
            <w:r>
              <w:t xml:space="preserve">[+0.0728, +0.0760]</w:t>
            </w:r>
          </w:p>
        </w:tc>
      </w:tr>
      <w:tr>
        <w:tc>
          <w:tcPr/>
          <w:p>
            <w:pPr>
              <w:pStyle w:val="Compact"/>
            </w:pPr>
            <w:r>
              <w:t xml:space="preserve">2 from 5′ (V) end</w:t>
            </w:r>
          </w:p>
        </w:tc>
        <w:tc>
          <w:tcPr/>
          <w:p>
            <w:pPr>
              <w:pStyle w:val="Compact"/>
            </w:pPr>
            <w:r>
              <w:t xml:space="preserve">14,535</w:t>
            </w:r>
          </w:p>
        </w:tc>
        <w:tc>
          <w:tcPr/>
          <w:p>
            <w:pPr>
              <w:pStyle w:val="Compact"/>
            </w:pPr>
            <w:r>
              <w:t xml:space="preserve">0.6255</w:t>
            </w:r>
          </w:p>
        </w:tc>
        <w:tc>
          <w:tcPr/>
          <w:p>
            <w:pPr>
              <w:pStyle w:val="Compact"/>
            </w:pPr>
            <w:r>
              <w:t xml:space="preserve">0.6958</w:t>
            </w:r>
          </w:p>
        </w:tc>
        <w:tc>
          <w:tcPr/>
          <w:p>
            <w:pPr>
              <w:pStyle w:val="Compact"/>
            </w:pPr>
            <w:r>
              <w:t xml:space="preserve">0.6201</w:t>
            </w:r>
          </w:p>
        </w:tc>
        <w:tc>
          <w:tcPr/>
          <w:p>
            <w:pPr>
              <w:pStyle w:val="Compact"/>
            </w:pPr>
            <w:r>
              <w:t xml:space="preserve">+0.0703</w:t>
            </w:r>
          </w:p>
        </w:tc>
        <w:tc>
          <w:tcPr/>
          <w:p>
            <w:pPr>
              <w:pStyle w:val="Compact"/>
            </w:pPr>
            <w:r>
              <w:t xml:space="preserve">[+0.0685, +0.0720]</w:t>
            </w:r>
          </w:p>
        </w:tc>
      </w:tr>
      <w:tr>
        <w:tc>
          <w:tcPr/>
          <w:p>
            <w:pPr>
              <w:pStyle w:val="Compact"/>
            </w:pPr>
            <w:r>
              <w:t xml:space="preserve">1 from 3′ (J) end</w:t>
            </w:r>
          </w:p>
        </w:tc>
        <w:tc>
          <w:tcPr/>
          <w:p>
            <w:pPr>
              <w:pStyle w:val="Compact"/>
            </w:pPr>
            <w:r>
              <w:t xml:space="preserve">15,842</w:t>
            </w:r>
          </w:p>
        </w:tc>
        <w:tc>
          <w:tcPr/>
          <w:p>
            <w:pPr>
              <w:pStyle w:val="Compact"/>
            </w:pPr>
            <w:r>
              <w:t xml:space="preserve">0.5644</w:t>
            </w:r>
          </w:p>
        </w:tc>
        <w:tc>
          <w:tcPr/>
          <w:p>
            <w:pPr>
              <w:pStyle w:val="Compact"/>
            </w:pPr>
            <w:r>
              <w:t xml:space="preserve">0.6379</w:t>
            </w:r>
          </w:p>
        </w:tc>
        <w:tc>
          <w:tcPr/>
          <w:p>
            <w:pPr>
              <w:pStyle w:val="Compact"/>
            </w:pPr>
            <w:r>
              <w:t xml:space="preserve">0.5621</w:t>
            </w:r>
          </w:p>
        </w:tc>
        <w:tc>
          <w:tcPr/>
          <w:p>
            <w:pPr>
              <w:pStyle w:val="Compact"/>
            </w:pPr>
            <w:r>
              <w:t xml:space="preserve">+0.0735</w:t>
            </w:r>
          </w:p>
        </w:tc>
        <w:tc>
          <w:tcPr/>
          <w:p>
            <w:pPr>
              <w:pStyle w:val="Compact"/>
            </w:pPr>
            <w:r>
              <w:t xml:space="preserve">[+0.0715, +0.0753]</w:t>
            </w:r>
          </w:p>
        </w:tc>
      </w:tr>
      <w:tr>
        <w:tc>
          <w:tcPr/>
          <w:p>
            <w:pPr>
              <w:pStyle w:val="Compact"/>
            </w:pPr>
            <w:r>
              <w:t xml:space="preserve">2 from 3′ (J) end</w:t>
            </w:r>
          </w:p>
        </w:tc>
        <w:tc>
          <w:tcPr/>
          <w:p>
            <w:pPr>
              <w:pStyle w:val="Compact"/>
            </w:pPr>
            <w:r>
              <w:t xml:space="preserve">14,553</w:t>
            </w:r>
          </w:p>
        </w:tc>
        <w:tc>
          <w:tcPr/>
          <w:p>
            <w:pPr>
              <w:pStyle w:val="Compact"/>
            </w:pPr>
            <w:r>
              <w:t xml:space="preserve">0.5651</w:t>
            </w:r>
          </w:p>
        </w:tc>
        <w:tc>
          <w:tcPr/>
          <w:p>
            <w:pPr>
              <w:pStyle w:val="Compact"/>
            </w:pPr>
            <w:r>
              <w:t xml:space="preserve">0.6316</w:t>
            </w:r>
          </w:p>
        </w:tc>
        <w:tc>
          <w:tcPr/>
          <w:p>
            <w:pPr>
              <w:pStyle w:val="Compact"/>
            </w:pPr>
            <w:r>
              <w:t xml:space="preserve">0.5631</w:t>
            </w:r>
          </w:p>
        </w:tc>
        <w:tc>
          <w:tcPr/>
          <w:p>
            <w:pPr>
              <w:pStyle w:val="Compact"/>
            </w:pPr>
            <w:r>
              <w:t xml:space="preserve">+0.0665</w:t>
            </w:r>
          </w:p>
        </w:tc>
        <w:tc>
          <w:tcPr/>
          <w:p>
            <w:pPr>
              <w:pStyle w:val="Compact"/>
            </w:pPr>
            <w:r>
              <w:t xml:space="preserve">[+0.0647, +0.0687]</w:t>
            </w:r>
          </w:p>
        </w:tc>
      </w:tr>
    </w:tbl>
    <w:p>
      <w:pPr>
        <w:pStyle w:val="BodyText"/>
      </w:pPr>
      <w:r>
        <w:t xml:space="preserve">Rows 2 and 6 remove the same number of residues and retain almost the same number of test pairs (14,529 and 14,535) but retain 39% and 69% of the advantage respectively, isolating position rather than information loss as the cause.</w:t>
      </w:r>
    </w:p>
    <w:p>
      <w:pPr>
        <w:pStyle w:val="BodyText"/>
      </w:pPr>
      <w:r>
        <w:rPr>
          <w:i/>
          <w:iCs/>
        </w:rPr>
        <w:t xml:space="preserve">Leakage diagnostic — mean modal-residue frequency within segment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N-region position</w:t>
            </w:r>
          </w:p>
        </w:tc>
        <w:tc>
          <w:tcPr/>
          <w:p>
            <w:pPr>
              <w:pStyle w:val="Compact"/>
            </w:pPr>
            <w:r>
              <w:t xml:space="preserve">Conditioned on</w:t>
            </w:r>
          </w:p>
        </w:tc>
        <w:tc>
          <w:tcPr/>
          <w:p>
            <w:pPr>
              <w:pStyle w:val="Compact"/>
            </w:pPr>
            <w:r>
              <w:t xml:space="preserve">Mean modal frequency</w:t>
            </w:r>
          </w:p>
        </w:tc>
        <w:tc>
          <w:tcPr/>
          <w:p>
            <w:pPr>
              <w:pStyle w:val="Compact"/>
            </w:pPr>
            <w:r>
              <w:t xml:space="preserve">Segments</w:t>
            </w:r>
          </w:p>
        </w:tc>
      </w:tr>
      <w:tr>
        <w:tc>
          <w:tcPr/>
          <w:p>
            <w:pPr>
              <w:pStyle w:val="Compact"/>
            </w:pPr>
            <w:r>
              <w:t xml:space="preserve">1 (5′-most)</w:t>
            </w:r>
          </w:p>
        </w:tc>
        <w:tc>
          <w:tcPr/>
          <w:p>
            <w:pPr>
              <w:pStyle w:val="Compact"/>
            </w:pPr>
            <w:r>
              <w:t xml:space="preserve">V segment</w:t>
            </w:r>
          </w:p>
        </w:tc>
        <w:tc>
          <w:tcPr/>
          <w:p>
            <w:pPr>
              <w:pStyle w:val="Compact"/>
            </w:pPr>
            <w:r>
              <w:t xml:space="preserve">0.517</w:t>
            </w:r>
          </w:p>
        </w:tc>
        <w:tc>
          <w:tcPr/>
          <w:p>
            <w:pPr>
              <w:pStyle w:val="Compact"/>
            </w:pPr>
            <w:r>
              <w:t xml:space="preserve">55</w:t>
            </w:r>
          </w:p>
        </w:tc>
      </w:tr>
      <w:tr>
        <w:tc>
          <w:tcPr/>
          <w:p>
            <w:pPr>
              <w:pStyle w:val="Compact"/>
            </w:pPr>
            <w:r>
              <w:t xml:space="preserve">2</w:t>
            </w:r>
          </w:p>
        </w:tc>
        <w:tc>
          <w:tcPr/>
          <w:p>
            <w:pPr>
              <w:pStyle w:val="Compact"/>
            </w:pPr>
            <w:r>
              <w:t xml:space="preserve">V segment</w:t>
            </w:r>
          </w:p>
        </w:tc>
        <w:tc>
          <w:tcPr/>
          <w:p>
            <w:pPr>
              <w:pStyle w:val="Compact"/>
            </w:pPr>
            <w:r>
              <w:t xml:space="preserve">0.263</w:t>
            </w:r>
          </w:p>
        </w:tc>
        <w:tc>
          <w:tcPr/>
          <w:p>
            <w:pPr>
              <w:pStyle w:val="Compact"/>
            </w:pPr>
            <w:r>
              <w:t xml:space="preserve">55</w:t>
            </w:r>
          </w:p>
        </w:tc>
      </w:tr>
      <w:tr>
        <w:tc>
          <w:tcPr/>
          <w:p>
            <w:pPr>
              <w:pStyle w:val="Compact"/>
            </w:pPr>
            <w:r>
              <w:t xml:space="preserve">3</w:t>
            </w:r>
          </w:p>
        </w:tc>
        <w:tc>
          <w:tcPr/>
          <w:p>
            <w:pPr>
              <w:pStyle w:val="Compact"/>
            </w:pPr>
            <w:r>
              <w:t xml:space="preserve">V segment</w:t>
            </w:r>
          </w:p>
        </w:tc>
        <w:tc>
          <w:tcPr/>
          <w:p>
            <w:pPr>
              <w:pStyle w:val="Compact"/>
            </w:pPr>
            <w:r>
              <w:t xml:space="preserve">0.251</w:t>
            </w:r>
          </w:p>
        </w:tc>
        <w:tc>
          <w:tcPr/>
          <w:p>
            <w:pPr>
              <w:pStyle w:val="Compact"/>
            </w:pPr>
            <w:r>
              <w:t xml:space="preserve">55</w:t>
            </w:r>
          </w:p>
        </w:tc>
      </w:tr>
      <w:tr>
        <w:tc>
          <w:tcPr/>
          <w:p>
            <w:pPr>
              <w:pStyle w:val="Compact"/>
            </w:pPr>
            <w:r>
              <w:t xml:space="preserve">−1 (3′-most)</w:t>
            </w:r>
          </w:p>
        </w:tc>
        <w:tc>
          <w:tcPr/>
          <w:p>
            <w:pPr>
              <w:pStyle w:val="Compact"/>
            </w:pPr>
            <w:r>
              <w:t xml:space="preserve">J segment</w:t>
            </w:r>
          </w:p>
        </w:tc>
        <w:tc>
          <w:tcPr/>
          <w:p>
            <w:pPr>
              <w:pStyle w:val="Compact"/>
            </w:pPr>
            <w:r>
              <w:t xml:space="preserve">0.548</w:t>
            </w:r>
          </w:p>
        </w:tc>
        <w:tc>
          <w:tcPr/>
          <w:p>
            <w:pPr>
              <w:pStyle w:val="Compact"/>
            </w:pPr>
            <w:r>
              <w:t xml:space="preserve">13</w:t>
            </w:r>
          </w:p>
        </w:tc>
      </w:tr>
      <w:tr>
        <w:tc>
          <w:tcPr/>
          <w:p>
            <w:pPr>
              <w:pStyle w:val="Compact"/>
            </w:pPr>
            <w:r>
              <w:t xml:space="preserve">−2</w:t>
            </w:r>
          </w:p>
        </w:tc>
        <w:tc>
          <w:tcPr/>
          <w:p>
            <w:pPr>
              <w:pStyle w:val="Compact"/>
            </w:pPr>
            <w:r>
              <w:t xml:space="preserve">J segment</w:t>
            </w:r>
          </w:p>
        </w:tc>
        <w:tc>
          <w:tcPr/>
          <w:p>
            <w:pPr>
              <w:pStyle w:val="Compact"/>
            </w:pPr>
            <w:r>
              <w:t xml:space="preserve">0.293</w:t>
            </w:r>
          </w:p>
        </w:tc>
        <w:tc>
          <w:tcPr/>
          <w:p>
            <w:pPr>
              <w:pStyle w:val="Compact"/>
            </w:pPr>
            <w:r>
              <w:t xml:space="preserve">13</w:t>
            </w:r>
          </w:p>
        </w:tc>
      </w:tr>
      <w:tr>
        <w:tc>
          <w:tcPr/>
          <w:p>
            <w:pPr>
              <w:pStyle w:val="Compact"/>
            </w:pPr>
            <w:r>
              <w:t xml:space="preserve">−3</w:t>
            </w:r>
          </w:p>
        </w:tc>
        <w:tc>
          <w:tcPr/>
          <w:p>
            <w:pPr>
              <w:pStyle w:val="Compact"/>
            </w:pPr>
            <w:r>
              <w:t xml:space="preserve">J segment</w:t>
            </w:r>
          </w:p>
        </w:tc>
        <w:tc>
          <w:tcPr/>
          <w:p>
            <w:pPr>
              <w:pStyle w:val="Compact"/>
            </w:pPr>
            <w:r>
              <w:t xml:space="preserve">0.327</w:t>
            </w:r>
          </w:p>
        </w:tc>
        <w:tc>
          <w:tcPr/>
          <w:p>
            <w:pPr>
              <w:pStyle w:val="Compact"/>
            </w:pPr>
            <w:r>
              <w:t xml:space="preserve">13</w:t>
            </w:r>
          </w:p>
        </w:tc>
      </w:tr>
    </w:tbl>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an AI coding assistant (Kiro CLI, Anthropic Claude) to draft and revise manuscript text, to implement and run analysis code, and to verify bibliographic records against public databases. All analyses were re-executed and their outputs checked by the authors, every reported number was confirmed against script output, and every reference was confirmed against the corresponding publisher record. The authors reviewed and edited the content and take full responsibility for the content of the publication.</w:t>
      </w:r>
    </w:p>
    <w:p>
      <w:r>
        <w:pict>
          <v:rect style="width:0;height:1.5pt" o:hralign="center" o:hrstd="t" o:hr="t"/>
        </w:pict>
      </w:r>
    </w:p>
    <w:bookmarkEnd w:id="62"/>
    <w:bookmarkStart w:id="63"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p>
      <w:pPr>
        <w:pStyle w:val="Compact"/>
        <w:numPr>
          <w:ilvl w:val="0"/>
          <w:numId w:val="1001"/>
        </w:numPr>
      </w:pPr>
      <w:r>
        <w:t xml:space="preserve">Meynard-Piganeau B, Feinauer C, Weigt M, Walczak AM, Mora T. TULIP: a transformer-based unsupervised language model for interacting peptides and T cell receptors that generalizes to unseen epitopes.</w:t>
      </w:r>
      <w:r>
        <w:t xml:space="preserve"> </w:t>
      </w:r>
      <w:r>
        <w:rPr>
          <w:i/>
          <w:iCs/>
        </w:rPr>
        <w:t xml:space="preserve">Proc Natl Acad Sci USA</w:t>
      </w:r>
      <w:r>
        <w:t xml:space="preserve">. 2024;121(24):e2316401121. PMID 38838016.</w:t>
      </w:r>
    </w:p>
    <w:p>
      <w:pPr>
        <w:pStyle w:val="Compact"/>
        <w:numPr>
          <w:ilvl w:val="0"/>
          <w:numId w:val="1001"/>
        </w:numPr>
      </w:pPr>
      <w:r>
        <w:t xml:space="preserve">Karnaukhov VK, Shcherbinin DS, Chugunov AO, Chudakov DM, Efremov RG, Zvyagin IV, Shugay M. Structure-based prediction of T cell receptor recognition of unseen epitopes using TCRen.</w:t>
      </w:r>
      <w:r>
        <w:t xml:space="preserve"> </w:t>
      </w:r>
      <w:r>
        <w:rPr>
          <w:i/>
          <w:iCs/>
        </w:rPr>
        <w:t xml:space="preserve">Nat Comput Sci</w:t>
      </w:r>
      <w:r>
        <w:t xml:space="preserve">. 2024;4(7):510–521. PMID 38987378.</w:t>
      </w:r>
    </w:p>
    <w:bookmarkEnd w:id="63"/>
    <w:bookmarkEnd w:id="64"/>
    <w:sectPr>
      <w:pgSz w:h="15840" w:orient="portrait"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Helvetica">
    <w:panose1 w:val="020B0004020202020204"/>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Helvetica">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w:panose1 w:val="02040503050406030204"/>
    <w:charset w:val="00"/>
    <w:family w:val="roman"/>
    <w:pitch w:val="variable"/>
    <w:sig w:usb0="E00002FF" w:usb1="400004FF" w:usb2="00000000" w:usb3="00000000" w:csb0="0000019F" w:csb1="00000000"/>
  </w:font>
  <w:font w:name="Helvetica">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hAnsi="Menlo"/>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a:font script="Hebr" typeface="Time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a:font script="Uigh" typeface="Microsoft Uighur"/>
        <a:font script="Geor" typeface="Sylfaen"/>
        <a:font script="Armn" typeface="Arial"/>
        <a:font script="Bugi" typeface="Leelawadee UI"/>
        <a:font script="Bopo" typeface="Microsoft JhengHei"/>
        <a:font script="Java" typeface="Javanese Text"/>
        <a:font script="Lisu" typeface="Helvetica"/>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Helvetica"/>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2026-08-03T23:33:32Z</dcterms:created>
  <dcterms:modified xsi:type="dcterms:W3CDTF">2026-08-03T23:33:32Z</dcterms:modified>
</cp:coreProperties>
</file>

<file path=docProps/custom.xml><?xml version="1.0" encoding="utf-8"?>
<Properties xmlns="http://schemas.openxmlformats.org/officeDocument/2006/custom-properties" xmlns:vt="http://schemas.openxmlformats.org/officeDocument/2006/docPropsVTypes"/>
</file>