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e-submission-inquiry-emails"/>
    <w:p>
      <w:pPr>
        <w:pStyle w:val="Heading1"/>
      </w:pPr>
      <w:r>
        <w:t xml:space="preserve">Pre-submission inquiry emails</w:t>
      </w:r>
    </w:p>
    <w:p>
      <w:pPr>
        <w:pStyle w:val="FirstParagraph"/>
      </w:pPr>
      <w:r>
        <w:t xml:space="preserve">A pre-submission inquiry asks an editor one question:</w:t>
      </w:r>
      <w:r>
        <w:t xml:space="preserve"> </w:t>
      </w:r>
      <w:r>
        <w:rPr>
          <w:i/>
          <w:iCs/>
        </w:rPr>
        <w:t xml:space="preserve">is this paper in scope for</w:t>
      </w:r>
      <w:r>
        <w:rPr>
          <w:i/>
          <w:iCs/>
        </w:rPr>
        <w:t xml:space="preserve"> </w:t>
      </w:r>
      <w:r>
        <w:rPr>
          <w:i/>
          <w:iCs/>
        </w:rPr>
        <w:t xml:space="preserve">your journal?</w:t>
      </w:r>
      <w:r>
        <w:t xml:space="preserve"> </w:t>
      </w:r>
      <w:r>
        <w:t xml:space="preserve">It is not a submission, it commits you to nothing, and you may send</w:t>
      </w:r>
      <w:r>
        <w:t xml:space="preserve"> </w:t>
      </w:r>
      <w:r>
        <w:t xml:space="preserve">several at once to different journals. The point is to learn in one week what a</w:t>
      </w:r>
      <w:r>
        <w:t xml:space="preserve"> </w:t>
      </w:r>
      <w:r>
        <w:t xml:space="preserve">blind submission would take six weeks to tell you — which matters here, because</w:t>
      </w:r>
      <w:r>
        <w:t xml:space="preserve"> </w:t>
      </w:r>
      <w:r>
        <w:t xml:space="preserve">the main risk to this paper is an editor deciding a negative result is not a</w:t>
      </w:r>
      <w:r>
        <w:t xml:space="preserve"> </w:t>
      </w:r>
      <w:r>
        <w:t xml:space="preserve">contribution.</w:t>
      </w:r>
    </w:p>
    <w:bookmarkStart w:id="9" w:name="how-to-send-them"/>
    <w:p>
      <w:pPr>
        <w:pStyle w:val="Heading2"/>
      </w:pPr>
      <w:r>
        <w:t xml:space="preserve">How to send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the address.</w:t>
      </w:r>
      <w:r>
        <w:t xml:space="preserve"> </w:t>
      </w:r>
      <w:r>
        <w:t xml:space="preserve">Each journal page lists an editorial office email or an</w:t>
      </w:r>
      <w:r>
        <w:t xml:space="preserve"> </w:t>
      </w:r>
      <w:r>
        <w:t xml:space="preserve">Editor-in-Chief. Springer journals usually have a</w:t>
      </w:r>
      <w:r>
        <w:t xml:space="preserve"> </w:t>
      </w:r>
      <w:r>
        <w:t xml:space="preserve">“Contact the journal”</w:t>
      </w:r>
      <w:r>
        <w:t xml:space="preserve"> </w:t>
      </w:r>
      <w:r>
        <w:t xml:space="preserve">link;</w:t>
      </w:r>
      <w:r>
        <w:t xml:space="preserve"> </w:t>
      </w:r>
      <w:r>
        <w:t xml:space="preserve">Elsevier journals list the editorial office under</w:t>
      </w:r>
      <w:r>
        <w:t xml:space="preserve"> </w:t>
      </w:r>
      <w:r>
        <w:t xml:space="preserve">“Editorial board”</w:t>
      </w:r>
      <w:r>
        <w:t xml:space="preserve"> </w:t>
      </w:r>
      <w:r>
        <w:t xml:space="preserve">or in the</w:t>
      </w:r>
      <w:r>
        <w:t xml:space="preserve"> </w:t>
      </w:r>
      <w:r>
        <w:t xml:space="preserve">guide for authors. If only a form exists, paste the text into the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 line:</w:t>
      </w:r>
      <w:r>
        <w:t xml:space="preserve"> </w:t>
      </w:r>
      <w:r>
        <w:rPr>
          <w:rStyle w:val="VerbatimChar"/>
        </w:rPr>
        <w:t xml:space="preserve">Pre-submission inquiry: TCR specificity benchmark, negative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it under 250 words.</w:t>
      </w:r>
      <w:r>
        <w:t xml:space="preserve"> </w:t>
      </w:r>
      <w:r>
        <w:t xml:space="preserve">Editors skim. One paragraph on what you found, one</w:t>
      </w:r>
      <w:r>
        <w:t xml:space="preserve"> </w:t>
      </w:r>
      <w:r>
        <w:t xml:space="preserve">on why it might fit, one asking the question.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Attach nothing</w:t>
      </w:r>
      <w:r>
        <w:t xml:space="preserve">, or at most the abstract as plain text. Do not attach the</w:t>
      </w:r>
      <w:r>
        <w:t xml:space="preserve"> </w:t>
      </w:r>
      <w:r>
        <w:t xml:space="preserve">manuscript.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Include the preprint DOI</w:t>
      </w:r>
      <w:r>
        <w:t xml:space="preserve"> </w:t>
      </w:r>
      <w:r>
        <w:t xml:space="preserve">once you have it. It lets an editor read the whole</w:t>
      </w:r>
      <w:r>
        <w:t xml:space="preserve"> </w:t>
      </w:r>
      <w:r>
        <w:t xml:space="preserve">paper in one click if interested, which is the best possible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 all of them the same day.</w:t>
      </w:r>
      <w:r>
        <w:t xml:space="preserve"> </w:t>
      </w:r>
      <w:r>
        <w:t xml:space="preserve">Inquiries are not exclusive; submissions 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Silence for two weeks means no.</w:t>
      </w:r>
      <w:r>
        <w:t xml:space="preserve"> </w:t>
      </w:r>
      <w:r>
        <w:t xml:space="preserve">Move on without following up.</w:t>
      </w:r>
    </w:p>
    <w:bookmarkEnd w:id="9"/>
    <w:bookmarkStart w:id="10" w:name="reading-the-reply"/>
    <w:p>
      <w:pPr>
        <w:pStyle w:val="Heading2"/>
      </w:pPr>
      <w:r>
        <w:t xml:space="preserve">Reading the reply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“Please submit”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“this sounds within scope”</w:t>
      </w:r>
      <w:r>
        <w:t xml:space="preserve"> </w:t>
      </w:r>
      <w:r>
        <w:t xml:space="preserve">— submit there first.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“We would consider it but note that…”</w:t>
      </w:r>
      <w:r>
        <w:t xml:space="preserve"> </w:t>
      </w:r>
      <w:r>
        <w:t xml:space="preserve">— a real signal. Address the concern</w:t>
      </w:r>
      <w:r>
        <w:t xml:space="preserve"> </w:t>
      </w:r>
      <w:r>
        <w:t xml:space="preserve">in the cover letter.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“Not within our scope”</w:t>
      </w:r>
      <w:r>
        <w:t xml:space="preserve"> </w:t>
      </w:r>
      <w:r>
        <w:t xml:space="preserve">— costs you nothing, saves you six weeks.</w:t>
      </w:r>
    </w:p>
    <w:p>
      <w:pPr>
        <w:pStyle w:val="Compact"/>
        <w:numPr>
          <w:ilvl w:val="0"/>
          <w:numId w:val="1002"/>
        </w:numPr>
      </w:pPr>
      <w:r>
        <w:t xml:space="preserve">Several rejections on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grounds, rather than quality, is evidence the</w:t>
      </w:r>
      <w:r>
        <w:t xml:space="preserve"> </w:t>
      </w:r>
      <w:r>
        <w:t xml:space="preserve">natural home is ImmunoInformatics and the USD 1,900 is buying a receptive</w:t>
      </w:r>
      <w:r>
        <w:t xml:space="preserve"> </w:t>
      </w:r>
      <w:r>
        <w:t xml:space="preserve">audience rather than being a default cost.</w:t>
      </w:r>
    </w:p>
    <w:p>
      <w:r>
        <w:pict>
          <v:rect style="width:0;height:1.5pt" o:hralign="center" o:hrstd="t" o:hr="t"/>
        </w:pict>
      </w:r>
    </w:p>
    <w:bookmarkEnd w:id="10"/>
    <w:bookmarkStart w:id="11" w:name="X8f4cb513262d9d74e49c36d28eb4ab3dffb244b"/>
    <w:p>
      <w:pPr>
        <w:pStyle w:val="Heading2"/>
      </w:pPr>
      <w:r>
        <w:t xml:space="preserve">1. Immunogenetics (Springer) — recommended first</w:t>
      </w:r>
    </w:p>
    <w:p>
      <w:pPr>
        <w:pStyle w:val="BlockText"/>
      </w:pPr>
      <w:r>
        <w:t xml:space="preserve">Dear Editors,</w:t>
      </w:r>
    </w:p>
    <w:p>
      <w:pPr>
        <w:pStyle w:val="BlockText"/>
      </w:pPr>
      <w:r>
        <w:t xml:space="preserve">We would like to ask whether the following study falls within the scope of</w:t>
      </w:r>
      <w:r>
        <w:t xml:space="preserve"> </w:t>
      </w:r>
      <w:r>
        <w:rPr>
          <w:i/>
          <w:iCs/>
        </w:rPr>
        <w:t xml:space="preserve">Immunogenetics</w:t>
      </w:r>
      <w:r>
        <w:t xml:space="preserve">.</w:t>
      </w:r>
    </w:p>
    <w:p>
      <w:pPr>
        <w:pStyle w:val="BlockText"/>
      </w:pPr>
      <w:r>
        <w:t xml:space="preserve">We tested a published hypothesis: that segmenting TCR CDR3β along the boundaries</w:t>
      </w:r>
      <w:r>
        <w:t xml:space="preserve"> </w:t>
      </w:r>
      <w:r>
        <w:t xml:space="preserve">created by V(D)J recombination — germline-contributed termini and the junctional</w:t>
      </w:r>
      <w:r>
        <w:t xml:space="preserve"> </w:t>
      </w:r>
      <w:r>
        <w:t xml:space="preserve">N-region — yields receptor representations that generalize to epitopes absent</w:t>
      </w:r>
      <w:r>
        <w:t xml:space="preserve"> </w:t>
      </w:r>
      <w:r>
        <w:t xml:space="preserve">from training. Using 121,467 deduplicated human TCRβ clonotypes from VDJdb and</w:t>
      </w:r>
      <w:r>
        <w:t xml:space="preserve"> </w:t>
      </w:r>
      <w:r>
        <w:t xml:space="preserve">the official IMMREP23 benchmark scored with its official metric, we find that it</w:t>
      </w:r>
      <w:r>
        <w:t xml:space="preserve"> </w:t>
      </w:r>
      <w:r>
        <w:t xml:space="preserve">does not. More informative for your readership, we find that the advantage such</w:t>
      </w:r>
      <w:r>
        <w:t xml:space="preserve"> </w:t>
      </w:r>
      <w:r>
        <w:t xml:space="preserve">representations do show within the training distribution is explained almost</w:t>
      </w:r>
      <w:r>
        <w:t xml:space="preserve"> </w:t>
      </w:r>
      <w:r>
        <w:t xml:space="preserve">entirely by germline V and J segment identity rather than junctional sequence,</w:t>
      </w:r>
      <w:r>
        <w:t xml:space="preserve"> </w:t>
      </w:r>
      <w:r>
        <w:t xml:space="preserve">and that this holds across four negative-generation schemes, a six-point</w:t>
      </w:r>
      <w:r>
        <w:t xml:space="preserve"> </w:t>
      </w:r>
      <w:r>
        <w:t xml:space="preserve">learning curve, and a retrained NetTCR-2.2.</w:t>
      </w:r>
    </w:p>
    <w:p>
      <w:pPr>
        <w:pStyle w:val="BlockText"/>
      </w:pPr>
      <w:r>
        <w:t xml:space="preserve">Two further results may interest immunogeneticists independently: a</w:t>
      </w:r>
      <w:r>
        <w:t xml:space="preserve"> </w:t>
      </w:r>
      <w:r>
        <w:t xml:space="preserve">boundary-trim control showing that most apparent junctional structure sits at the</w:t>
      </w:r>
      <w:r>
        <w:t xml:space="preserve"> </w:t>
      </w:r>
      <w:r>
        <w:t xml:space="preserve">germline boundaries, and a demonstration that a single tetramer-sort study</w:t>
      </w:r>
      <w:r>
        <w:t xml:space="preserve"> </w:t>
      </w:r>
      <w:r>
        <w:t xml:space="preserve">contributing 79.5% of one epitope’s clonotypes manufactures a convincing but</w:t>
      </w:r>
      <w:r>
        <w:t xml:space="preserve"> </w:t>
      </w:r>
      <w:r>
        <w:t xml:space="preserve">artefactual specificity signature.</w:t>
      </w:r>
    </w:p>
    <w:p>
      <w:pPr>
        <w:pStyle w:val="BlockText"/>
      </w:pPr>
      <w:r>
        <w:t xml:space="preserve">All analyses are implemented in the Python standard library, are deterministic</w:t>
      </w:r>
      <w:r>
        <w:t xml:space="preserve"> </w:t>
      </w:r>
      <w:r>
        <w:t xml:space="preserve">under fixed seeds, and are openly available. A preprint is deposited at bioRxiv</w:t>
      </w:r>
      <w:r>
        <w:t xml:space="preserve"> </w:t>
      </w:r>
      <w:r>
        <w:t xml:space="preserve">[DOI].</w:t>
      </w:r>
    </w:p>
    <w:p>
      <w:pPr>
        <w:pStyle w:val="BlockText"/>
      </w:pPr>
      <w:r>
        <w:t xml:space="preserve">Would this be of interest? We are unaffiliated researchers and would rather ask</w:t>
      </w:r>
      <w:r>
        <w:t xml:space="preserve"> </w:t>
      </w:r>
      <w:r>
        <w:t xml:space="preserve">than presume.</w:t>
      </w:r>
    </w:p>
    <w:p>
      <w:pPr>
        <w:pStyle w:val="BlockText"/>
      </w:pPr>
      <w:r>
        <w:t xml:space="preserve">Sincerely,</w:t>
      </w:r>
      <w:r>
        <w:t xml:space="preserve"> </w:t>
      </w:r>
      <w:r>
        <w:t xml:space="preserve">Erick Tejkowski (ORCID 0009-0006-9879-0777)</w:t>
      </w:r>
      <w:r>
        <w:t xml:space="preserve"> </w:t>
      </w:r>
      <w:r>
        <w:t xml:space="preserve">Maria Elisa Paredes (ORCID 0009-0007-4967-8612)</w:t>
      </w:r>
      <w:r>
        <w:t xml:space="preserve"> </w:t>
      </w:r>
      <w:r>
        <w:t xml:space="preserve">erick.tejkowski@gmail.com</w:t>
      </w:r>
    </w:p>
    <w:bookmarkEnd w:id="11"/>
    <w:bookmarkStart w:id="12" w:name="X486f2a59c489178d82c083843b40de19183e310"/>
    <w:p>
      <w:pPr>
        <w:pStyle w:val="Heading2"/>
      </w:pPr>
      <w:r>
        <w:t xml:space="preserve">2. Computers in Biology and Medicine (Elsevier)</w:t>
      </w:r>
    </w:p>
    <w:p>
      <w:pPr>
        <w:pStyle w:val="FirstParagraph"/>
      </w:pPr>
      <w:r>
        <w:t xml:space="preserve">Same study, framed as evaluation practice rather than immunogenetics.</w:t>
      </w:r>
    </w:p>
    <w:p>
      <w:pPr>
        <w:pStyle w:val="BlockText"/>
      </w:pPr>
      <w:r>
        <w:t xml:space="preserve">Dear Editors,</w:t>
      </w:r>
    </w:p>
    <w:p>
      <w:pPr>
        <w:pStyle w:val="BlockText"/>
      </w:pPr>
      <w:r>
        <w:t xml:space="preserve">We would like to ask whether the following study falls within the scope of</w:t>
      </w:r>
      <w:r>
        <w:t xml:space="preserve"> </w:t>
      </w:r>
      <w:r>
        <w:rPr>
          <w:i/>
          <w:iCs/>
        </w:rPr>
        <w:t xml:space="preserve">Computers in Biology and Medicine</w:t>
      </w:r>
      <w:r>
        <w:t xml:space="preserve">.</w:t>
      </w:r>
    </w:p>
    <w:p>
      <w:pPr>
        <w:pStyle w:val="BlockText"/>
      </w:pPr>
      <w:r>
        <w:t xml:space="preserve">T-cell receptor specificity predictors perform well on epitopes seen during</w:t>
      </w:r>
      <w:r>
        <w:t xml:space="preserve"> </w:t>
      </w:r>
      <w:r>
        <w:t xml:space="preserve">training and collapse to chance on unseen ones. We tested whether biologically</w:t>
      </w:r>
      <w:r>
        <w:t xml:space="preserve"> </w:t>
      </w:r>
      <w:r>
        <w:t xml:space="preserve">informed receptor representations close that gap, on the official IMMREP23</w:t>
      </w:r>
      <w:r>
        <w:t xml:space="preserve"> </w:t>
      </w:r>
      <w:r>
        <w:t xml:space="preserve">benchmark with its official metric. They do not: no method we evaluated exceeds</w:t>
      </w:r>
      <w:r>
        <w:t xml:space="preserve"> </w:t>
      </w:r>
      <w:r>
        <w:t xml:space="preserve">0.52 Macro AUC0.1 on the seven test peptides absent from training, including a</w:t>
      </w:r>
      <w:r>
        <w:t xml:space="preserve"> </w:t>
      </w:r>
      <w:r>
        <w:t xml:space="preserve">published convolutional network retrained on the identical split, which reaches</w:t>
      </w:r>
      <w:r>
        <w:t xml:space="preserve"> </w:t>
      </w:r>
      <w:r>
        <w:t xml:space="preserve">0.92 AUC on its own validation pairs.</w:t>
      </w:r>
    </w:p>
    <w:p>
      <w:pPr>
        <w:pStyle w:val="BlockText"/>
      </w:pPr>
      <w:r>
        <w:t xml:space="preserve">The methodological findings may be the more transferable contribution. First, a</w:t>
      </w:r>
      <w:r>
        <w:t xml:space="preserve"> </w:t>
      </w:r>
      <w:r>
        <w:t xml:space="preserve">six-point learning curve shows the representation’s advantage rising</w:t>
      </w:r>
      <w:r>
        <w:t xml:space="preserve"> </w:t>
      </w:r>
      <w:r>
        <w:t xml:space="preserve">monotonically with training size while a baseline stays flat — so a fixed-size</w:t>
      </w:r>
      <w:r>
        <w:t xml:space="preserve"> </w:t>
      </w:r>
      <w:r>
        <w:t xml:space="preserve">comparison cannot distinguish a better representation from a more data-efficient</w:t>
      </w:r>
      <w:r>
        <w:t xml:space="preserve"> </w:t>
      </w:r>
      <w:r>
        <w:t xml:space="preserve">one, which has implications for how representational claims in this field are</w:t>
      </w:r>
      <w:r>
        <w:t xml:space="preserve"> </w:t>
      </w:r>
      <w:r>
        <w:t xml:space="preserve">evaluated. Second, we show how single-study composition in public databases can</w:t>
      </w:r>
      <w:r>
        <w:t xml:space="preserve"> </w:t>
      </w:r>
      <w:r>
        <w:t xml:space="preserve">manufacture apparent biological signal.</w:t>
      </w:r>
    </w:p>
    <w:p>
      <w:pPr>
        <w:pStyle w:val="BlockText"/>
      </w:pPr>
      <w:r>
        <w:t xml:space="preserve">Every analysis is deterministic and reproducible from public code in minutes on a</w:t>
      </w:r>
      <w:r>
        <w:t xml:space="preserve"> </w:t>
      </w:r>
      <w:r>
        <w:t xml:space="preserve">laptop. A preprint is deposited at bioRxiv [DOI].</w:t>
      </w:r>
    </w:p>
    <w:p>
      <w:pPr>
        <w:pStyle w:val="BlockText"/>
      </w:pPr>
      <w:r>
        <w:t xml:space="preserve">Would a rigorous negative result of this kind be of interest?</w:t>
      </w:r>
    </w:p>
    <w:p>
      <w:pPr>
        <w:pStyle w:val="BlockText"/>
      </w:pPr>
      <w:r>
        <w:t xml:space="preserve">Sincerely,</w:t>
      </w:r>
      <w:r>
        <w:t xml:space="preserve"> </w:t>
      </w:r>
      <w:r>
        <w:t xml:space="preserve">[as above]</w:t>
      </w:r>
    </w:p>
    <w:bookmarkEnd w:id="12"/>
    <w:bookmarkStart w:id="13" w:name="molecular-immunology-elsevier"/>
    <w:p>
      <w:pPr>
        <w:pStyle w:val="Heading2"/>
      </w:pPr>
      <w:r>
        <w:t xml:space="preserve">3. Molecular Immunology (Elsevier)</w:t>
      </w:r>
    </w:p>
    <w:p>
      <w:pPr>
        <w:pStyle w:val="BlockText"/>
      </w:pPr>
      <w:r>
        <w:t xml:space="preserve">Dear Editors,</w:t>
      </w:r>
    </w:p>
    <w:p>
      <w:pPr>
        <w:pStyle w:val="BlockText"/>
      </w:pPr>
      <w:r>
        <w:t xml:space="preserve">We would like to ask whether the following study falls within the scope of</w:t>
      </w:r>
      <w:r>
        <w:t xml:space="preserve"> </w:t>
      </w:r>
      <w:r>
        <w:rPr>
          <w:i/>
          <w:iCs/>
        </w:rPr>
        <w:t xml:space="preserve">Molecular Immunology</w:t>
      </w:r>
      <w:r>
        <w:t xml:space="preserve">.</w:t>
      </w:r>
    </w:p>
    <w:p>
      <w:pPr>
        <w:pStyle w:val="BlockText"/>
      </w:pPr>
      <w:r>
        <w:t xml:space="preserve">V(D)J recombination joins germline segments with non-templated junctional</w:t>
      </w:r>
      <w:r>
        <w:t xml:space="preserve"> </w:t>
      </w:r>
      <w:r>
        <w:t xml:space="preserve">insertion, concentrating receptor diversity in CDR3. We asked whether the</w:t>
      </w:r>
      <w:r>
        <w:t xml:space="preserve"> </w:t>
      </w:r>
      <w:r>
        <w:t xml:space="preserve">junctional region carries organization beyond composition, and whether exposing</w:t>
      </w:r>
      <w:r>
        <w:t xml:space="preserve"> </w:t>
      </w:r>
      <w:r>
        <w:t xml:space="preserve">it improves prediction of which epitope a receptor recognizes. It does carry</w:t>
      </w:r>
      <w:r>
        <w:t xml:space="preserve"> </w:t>
      </w:r>
      <w:r>
        <w:t xml:space="preserve">reproducible order-dependent structure across 79 held-out studies — though a</w:t>
      </w:r>
      <w:r>
        <w:t xml:space="preserve"> </w:t>
      </w:r>
      <w:r>
        <w:t xml:space="preserve">boundary-trim control shows most of that signal sits at the germline boundaries</w:t>
      </w:r>
      <w:r>
        <w:t xml:space="preserve"> </w:t>
      </w:r>
      <w:r>
        <w:t xml:space="preserve">rather than in the junctional interior. It does not improve prediction for</w:t>
      </w:r>
      <w:r>
        <w:t xml:space="preserve"> </w:t>
      </w:r>
      <w:r>
        <w:t xml:space="preserve">epitopes absent from training, and the advantage seen for represented epitopes is</w:t>
      </w:r>
      <w:r>
        <w:t xml:space="preserve"> </w:t>
      </w:r>
      <w:r>
        <w:t xml:space="preserve">explained by germline V and J identity rather than junctional sequence.</w:t>
      </w:r>
    </w:p>
    <w:p>
      <w:pPr>
        <w:pStyle w:val="BlockText"/>
      </w:pPr>
      <w:r>
        <w:t xml:space="preserve">We also document a data-quality issue with direct bearing on repertoire studies:</w:t>
      </w:r>
      <w:r>
        <w:t xml:space="preserve"> </w:t>
      </w:r>
      <w:r>
        <w:t xml:space="preserve">for one of the three most-studied epitopes, a single study contributes 79.5% of</w:t>
      </w:r>
      <w:r>
        <w:t xml:space="preserve"> </w:t>
      </w:r>
      <w:r>
        <w:t xml:space="preserve">clonotypes, and its junctional regions are 10.8% cysteine-containing against</w:t>
      </w:r>
      <w:r>
        <w:t xml:space="preserve"> </w:t>
      </w:r>
      <w:r>
        <w:t xml:space="preserve">0.4–0.6% elsewhere, producing a specificity signature that is experimental rather</w:t>
      </w:r>
      <w:r>
        <w:t xml:space="preserve"> </w:t>
      </w:r>
      <w:r>
        <w:t xml:space="preserve">than immunological.</w:t>
      </w:r>
    </w:p>
    <w:p>
      <w:pPr>
        <w:pStyle w:val="BlockText"/>
      </w:pPr>
      <w:r>
        <w:t xml:space="preserve">All code and data are public and the analyses are deterministic. A preprint is</w:t>
      </w:r>
      <w:r>
        <w:t xml:space="preserve"> </w:t>
      </w:r>
      <w:r>
        <w:t xml:space="preserve">deposited at bioRxiv [DOI].</w:t>
      </w:r>
    </w:p>
    <w:p>
      <w:pPr>
        <w:pStyle w:val="BlockText"/>
      </w:pPr>
      <w:r>
        <w:t xml:space="preserve">Would this be of interest?</w:t>
      </w:r>
    </w:p>
    <w:p>
      <w:pPr>
        <w:pStyle w:val="BlockText"/>
      </w:pPr>
      <w:r>
        <w:t xml:space="preserve">Sincerely,</w:t>
      </w:r>
      <w:r>
        <w:t xml:space="preserve"> </w:t>
      </w:r>
      <w:r>
        <w:t xml:space="preserve">[as above]</w:t>
      </w:r>
    </w:p>
    <w:bookmarkEnd w:id="13"/>
    <w:bookmarkStart w:id="14" w:name="X302f28bbf5c4297ff68e44d096ee4cd02b516f0"/>
    <w:p>
      <w:pPr>
        <w:pStyle w:val="Heading2"/>
      </w:pPr>
      <w:r>
        <w:t xml:space="preserve">4. ImmunoInformatics (Elsevier) — hold in reserve</w:t>
      </w:r>
    </w:p>
    <w:p>
      <w:pPr>
        <w:pStyle w:val="FirstParagraph"/>
      </w:pPr>
      <w:r>
        <w:t xml:space="preserve">Only send this if the free venues decline on scope. No inquiry is really needed —</w:t>
      </w:r>
      <w:r>
        <w:t xml:space="preserve"> </w:t>
      </w:r>
      <w:r>
        <w:t xml:space="preserve">they publish the IMMREP post-mortems, so scope is not in doubt — but it is worth</w:t>
      </w:r>
      <w:r>
        <w:t xml:space="preserve"> </w:t>
      </w:r>
      <w:r>
        <w:t xml:space="preserve">asking about a fee waiver in the same message.</w:t>
      </w:r>
    </w:p>
    <w:p>
      <w:pPr>
        <w:pStyle w:val="BlockText"/>
      </w:pPr>
      <w:r>
        <w:t xml:space="preserve">Dear Editors,</w:t>
      </w:r>
    </w:p>
    <w:p>
      <w:pPr>
        <w:pStyle w:val="BlockText"/>
      </w:pPr>
      <w:r>
        <w:t xml:space="preserve">We have completed a direct test of a published hypothesis and believe</w:t>
      </w:r>
      <w:r>
        <w:t xml:space="preserve"> </w:t>
      </w:r>
      <w:r>
        <w:rPr>
          <w:i/>
          <w:iCs/>
        </w:rPr>
        <w:t xml:space="preserve">ImmunoInformatics</w:t>
      </w:r>
      <w:r>
        <w:t xml:space="preserve"> </w:t>
      </w:r>
      <w:r>
        <w:t xml:space="preserve">may be its natural home, given the journal’s role in</w:t>
      </w:r>
      <w:r>
        <w:t xml:space="preserve"> </w:t>
      </w:r>
      <w:r>
        <w:t xml:space="preserve">publishing the IMMREP benchmark reports.</w:t>
      </w:r>
    </w:p>
    <w:p>
      <w:pPr>
        <w:pStyle w:val="BlockText"/>
      </w:pPr>
      <w:r>
        <w:t xml:space="preserve">Vu et al. (</w:t>
      </w:r>
      <w:r>
        <w:rPr>
          <w:i/>
          <w:iCs/>
        </w:rPr>
        <w:t xml:space="preserve">Nat Comput Sci</w:t>
      </w:r>
      <w:r>
        <w:t xml:space="preserve">, 2024) argued that receptor language models fail</w:t>
      </w:r>
      <w:r>
        <w:t xml:space="preserve"> </w:t>
      </w:r>
      <w:r>
        <w:t xml:space="preserve">partly because their tokenization encodes no immune-specific structure, and</w:t>
      </w:r>
      <w:r>
        <w:t xml:space="preserve"> </w:t>
      </w:r>
      <w:r>
        <w:t xml:space="preserve">invited an implementation. We implemented it: CDR3β segmented into</w:t>
      </w:r>
      <w:r>
        <w:t xml:space="preserve"> </w:t>
      </w:r>
      <w:r>
        <w:t xml:space="preserve">germline-contributed termini and the junctional N-region. On the official</w:t>
      </w:r>
      <w:r>
        <w:t xml:space="preserve"> </w:t>
      </w:r>
      <w:r>
        <w:t xml:space="preserve">IMMREP23 data and metric, no method we evaluated exceeds 0.52 Macro AUC0.1 on the</w:t>
      </w:r>
      <w:r>
        <w:t xml:space="preserve"> </w:t>
      </w:r>
      <w:r>
        <w:t xml:space="preserve">seven unseen peptides, including a retrained NetTCR-2.2, and the</w:t>
      </w:r>
      <w:r>
        <w:t xml:space="preserve"> </w:t>
      </w:r>
      <w:r>
        <w:t xml:space="preserve">within-distribution advantage is explained by germline V/J identity rather than</w:t>
      </w:r>
      <w:r>
        <w:t xml:space="preserve"> </w:t>
      </w:r>
      <w:r>
        <w:t xml:space="preserve">junctional sequence. Controls include a permuted-label capacity control, a</w:t>
      </w:r>
      <w:r>
        <w:t xml:space="preserve"> </w:t>
      </w:r>
      <w:r>
        <w:t xml:space="preserve">size-matched negative control, a boundary-trim control, and a seen-epitope</w:t>
      </w:r>
      <w:r>
        <w:t xml:space="preserve"> </w:t>
      </w:r>
      <w:r>
        <w:t xml:space="preserve">positive control at 0.71 AUC.</w:t>
      </w:r>
    </w:p>
    <w:p>
      <w:pPr>
        <w:pStyle w:val="BlockText"/>
      </w:pPr>
      <w:r>
        <w:t xml:space="preserve">Two questions. First, would the journal consider a negative result of this kind?</w:t>
      </w:r>
      <w:r>
        <w:t xml:space="preserve"> </w:t>
      </w:r>
      <w:r>
        <w:t xml:space="preserve">Second, we are unaffiliated researchers with no funding of any kind, and we would</w:t>
      </w:r>
      <w:r>
        <w:t xml:space="preserve"> </w:t>
      </w:r>
      <w:r>
        <w:t xml:space="preserve">like to ask whether an article publishing charge waiver may be available.</w:t>
      </w:r>
    </w:p>
    <w:p>
      <w:pPr>
        <w:pStyle w:val="BlockText"/>
      </w:pPr>
      <w:r>
        <w:t xml:space="preserve">A preprint is deposited at bioRxiv [DOI].</w:t>
      </w:r>
    </w:p>
    <w:p>
      <w:pPr>
        <w:pStyle w:val="BlockText"/>
      </w:pPr>
      <w:r>
        <w:t xml:space="preserve">Sincerely,</w:t>
      </w:r>
      <w:r>
        <w:t xml:space="preserve"> </w:t>
      </w:r>
      <w:r>
        <w:t xml:space="preserve">[as above]</w:t>
      </w:r>
    </w:p>
    <w:p>
      <w:r>
        <w:pict>
          <v:rect style="width:0;height:1.5pt" o:hralign="center" o:hrstd="t" o:hr="t"/>
        </w:pict>
      </w:r>
    </w:p>
    <w:bookmarkEnd w:id="14"/>
    <w:bookmarkStart w:id="15" w:name="before-sending"/>
    <w:p>
      <w:pPr>
        <w:pStyle w:val="Heading2"/>
      </w:pPr>
      <w:r>
        <w:t xml:space="preserve">Before sending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[DOI]</w:t>
      </w:r>
      <w:r>
        <w:t xml:space="preserve"> </w:t>
      </w:r>
      <w:r>
        <w:t xml:space="preserve">in each with the bioRxiv DOI once it arrives. Every number quoted</w:t>
      </w:r>
      <w:r>
        <w:t xml:space="preserve"> </w:t>
      </w:r>
      <w:r>
        <w:t xml:space="preserve">above appears in the manuscript and reproduces from the code — none of these</w:t>
      </w:r>
      <w:r>
        <w:t xml:space="preserve"> </w:t>
      </w:r>
      <w:r>
        <w:t xml:space="preserve">emails claims anything the paper does not support.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2026-08-03T19:30:27Z</dcterms:created>
  <dcterms:modified xsi:type="dcterms:W3CDTF">2026-08-03T19:30:27Z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