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ew2oo8tr713" w:id="0"/>
      <w:bookmarkEnd w:id="0"/>
      <w:r w:rsidDel="00000000" w:rsidR="00000000" w:rsidRPr="00000000">
        <w:rPr>
          <w:rtl w:val="0"/>
        </w:rPr>
        <w:t xml:space="preserve">RealGold Knowledge — Content Layer 1: The DST, 1031 Eligibility &amp; Ownership Mechanics</w:t>
      </w:r>
    </w:p>
    <w:p w:rsidR="00000000" w:rsidDel="00000000" w:rsidP="00000000" w:rsidRDefault="00000000" w:rsidRPr="00000000" w14:paraId="00000002">
      <w:pPr>
        <w:ind w:left="600" w:right="600" w:firstLine="0"/>
        <w:rPr/>
      </w:pPr>
      <w:r w:rsidDel="00000000" w:rsidR="00000000" w:rsidRPr="00000000">
        <w:rPr>
          <w:rtl w:val="0"/>
        </w:rPr>
        <w:t xml:space="preserve">This is the DEEP knowledge layer on the Delaware Statutory Trust, its Section 1031 eligibility, and what a holder actually owns. It sits beneath the control layer (guardrails file) and supplies the substance the Assistant reasons from. The Assistant must still obey all Part 1 guardrails — in particular: describe structure, never promise a tax outcome; "tax-deferred" not "tax-free"; route specifics to the team. Where this document states what the structure is </w:t>
      </w:r>
      <w:r w:rsidDel="00000000" w:rsidR="00000000" w:rsidRPr="00000000">
        <w:rPr>
          <w:i w:val="1"/>
          <w:iCs w:val="1"/>
          <w:rtl w:val="0"/>
        </w:rPr>
        <w:t xml:space="preserve">designed</w:t>
      </w:r>
      <w:r w:rsidDel="00000000" w:rsidR="00000000" w:rsidRPr="00000000">
        <w:rPr>
          <w:rtl w:val="0"/>
        </w:rPr>
        <w:t xml:space="preserve"> or </w:t>
      </w:r>
      <w:r w:rsidDel="00000000" w:rsidR="00000000" w:rsidRPr="00000000">
        <w:rPr>
          <w:i w:val="1"/>
          <w:iCs w:val="1"/>
          <w:rtl w:val="0"/>
        </w:rPr>
        <w:t xml:space="preserve">intended</w:t>
      </w:r>
      <w:r w:rsidDel="00000000" w:rsidR="00000000" w:rsidRPr="00000000">
        <w:rPr>
          <w:rtl w:val="0"/>
        </w:rPr>
        <w:t xml:space="preserve"> to do, the Assistant must preserve that hedged framing and never upgrade it into a guarantee.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y91eetdw2na" w:id="1"/>
      <w:bookmarkEnd w:id="1"/>
      <w:r w:rsidDel="00000000" w:rsidR="00000000" w:rsidRPr="00000000">
        <w:rPr>
          <w:rtl w:val="0"/>
        </w:rPr>
        <w:t xml:space="preserve">1. WHAT A BENEFICIAL OWNER ACTUALLY OWNS</w:t>
      </w:r>
    </w:p>
    <w:p w:rsidR="00000000" w:rsidDel="00000000" w:rsidP="00000000" w:rsidRDefault="00000000" w:rsidRPr="00000000" w14:paraId="00000006">
      <w:pPr>
        <w:rPr/>
      </w:pPr>
      <w:r w:rsidDel="00000000" w:rsidR="00000000" w:rsidRPr="00000000">
        <w:rPr>
          <w:rtl w:val="0"/>
        </w:rPr>
        <w:t xml:space="preserve">A holder of units in the Courbet RealGold Delaware Statutory Trust owns a </w:t>
      </w:r>
      <w:r w:rsidDel="00000000" w:rsidR="00000000" w:rsidRPr="00000000">
        <w:rPr>
          <w:b w:val="1"/>
          <w:bCs w:val="1"/>
          <w:rtl w:val="0"/>
        </w:rPr>
        <w:t xml:space="preserve">fractional, undivided beneficial interest</w:t>
      </w:r>
      <w:r w:rsidDel="00000000" w:rsidR="00000000" w:rsidRPr="00000000">
        <w:rPr>
          <w:rtl w:val="0"/>
        </w:rPr>
        <w:t xml:space="preserve"> in the Trust. Because the Trust is structured as a </w:t>
      </w:r>
      <w:r w:rsidDel="00000000" w:rsidR="00000000" w:rsidRPr="00000000">
        <w:rPr>
          <w:b w:val="1"/>
          <w:bCs w:val="1"/>
          <w:rtl w:val="0"/>
        </w:rPr>
        <w:t xml:space="preserve">grantor trust</w:t>
      </w:r>
      <w:r w:rsidDel="00000000" w:rsidR="00000000" w:rsidRPr="00000000">
        <w:rPr>
          <w:rtl w:val="0"/>
        </w:rPr>
        <w:t xml:space="preserve"> for federal income tax purposes, each beneficial owner is treated, for federal tax purposes, as if they </w:t>
      </w:r>
      <w:r w:rsidDel="00000000" w:rsidR="00000000" w:rsidRPr="00000000">
        <w:rPr>
          <w:b w:val="1"/>
          <w:bCs w:val="1"/>
          <w:rtl w:val="0"/>
        </w:rPr>
        <w:t xml:space="preserve">directly own a proportionate undivided interest in the Trust's underlying real property</w:t>
      </w:r>
      <w:r w:rsidDel="00000000" w:rsidR="00000000" w:rsidRPr="00000000">
        <w:rPr>
          <w:rtl w:val="0"/>
        </w:rPr>
        <w:t xml:space="preserve"> — not as a shareholder, partner, or member of a separate taxable entity.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the structural keystone. Grantor-trust status is what makes the beneficial interest a </w:t>
      </w:r>
      <w:r w:rsidDel="00000000" w:rsidR="00000000" w:rsidRPr="00000000">
        <w:rPr>
          <w:i w:val="1"/>
          <w:iCs w:val="1"/>
          <w:rtl w:val="0"/>
        </w:rPr>
        <w:t xml:space="preserve">direct real property interest</w:t>
      </w:r>
      <w:r w:rsidDel="00000000" w:rsidR="00000000" w:rsidRPr="00000000">
        <w:rPr>
          <w:rtl w:val="0"/>
        </w:rPr>
        <w:t xml:space="preserve"> rather than an </w:t>
      </w:r>
      <w:r w:rsidDel="00000000" w:rsidR="00000000" w:rsidRPr="00000000">
        <w:rPr>
          <w:i w:val="1"/>
          <w:iCs w:val="1"/>
          <w:rtl w:val="0"/>
        </w:rPr>
        <w:t xml:space="preserve">interest in an entity that holds real property</w:t>
      </w:r>
      <w:r w:rsidDel="00000000" w:rsidR="00000000" w:rsidRPr="00000000">
        <w:rPr>
          <w:rtl w:val="0"/>
        </w:rPr>
        <w:t xml:space="preserve"> — and only a direct real property interest can qualify for Section 1031 treatment.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Authorized units:</w:t>
      </w:r>
      <w:r w:rsidDel="00000000" w:rsidR="00000000" w:rsidRPr="00000000">
        <w:rPr>
          <w:rtl w:val="0"/>
        </w:rPr>
        <w:t xml:space="preserve"> The Trust's authorized distributable unit count is </w:t>
      </w:r>
      <w:r w:rsidDel="00000000" w:rsidR="00000000" w:rsidRPr="00000000">
        <w:rPr>
          <w:b w:val="1"/>
          <w:bCs w:val="1"/>
          <w:rtl w:val="0"/>
        </w:rPr>
        <w:t xml:space="preserve">12,250 units</w:t>
      </w:r>
      <w:r w:rsidDel="00000000" w:rsidR="00000000" w:rsidRPr="00000000">
        <w:rPr>
          <w:rtl w:val="0"/>
        </w:rPr>
        <w:t xml:space="preserve">, each representing a fractional undivided beneficial interest in the Trust's aggregate Earth Block holdings (the certified mineral estate).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underlying asset is a defined, </w:t>
      </w:r>
      <w:r w:rsidDel="00000000" w:rsidR="00000000" w:rsidRPr="00000000">
        <w:rPr>
          <w:b w:val="1"/>
          <w:bCs w:val="1"/>
          <w:rtl w:val="0"/>
        </w:rPr>
        <w:t xml:space="preserve">passive, non-operating Mineral Estate</w:t>
      </w:r>
      <w:r w:rsidDel="00000000" w:rsidR="00000000" w:rsidRPr="00000000">
        <w:rPr>
          <w:rtl w:val="0"/>
        </w:rPr>
        <w:t xml:space="preserve"> in a single property — the Courbet Mine Complex, Esmeralda County, Nevada.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88w2r03r1uj2" w:id="2"/>
      <w:bookmarkEnd w:id="2"/>
      <w:r w:rsidDel="00000000" w:rsidR="00000000" w:rsidRPr="00000000">
        <w:rPr>
          <w:rtl w:val="0"/>
        </w:rPr>
        <w:t xml:space="preserve">2. WHY THIS IS A "NEW KIND OF DST"</w:t>
      </w:r>
    </w:p>
    <w:p w:rsidR="00000000" w:rsidDel="00000000" w:rsidP="00000000" w:rsidRDefault="00000000" w:rsidRPr="00000000" w14:paraId="00000010">
      <w:pPr>
        <w:rPr/>
      </w:pPr>
      <w:r w:rsidDel="00000000" w:rsidR="00000000" w:rsidRPr="00000000">
        <w:rPr>
          <w:rtl w:val="0"/>
        </w:rPr>
        <w:t xml:space="preserve">This is one of the strongest and most defensible parts of the story for a sophisticated audience, because it's a genuine structural distinction, not marketing.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Traditional DSTs</w:t>
      </w:r>
      <w:r w:rsidDel="00000000" w:rsidR="00000000" w:rsidRPr="00000000">
        <w:rPr>
          <w:rtl w:val="0"/>
        </w:rPr>
        <w:t xml:space="preserve"> hold </w:t>
      </w:r>
      <w:r w:rsidDel="00000000" w:rsidR="00000000" w:rsidRPr="00000000">
        <w:rPr>
          <w:i w:val="1"/>
          <w:iCs w:val="1"/>
          <w:rtl w:val="0"/>
        </w:rPr>
        <w:t xml:space="preserve">operating, depreciating</w:t>
      </w:r>
      <w:r w:rsidDel="00000000" w:rsidR="00000000" w:rsidRPr="00000000">
        <w:rPr>
          <w:rtl w:val="0"/>
        </w:rPr>
        <w:t xml:space="preserve"> real estate — apartment buildings, office parks, retail centers. That nature forces several consequences: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They typically terminate in 5–10 years because the asset forces it.</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They usually require a </w:t>
      </w:r>
      <w:r w:rsidDel="00000000" w:rsidR="00000000" w:rsidRPr="00000000">
        <w:rPr>
          <w:b w:val="1"/>
          <w:bCs w:val="1"/>
          <w:rtl w:val="0"/>
        </w:rPr>
        <w:t xml:space="preserve">master lease</w:t>
      </w:r>
      <w:r w:rsidDel="00000000" w:rsidR="00000000" w:rsidRPr="00000000">
        <w:rPr>
          <w:rtl w:val="0"/>
        </w:rPr>
        <w:t xml:space="preserve"> structure (DST leases to a master tenant who operates and pays rent) to move income through the trust.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Beneficial owners face depreciation recapture on exit, annual rental income creating a tax burden, and a "1031 treadmill" of repeating the exchange each cycle.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The RealGold DST</w:t>
      </w:r>
      <w:r w:rsidDel="00000000" w:rsidR="00000000" w:rsidRPr="00000000">
        <w:rPr>
          <w:rtl w:val="0"/>
        </w:rPr>
        <w:t xml:space="preserve"> holds </w:t>
      </w:r>
      <w:r w:rsidDel="00000000" w:rsidR="00000000" w:rsidRPr="00000000">
        <w:rPr>
          <w:i w:val="1"/>
          <w:iCs w:val="1"/>
          <w:rtl w:val="0"/>
        </w:rPr>
        <w:t xml:space="preserve">certified mineral real property</w:t>
      </w:r>
      <w:r w:rsidDel="00000000" w:rsidR="00000000" w:rsidRPr="00000000">
        <w:rPr>
          <w:rtl w:val="0"/>
        </w:rPr>
        <w:t xml:space="preserve"> — gold in the ground. The asset doesn't depreciate, has no tenants, requires no operations, and doesn't degrade. </w:t>
      </w:r>
      <w:r w:rsidDel="00000000" w:rsidR="00000000" w:rsidRPr="00000000">
        <w:rPr>
          <w:b w:val="1"/>
          <w:bCs w:val="1"/>
          <w:rtl w:val="0"/>
        </w:rPr>
        <w:t xml:space="preserve">The nature of the asset determines the nature of the DST.</w:t>
      </w:r>
      <w:r w:rsidDel="00000000" w:rsidR="00000000" w:rsidRPr="00000000">
        <w:rPr>
          <w:rtl w:val="0"/>
        </w:rPr>
        <w:t xml:space="preserve"> Consequences: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Perpetual hold</w:t>
      </w:r>
      <w:r w:rsidDel="00000000" w:rsidR="00000000" w:rsidRPr="00000000">
        <w:rPr>
          <w:rtl w:val="0"/>
        </w:rPr>
        <w:t xml:space="preserve"> — no forced termination.</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No master lease</w:t>
      </w:r>
      <w:r w:rsidDel="00000000" w:rsidR="00000000" w:rsidRPr="00000000">
        <w:rPr>
          <w:rtl w:val="0"/>
        </w:rPr>
        <w:t xml:space="preserve"> — and this is a compliance </w:t>
      </w:r>
      <w:r w:rsidDel="00000000" w:rsidR="00000000" w:rsidRPr="00000000">
        <w:rPr>
          <w:i w:val="1"/>
          <w:iCs w:val="1"/>
          <w:rtl w:val="0"/>
        </w:rPr>
        <w:t xml:space="preserve">advantage</w:t>
      </w:r>
      <w:r w:rsidDel="00000000" w:rsidR="00000000" w:rsidRPr="00000000">
        <w:rPr>
          <w:rtl w:val="0"/>
        </w:rPr>
        <w:t xml:space="preserve">, not a gap (see §4).</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No depreciation recapture clock</w:t>
      </w:r>
      <w:r w:rsidDel="00000000" w:rsidR="00000000" w:rsidRPr="00000000">
        <w:rPr>
          <w:rtl w:val="0"/>
        </w:rPr>
        <w:t xml:space="preserve">, no annual rental income, </w:t>
      </w:r>
      <w:r w:rsidDel="00000000" w:rsidR="00000000" w:rsidRPr="00000000">
        <w:rPr>
          <w:b w:val="1"/>
          <w:bCs w:val="1"/>
          <w:rtl w:val="0"/>
        </w:rPr>
        <w:t xml:space="preserve">"tax silence"</w:t>
      </w:r>
      <w:r w:rsidDel="00000000" w:rsidR="00000000" w:rsidRPr="00000000">
        <w:rPr>
          <w:rtl w:val="0"/>
        </w:rPr>
        <w:t xml:space="preserve"> — no annual income means no annual income-tax event from holding.</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No sponsor markup on the primary sale.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headline framing the materials use: in a traditional DST you defer for roughly a decade; in this structure you can hold — and defer — for a lifetime, with heirs inheriting at a stepped-up basis. </w:t>
      </w:r>
      <w:r w:rsidDel="00000000" w:rsidR="00000000" w:rsidRPr="00000000">
        <w:rPr>
          <w:b w:val="1"/>
          <w:bCs w:val="1"/>
          <w:rtl w:val="0"/>
        </w:rPr>
        <w:t xml:space="preserve">The Assistant must describe the step-up carefully: at death, heirs may receive a stepped-up basis that can eliminate previously deferred gain. Frame this as a recognized estate mechanism, never as "tax-free," and route specific estate-tax questions to the team.</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9implom792hu" w:id="3"/>
      <w:bookmarkEnd w:id="3"/>
      <w:r w:rsidDel="00000000" w:rsidR="00000000" w:rsidRPr="00000000">
        <w:rPr>
          <w:rtl w:val="0"/>
        </w:rPr>
        <w:t xml:space="preserve">3. THE TWO-LAYER QUALIFICATION TEST (how 1031 eligibility is built)</w:t>
      </w:r>
    </w:p>
    <w:p w:rsidR="00000000" w:rsidDel="00000000" w:rsidP="00000000" w:rsidRDefault="00000000" w:rsidRPr="00000000" w14:paraId="00000023">
      <w:pPr>
        <w:rPr/>
      </w:pPr>
      <w:r w:rsidDel="00000000" w:rsidR="00000000" w:rsidRPr="00000000">
        <w:rPr>
          <w:rtl w:val="0"/>
        </w:rPr>
        <w:t xml:space="preserve">Whether the units qualify as "real property" for Section 1031 depends on </w:t>
      </w:r>
      <w:r w:rsidDel="00000000" w:rsidR="00000000" w:rsidRPr="00000000">
        <w:rPr>
          <w:b w:val="1"/>
          <w:bCs w:val="1"/>
          <w:rtl w:val="0"/>
        </w:rPr>
        <w:t xml:space="preserve">two distinct layers</w:t>
      </w:r>
      <w:r w:rsidDel="00000000" w:rsidR="00000000" w:rsidRPr="00000000">
        <w:rPr>
          <w:rtl w:val="0"/>
        </w:rPr>
        <w:t xml:space="preserve"> that both must hold. This is the precise way to explain it, and it shows the rigor of the structure.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Layer 1 — State-law real property.</w:t>
      </w:r>
      <w:r w:rsidDel="00000000" w:rsidR="00000000" w:rsidRPr="00000000">
        <w:rPr>
          <w:rtl w:val="0"/>
        </w:rPr>
        <w:t xml:space="preserve"> The underlying mineral estate must be real property under applicable state law. The </w:t>
      </w:r>
      <w:r w:rsidDel="00000000" w:rsidR="00000000" w:rsidRPr="00000000">
        <w:rPr>
          <w:b w:val="1"/>
          <w:bCs w:val="1"/>
          <w:rtl w:val="0"/>
        </w:rPr>
        <w:t xml:space="preserve">Nevada Opinion</w:t>
      </w:r>
      <w:r w:rsidDel="00000000" w:rsidR="00000000" w:rsidRPr="00000000">
        <w:rPr>
          <w:rtl w:val="0"/>
        </w:rPr>
        <w:t xml:space="preserve"> (Womble Bond Dickinson) confirms that the Mineral Estate — as severed and structured through the Tripartite Declaration and held by the Great Basin Mineral Trust — constitutes a real property interest under Nevada law. Nevada law does </w:t>
      </w:r>
      <w:r w:rsidDel="00000000" w:rsidR="00000000" w:rsidRPr="00000000">
        <w:rPr>
          <w:b w:val="1"/>
          <w:bCs w:val="1"/>
          <w:rtl w:val="0"/>
        </w:rPr>
        <w:t xml:space="preserve">not</w:t>
      </w:r>
      <w:r w:rsidDel="00000000" w:rsidR="00000000" w:rsidRPr="00000000">
        <w:rPr>
          <w:rtl w:val="0"/>
        </w:rPr>
        <w:t xml:space="preserve"> prohibit a conveyance structured to create (i) one severed mineral estate, (ii) two surface estates held by trusts as co-tenants, and (iii) recorded cross-estate governance instruments that run with the land.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Layer 2 — Federal real property + DST form.</w:t>
      </w:r>
      <w:r w:rsidDel="00000000" w:rsidR="00000000" w:rsidRPr="00000000">
        <w:rPr>
          <w:rtl w:val="0"/>
        </w:rPr>
        <w:t xml:space="preserve"> Two things must both be true at the federal level: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The asset must meet the federal definition of real property under </w:t>
      </w:r>
      <w:r w:rsidDel="00000000" w:rsidR="00000000" w:rsidRPr="00000000">
        <w:rPr>
          <w:b w:val="1"/>
          <w:bCs w:val="1"/>
          <w:rtl w:val="0"/>
        </w:rPr>
        <w:t xml:space="preserve">Treasury Regulation §1.1031(a)-3</w:t>
      </w:r>
      <w:r w:rsidDel="00000000" w:rsidR="00000000" w:rsidRPr="00000000">
        <w:rPr>
          <w:rtl w:val="0"/>
        </w:rPr>
        <w:t xml:space="preserve">.</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The </w:t>
      </w:r>
      <w:r w:rsidDel="00000000" w:rsidR="00000000" w:rsidRPr="00000000">
        <w:rPr>
          <w:i w:val="1"/>
          <w:iCs w:val="1"/>
          <w:rtl w:val="0"/>
        </w:rPr>
        <w:t xml:space="preserve">form</w:t>
      </w:r>
      <w:r w:rsidDel="00000000" w:rsidR="00000000" w:rsidRPr="00000000">
        <w:rPr>
          <w:rtl w:val="0"/>
        </w:rPr>
        <w:t xml:space="preserve"> of ownership — a Delaware Statutory Trust beneficial interest — must qualify as direct real property ownership under </w:t>
      </w:r>
      <w:r w:rsidDel="00000000" w:rsidR="00000000" w:rsidRPr="00000000">
        <w:rPr>
          <w:b w:val="1"/>
          <w:bCs w:val="1"/>
          <w:rtl w:val="0"/>
        </w:rPr>
        <w:t xml:space="preserve">IRS Revenue Procedure 2004-51</w:t>
      </w:r>
      <w:r w:rsidDel="00000000" w:rsidR="00000000" w:rsidRPr="00000000">
        <w:rPr>
          <w:rtl w:val="0"/>
        </w:rPr>
        <w:t xml:space="preserve"> and related guidance.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DST Agreement was drafted by </w:t>
      </w:r>
      <w:r w:rsidDel="00000000" w:rsidR="00000000" w:rsidRPr="00000000">
        <w:rPr>
          <w:b w:val="1"/>
          <w:bCs w:val="1"/>
          <w:rtl w:val="0"/>
        </w:rPr>
        <w:t xml:space="preserve">Flaster Greenberg PC</w:t>
      </w:r>
      <w:r w:rsidDel="00000000" w:rsidR="00000000" w:rsidRPr="00000000">
        <w:rPr>
          <w:rtl w:val="0"/>
        </w:rPr>
        <w:t xml:space="preserve"> with these requirements in mind, and the firm renders both the </w:t>
      </w:r>
      <w:r w:rsidDel="00000000" w:rsidR="00000000" w:rsidRPr="00000000">
        <w:rPr>
          <w:b w:val="1"/>
          <w:bCs w:val="1"/>
          <w:rtl w:val="0"/>
        </w:rPr>
        <w:t xml:space="preserve">Grantor Trust Tax Opinion</w:t>
      </w:r>
      <w:r w:rsidDel="00000000" w:rsidR="00000000" w:rsidRPr="00000000">
        <w:rPr>
          <w:rtl w:val="0"/>
        </w:rPr>
        <w:t xml:space="preserve"> and the </w:t>
      </w:r>
      <w:r w:rsidDel="00000000" w:rsidR="00000000" w:rsidRPr="00000000">
        <w:rPr>
          <w:b w:val="1"/>
          <w:bCs w:val="1"/>
          <w:rtl w:val="0"/>
        </w:rPr>
        <w:t xml:space="preserve">1031 Eligibility Opinion</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Critical honesty the Assistant must preserve:</w:t>
      </w:r>
      <w:r w:rsidDel="00000000" w:rsidR="00000000" w:rsidRPr="00000000">
        <w:rPr>
          <w:rtl w:val="0"/>
        </w:rPr>
        <w:t xml:space="preserve"> The IRS has </w:t>
      </w:r>
      <w:r w:rsidDel="00000000" w:rsidR="00000000" w:rsidRPr="00000000">
        <w:rPr>
          <w:b w:val="1"/>
          <w:bCs w:val="1"/>
          <w:rtl w:val="0"/>
        </w:rPr>
        <w:t xml:space="preserve">not</w:t>
      </w:r>
      <w:r w:rsidDel="00000000" w:rsidR="00000000" w:rsidRPr="00000000">
        <w:rPr>
          <w:rtl w:val="0"/>
        </w:rPr>
        <w:t xml:space="preserve"> issued published guidance specifically addressing whether a perpetually stewarded, non-extractive mineral estate of this character is qualifying real property under §1.1031(a)-3. There is no published precedent directly on point. The analysis is a </w:t>
      </w:r>
      <w:r w:rsidDel="00000000" w:rsidR="00000000" w:rsidRPr="00000000">
        <w:rPr>
          <w:b w:val="1"/>
          <w:bCs w:val="1"/>
          <w:rtl w:val="0"/>
        </w:rPr>
        <w:t xml:space="preserve">reasoned application of existing authority to a novel set of facts</w:t>
      </w:r>
      <w:r w:rsidDel="00000000" w:rsidR="00000000" w:rsidRPr="00000000">
        <w:rPr>
          <w:rtl w:val="0"/>
        </w:rPr>
        <w:t xml:space="preserve">, set out in the 1031 Opinion. The Assistant must never state qualification as settled or guaranteed; it is the considered opinion of tax counsel on a novel structure. Always route reliance questions to the team and to the person's own tax counsel.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f8r7hw42zt0m" w:id="4"/>
      <w:bookmarkEnd w:id="4"/>
      <w:r w:rsidDel="00000000" w:rsidR="00000000" w:rsidRPr="00000000">
        <w:rPr>
          <w:rtl w:val="0"/>
        </w:rPr>
        <w:t xml:space="preserve">4. THE SEVEN DEADLY SINS (Revenue Ruling 2004-86) AND WHY THIS TRUST IS STRUCTURALLY SAFE</w:t>
      </w:r>
    </w:p>
    <w:p w:rsidR="00000000" w:rsidDel="00000000" w:rsidP="00000000" w:rsidRDefault="00000000" w:rsidRPr="00000000" w14:paraId="00000032">
      <w:pPr>
        <w:rPr/>
      </w:pPr>
      <w:r w:rsidDel="00000000" w:rsidR="00000000" w:rsidRPr="00000000">
        <w:rPr>
          <w:rtl w:val="0"/>
        </w:rPr>
        <w:t xml:space="preserve">Revenue Ruling 2004-86 sets seven operational restrictions a Delaware Statutory Trust must not violate to remain a grantor trust rather than a business entity. The DST Agreement (Article 3, Section 3.2) expressly prohibits the Trustee from any action that would cause business-entity treatment. The Assistant can explain that compliance here is unusually strong because, for a passive non-operating mineral estate, several of the restrictions are </w:t>
      </w:r>
      <w:r w:rsidDel="00000000" w:rsidR="00000000" w:rsidRPr="00000000">
        <w:rPr>
          <w:b w:val="1"/>
          <w:bCs w:val="1"/>
          <w:rtl w:val="0"/>
        </w:rPr>
        <w:t xml:space="preserve">structurally impossible to violate</w:t>
      </w:r>
      <w:r w:rsidDel="00000000" w:rsidR="00000000" w:rsidRPr="00000000">
        <w:rPr>
          <w:rtl w:val="0"/>
        </w:rPr>
        <w:t xml:space="preserve"> — there is simply no operating activity to trigger them.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seven restrictions and how the Trust complies (with the governing section):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No additional capital contributions after closing.</w:t>
      </w:r>
      <w:r w:rsidDel="00000000" w:rsidR="00000000" w:rsidRPr="00000000">
        <w:rPr>
          <w:rtl w:val="0"/>
        </w:rPr>
        <w:t xml:space="preserve"> — DST Agreement §3.2(e). No capital calls; no new equity after the offering closes.</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No new indebtedness or refinancing.</w:t>
      </w:r>
      <w:r w:rsidDel="00000000" w:rsidR="00000000" w:rsidRPr="00000000">
        <w:rPr>
          <w:rtl w:val="0"/>
        </w:rPr>
        <w:t xml:space="preserve"> — §3.2(f). The Trust holds the estate free of mortgage debt, so there is no loan to refinance — structurally irrelevant.</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No new leases or renegotiation of leases.</w:t>
      </w:r>
      <w:r w:rsidDel="00000000" w:rsidR="00000000" w:rsidRPr="00000000">
        <w:rPr>
          <w:rtl w:val="0"/>
        </w:rPr>
        <w:t xml:space="preserve"> — §3.2(g). There are no leases, tenants, or operating agreements; none may be entered.</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No reinvestment of proceeds.</w:t>
      </w:r>
      <w:r w:rsidDel="00000000" w:rsidR="00000000" w:rsidRPr="00000000">
        <w:rPr>
          <w:rtl w:val="0"/>
        </w:rPr>
        <w:t xml:space="preserve"> — §3.2(c). The Trustee may not reinvest Trust monies except for minor non-structural repairs or to fund reserves under §5.3.</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No capital expenditures</w:t>
      </w:r>
      <w:r w:rsidDel="00000000" w:rsidR="00000000" w:rsidRPr="00000000">
        <w:rPr>
          <w:rtl w:val="0"/>
        </w:rPr>
        <w:t xml:space="preserve"> beyond minor non-structural modifications (unless required by law). — §3.2(d).</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No active management / only ministerial powers.</w:t>
      </w:r>
      <w:r w:rsidDel="00000000" w:rsidR="00000000" w:rsidRPr="00000000">
        <w:rPr>
          <w:rtl w:val="0"/>
        </w:rPr>
        <w:t xml:space="preserve"> The Trustee's authority is limited to ministerial and administrative functions.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Catch-all: no power to "vary the investment"</w:t>
      </w:r>
      <w:r w:rsidDel="00000000" w:rsidR="00000000" w:rsidRPr="00000000">
        <w:rPr>
          <w:rtl w:val="0"/>
        </w:rPr>
        <w:t xml:space="preserve"> of the certificate holders (Treas. Reg. §301.7701-4(c)(1)). — §3.2(h). The investment is a defined, passive, non-operating mineral estate not subject to variation by any party.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Section 3.3 — Primacy of Article 3:</w:t>
      </w:r>
      <w:r w:rsidDel="00000000" w:rsidR="00000000" w:rsidRPr="00000000">
        <w:rPr>
          <w:rtl w:val="0"/>
        </w:rPr>
        <w:t xml:space="preserve"> Article 3 controls over all other provisions of the Trust Agreement, because it carries the provisions required to achieve the intended federal tax treatment.</w:t>
      </w:r>
    </w:p>
    <w:p w:rsidR="00000000" w:rsidDel="00000000" w:rsidP="00000000" w:rsidRDefault="00000000" w:rsidRPr="00000000" w14:paraId="0000003F">
      <w:pPr>
        <w:pStyle w:val="Heading3"/>
        <w:rPr/>
      </w:pPr>
      <w:bookmarkStart w:colFirst="0" w:colLast="0" w:name="_ixq68pf35iq6" w:id="5"/>
      <w:bookmarkEnd w:id="5"/>
      <w:r w:rsidDel="00000000" w:rsidR="00000000" w:rsidRPr="00000000">
        <w:rPr>
          <w:rtl w:val="0"/>
        </w:rPr>
        <w:t xml:space="preserve">The No-Master-Lease point (a strength, not a gap)</w:t>
      </w:r>
    </w:p>
    <w:p w:rsidR="00000000" w:rsidDel="00000000" w:rsidP="00000000" w:rsidRDefault="00000000" w:rsidRPr="00000000" w14:paraId="00000040">
      <w:pPr>
        <w:rPr/>
      </w:pPr>
      <w:r w:rsidDel="00000000" w:rsidR="00000000" w:rsidRPr="00000000">
        <w:rPr>
          <w:rtl w:val="0"/>
        </w:rPr>
        <w:t xml:space="preserve">Standard income-producing DSTs use a master lease to move rental income through the trust — and the Seven Deadly Sins framework exists largely to stop a master tenant from acquiring the practical ability to "vary the investment." </w:t>
      </w:r>
      <w:r w:rsidDel="00000000" w:rsidR="00000000" w:rsidRPr="00000000">
        <w:rPr>
          <w:b w:val="1"/>
          <w:bCs w:val="1"/>
          <w:rtl w:val="0"/>
        </w:rPr>
        <w:t xml:space="preserve">This Trust eliminates the master-lease problem by eliminating the income pathway entirely.</w:t>
      </w:r>
      <w:r w:rsidDel="00000000" w:rsidR="00000000" w:rsidRPr="00000000">
        <w:rPr>
          <w:rtl w:val="0"/>
        </w:rPr>
        <w:t xml:space="preserve"> No operating tenant, no rental income, no operating activity. No party has, or could acquire, the ability to vary the investment, because there is no operational management to exercise. The materials describe this as </w:t>
      </w:r>
      <w:r w:rsidDel="00000000" w:rsidR="00000000" w:rsidRPr="00000000">
        <w:rPr>
          <w:b w:val="1"/>
          <w:bCs w:val="1"/>
          <w:rtl w:val="0"/>
        </w:rPr>
        <w:t xml:space="preserve">"the most structurally conservative possible posture under Revenue Ruling 2004-86"</w:t>
      </w:r>
      <w:r w:rsidDel="00000000" w:rsidR="00000000" w:rsidRPr="00000000">
        <w:rPr>
          <w:rtl w:val="0"/>
        </w:rPr>
        <w:t xml:space="preserve"> — passive </w:t>
      </w:r>
      <w:r w:rsidDel="00000000" w:rsidR="00000000" w:rsidRPr="00000000">
        <w:rPr>
          <w:i w:val="1"/>
          <w:iCs w:val="1"/>
          <w:rtl w:val="0"/>
        </w:rPr>
        <w:t xml:space="preserve">by nature</w:t>
      </w:r>
      <w:r w:rsidDel="00000000" w:rsidR="00000000" w:rsidRPr="00000000">
        <w:rPr>
          <w:rtl w:val="0"/>
        </w:rPr>
        <w:t xml:space="preserve"> rather than passive </w:t>
      </w:r>
      <w:r w:rsidDel="00000000" w:rsidR="00000000" w:rsidRPr="00000000">
        <w:rPr>
          <w:i w:val="1"/>
          <w:iCs w:val="1"/>
          <w:rtl w:val="0"/>
        </w:rPr>
        <w:t xml:space="preserve">by engineered workaround</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3qgqfokc7jr8" w:id="6"/>
      <w:bookmarkEnd w:id="6"/>
      <w:r w:rsidDel="00000000" w:rsidR="00000000" w:rsidRPr="00000000">
        <w:rPr>
          <w:rtl w:val="0"/>
        </w:rPr>
        <w:t xml:space="preserve">5. REVENUE PROCEDURE 2004-51 — THE FIVE STRUCTURAL REQUIREMENTS</w:t>
      </w:r>
    </w:p>
    <w:p w:rsidR="00000000" w:rsidDel="00000000" w:rsidP="00000000" w:rsidRDefault="00000000" w:rsidRPr="00000000" w14:paraId="00000044">
      <w:pPr>
        <w:rPr/>
      </w:pPr>
      <w:r w:rsidDel="00000000" w:rsidR="00000000" w:rsidRPr="00000000">
        <w:rPr>
          <w:rtl w:val="0"/>
        </w:rPr>
        <w:t xml:space="preserve">Revenue Procedure 2004-51 states the structural conditions for a DST to be a grantor trust for 1031 purposes. (The IRS no longer issues ruling letters here, but the procedure remains the authoritative standard.) The Trust's compliance: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State statutory trust + owners treated as grantors.</w:t>
      </w:r>
      <w:r w:rsidDel="00000000" w:rsidR="00000000" w:rsidRPr="00000000">
        <w:rPr>
          <w:rtl w:val="0"/>
        </w:rPr>
        <w:t xml:space="preserve"> Formed under the Delaware Statutory Trust Act, 12 Del. C. §§ 3801 et seq.; grantor status confirmed by the Flaster Greenberg Grantor Trust Tax Opinion.</w:t>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Trustee holds a single piece of real property.</w:t>
      </w:r>
      <w:r w:rsidDel="00000000" w:rsidR="00000000" w:rsidRPr="00000000">
        <w:rPr>
          <w:rtl w:val="0"/>
        </w:rPr>
        <w:t xml:space="preserve"> The Trust holds Earth Blocks constituting a defined portion of the Mineral Estate of a single property (the Courbet Mine Complex).</w:t>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The trust must be passive.</w:t>
      </w:r>
      <w:r w:rsidDel="00000000" w:rsidR="00000000" w:rsidRPr="00000000">
        <w:rPr>
          <w:rtl w:val="0"/>
        </w:rPr>
        <w:t xml:space="preserve"> Established by the Seven Deadly Sins matrix above.</w:t>
      </w:r>
    </w:p>
    <w:p w:rsidR="00000000" w:rsidDel="00000000" w:rsidP="00000000" w:rsidRDefault="00000000" w:rsidRPr="00000000" w14:paraId="00000049">
      <w:pPr>
        <w:numPr>
          <w:ilvl w:val="0"/>
          <w:numId w:val="4"/>
        </w:numPr>
        <w:ind w:left="720" w:hanging="360"/>
      </w:pPr>
      <w:r w:rsidDel="00000000" w:rsidR="00000000" w:rsidRPr="00000000">
        <w:rPr>
          <w:b w:val="1"/>
          <w:bCs w:val="1"/>
          <w:rtl w:val="0"/>
        </w:rPr>
        <w:t xml:space="preserve">No power to vary the investment.</w:t>
      </w:r>
      <w:r w:rsidDel="00000000" w:rsidR="00000000" w:rsidRPr="00000000">
        <w:rPr>
          <w:rtl w:val="0"/>
        </w:rPr>
        <w:t xml:space="preserve"> Not merely satisfied but structurally incapable of violation given the non-operating asset.</w:t>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Fixed number of co-owners with undivided interests, no required additional contributions.</w:t>
      </w:r>
      <w:r w:rsidDel="00000000" w:rsidR="00000000" w:rsidRPr="00000000">
        <w:rPr>
          <w:rtl w:val="0"/>
        </w:rPr>
        <w:t xml:space="preserve"> 12,250 authorized units, each a fractional undivided interest; §3.2(e) bars additional contributions.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598yoqtfcu39" w:id="7"/>
      <w:bookmarkEnd w:id="7"/>
      <w:r w:rsidDel="00000000" w:rsidR="00000000" w:rsidRPr="00000000">
        <w:rPr>
          <w:rtl w:val="0"/>
        </w:rPr>
        <w:t xml:space="preserve">6. GRANTOR TRUST STATUS IS NOT SELF-EXECUTING (the real risk)</w:t>
      </w:r>
    </w:p>
    <w:p w:rsidR="00000000" w:rsidDel="00000000" w:rsidP="00000000" w:rsidRDefault="00000000" w:rsidRPr="00000000" w14:paraId="0000004E">
      <w:pPr>
        <w:rPr/>
      </w:pPr>
      <w:r w:rsidDel="00000000" w:rsidR="00000000" w:rsidRPr="00000000">
        <w:rPr>
          <w:rtl w:val="0"/>
        </w:rPr>
        <w:t xml:space="preserve">The Assistant should be honest about this when asked about risk. Grantor-trust status depends on </w:t>
      </w:r>
      <w:r w:rsidDel="00000000" w:rsidR="00000000" w:rsidRPr="00000000">
        <w:rPr>
          <w:b w:val="1"/>
          <w:bCs w:val="1"/>
          <w:rtl w:val="0"/>
        </w:rPr>
        <w:t xml:space="preserve">continuous compliance</w:t>
      </w:r>
      <w:r w:rsidDel="00000000" w:rsidR="00000000" w:rsidRPr="00000000">
        <w:rPr>
          <w:rtl w:val="0"/>
        </w:rPr>
        <w:t xml:space="preserve">. If the Trust took actions inconsistent with it — retaining cash beyond operational needs, modifying or renegotiating leases, acquiring new property, or letting the Trustee exercise discretion inconsistent with required passivity — grantor-trust status </w:t>
      </w:r>
      <w:r w:rsidDel="00000000" w:rsidR="00000000" w:rsidRPr="00000000">
        <w:rPr>
          <w:b w:val="1"/>
          <w:bCs w:val="1"/>
          <w:rtl w:val="0"/>
        </w:rPr>
        <w:t xml:space="preserve">could be lost</w:t>
      </w:r>
      <w:r w:rsidDel="00000000" w:rsidR="00000000" w:rsidRPr="00000000">
        <w:rPr>
          <w:rtl w:val="0"/>
        </w:rPr>
        <w:t xml:space="preserve">. Loss would likely mean the Trust is treated as a partnership or other entity, with </w:t>
      </w:r>
      <w:r w:rsidDel="00000000" w:rsidR="00000000" w:rsidRPr="00000000">
        <w:rPr>
          <w:b w:val="1"/>
          <w:bCs w:val="1"/>
          <w:rtl w:val="0"/>
        </w:rPr>
        <w:t xml:space="preserve">material adverse consequences</w:t>
      </w:r>
      <w:r w:rsidDel="00000000" w:rsidR="00000000" w:rsidRPr="00000000">
        <w:rPr>
          <w:rtl w:val="0"/>
        </w:rPr>
        <w:t xml:space="preserve">, including potential recognition of previously deferred gain. The structure is designed to make these violations difficult-to-impossible, but the dependency is real and the Assistant should not pretend otherwise.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w5pczb7t8nqi" w:id="8"/>
      <w:bookmarkEnd w:id="8"/>
      <w:r w:rsidDel="00000000" w:rsidR="00000000" w:rsidRPr="00000000">
        <w:rPr>
          <w:rtl w:val="0"/>
        </w:rPr>
        <w:t xml:space="preserve">7. PROCEDURAL REQUIREMENTS FOR A 1031 EXCHANGE (strict and non-waivable)</w:t>
      </w:r>
    </w:p>
    <w:p w:rsidR="00000000" w:rsidDel="00000000" w:rsidP="00000000" w:rsidRDefault="00000000" w:rsidRPr="00000000" w14:paraId="00000052">
      <w:pPr>
        <w:rPr/>
      </w:pPr>
      <w:r w:rsidDel="00000000" w:rsidR="00000000" w:rsidRPr="00000000">
        <w:rPr>
          <w:rtl w:val="0"/>
        </w:rPr>
        <w:t xml:space="preserve">A person acquiring units </w:t>
      </w:r>
      <w:r w:rsidDel="00000000" w:rsidR="00000000" w:rsidRPr="00000000">
        <w:rPr>
          <w:b w:val="1"/>
          <w:bCs w:val="1"/>
          <w:rtl w:val="0"/>
        </w:rPr>
        <w:t xml:space="preserve">as part of a 1031 exchange</w:t>
      </w:r>
      <w:r w:rsidDel="00000000" w:rsidR="00000000" w:rsidRPr="00000000">
        <w:rPr>
          <w:rtl w:val="0"/>
        </w:rPr>
        <w:t xml:space="preserve"> must satisfy the precise procedural requirements of Section 1031, the Treasury Regulations, and IRS guidance. These are </w:t>
      </w:r>
      <w:r w:rsidDel="00000000" w:rsidR="00000000" w:rsidRPr="00000000">
        <w:rPr>
          <w:b w:val="1"/>
          <w:bCs w:val="1"/>
          <w:rtl w:val="0"/>
        </w:rPr>
        <w:t xml:space="preserve">strict, non-waivable, and enforced without exception</w:t>
      </w:r>
      <w:r w:rsidDel="00000000" w:rsidR="00000000" w:rsidRPr="00000000">
        <w:rPr>
          <w:rtl w:val="0"/>
        </w:rPr>
        <w:t xml:space="preserve"> — for example, the identification and exchange timing rules. Failure on any procedural point may cause full recognition of deferred gain, taxes, interest, and penalties. The Assistant must route anyone contemplating an actual exchange to qualified tax counsel and a qualified intermediary, and never walk a user through executing their own exchange.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1x9lcth35hrk" w:id="9"/>
      <w:bookmarkEnd w:id="9"/>
      <w:r w:rsidDel="00000000" w:rsidR="00000000" w:rsidRPr="00000000">
        <w:rPr>
          <w:rtl w:val="0"/>
        </w:rPr>
        <w:t xml:space="preserve">8. GOVERNANCE: TRUSTEE AND PROTECTOR COMMITTEE</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The structure uses a </w:t>
      </w:r>
      <w:r w:rsidDel="00000000" w:rsidR="00000000" w:rsidRPr="00000000">
        <w:rPr>
          <w:b w:val="1"/>
          <w:bCs w:val="1"/>
          <w:rtl w:val="0"/>
        </w:rPr>
        <w:t xml:space="preserve">two-trustee design</w:t>
      </w:r>
      <w:r w:rsidDel="00000000" w:rsidR="00000000" w:rsidRPr="00000000">
        <w:rPr>
          <w:rtl w:val="0"/>
        </w:rPr>
        <w:t xml:space="preserve">: a </w:t>
      </w:r>
      <w:r w:rsidDel="00000000" w:rsidR="00000000" w:rsidRPr="00000000">
        <w:rPr>
          <w:b w:val="1"/>
          <w:bCs w:val="1"/>
          <w:rtl w:val="0"/>
        </w:rPr>
        <w:t xml:space="preserve">Delaware Trustee</w:t>
      </w:r>
      <w:r w:rsidDel="00000000" w:rsidR="00000000" w:rsidRPr="00000000">
        <w:rPr>
          <w:rtl w:val="0"/>
        </w:rPr>
        <w:t xml:space="preserve"> and a </w:t>
      </w:r>
      <w:r w:rsidDel="00000000" w:rsidR="00000000" w:rsidRPr="00000000">
        <w:rPr>
          <w:b w:val="1"/>
          <w:bCs w:val="1"/>
          <w:rtl w:val="0"/>
        </w:rPr>
        <w:t xml:space="preserve">Signatory Trustee</w:t>
      </w:r>
      <w:r w:rsidDel="00000000" w:rsidR="00000000" w:rsidRPr="00000000">
        <w:rPr>
          <w:rtl w:val="0"/>
        </w:rPr>
        <w:t xml:space="preserve">, with the Trustee's authority limited to ministerial and administrative functions.</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A </w:t>
      </w:r>
      <w:r w:rsidDel="00000000" w:rsidR="00000000" w:rsidRPr="00000000">
        <w:rPr>
          <w:b w:val="1"/>
          <w:bCs w:val="1"/>
          <w:rtl w:val="0"/>
        </w:rPr>
        <w:t xml:space="preserve">Protector Committee</w:t>
      </w:r>
      <w:r w:rsidDel="00000000" w:rsidR="00000000" w:rsidRPr="00000000">
        <w:rPr>
          <w:rtl w:val="0"/>
        </w:rPr>
        <w:t xml:space="preserve"> holds governance authority limited to </w:t>
      </w:r>
      <w:r w:rsidDel="00000000" w:rsidR="00000000" w:rsidRPr="00000000">
        <w:rPr>
          <w:b w:val="1"/>
          <w:bCs w:val="1"/>
          <w:rtl w:val="0"/>
        </w:rPr>
        <w:t xml:space="preserve">stewardship and protection decisions that expressly exclude any commercial activity</w:t>
      </w:r>
      <w:r w:rsidDel="00000000" w:rsidR="00000000" w:rsidRPr="00000000">
        <w:rPr>
          <w:rtl w:val="0"/>
        </w:rPr>
        <w:t xml:space="preserve">. This is what lets the asset be actively </w:t>
      </w:r>
      <w:r w:rsidDel="00000000" w:rsidR="00000000" w:rsidRPr="00000000">
        <w:rPr>
          <w:i w:val="1"/>
          <w:iCs w:val="1"/>
          <w:rtl w:val="0"/>
        </w:rPr>
        <w:t xml:space="preserve">protected</w:t>
      </w:r>
      <w:r w:rsidDel="00000000" w:rsidR="00000000" w:rsidRPr="00000000">
        <w:rPr>
          <w:rtl w:val="0"/>
        </w:rPr>
        <w:t xml:space="preserve"> without anyone acquiring the power to </w:t>
      </w:r>
      <w:r w:rsidDel="00000000" w:rsidR="00000000" w:rsidRPr="00000000">
        <w:rPr>
          <w:i w:val="1"/>
          <w:iCs w:val="1"/>
          <w:rtl w:val="0"/>
        </w:rPr>
        <w:t xml:space="preserve">vary the investment</w:t>
      </w:r>
      <w:r w:rsidDel="00000000" w:rsidR="00000000" w:rsidRPr="00000000">
        <w:rPr>
          <w:rtl w:val="0"/>
        </w:rPr>
        <w:t xml:space="preserve"> — preserving passivity.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m4f3ddilbu1e" w:id="10"/>
      <w:bookmarkEnd w:id="10"/>
      <w:r w:rsidDel="00000000" w:rsidR="00000000" w:rsidRPr="00000000">
        <w:rPr>
          <w:rtl w:val="0"/>
        </w:rPr>
        <w:t xml:space="preserve">9. THE FOUR HOLDER PATHWAYS (consistent with the guardrails)</w:t>
      </w:r>
    </w:p>
    <w:p w:rsidR="00000000" w:rsidDel="00000000" w:rsidP="00000000" w:rsidRDefault="00000000" w:rsidRPr="00000000" w14:paraId="0000005B">
      <w:pPr>
        <w:rPr/>
      </w:pPr>
      <w:r w:rsidDel="00000000" w:rsidR="00000000" w:rsidRPr="00000000">
        <w:rPr>
          <w:rtl w:val="0"/>
        </w:rPr>
        <w:t xml:space="preserve">Describe as available positions, never as guaranteed liquidity or outcomes: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Hold in perpetuity / inheritance</w:t>
      </w:r>
      <w:r w:rsidDel="00000000" w:rsidR="00000000" w:rsidRPr="00000000">
        <w:rPr>
          <w:rtl w:val="0"/>
        </w:rPr>
        <w:t xml:space="preserve"> — passive perpetual hold; gains deferred during life; potential stepped-up basis at death (recognized estate mechanism, not "tax-free"; route specifics to the team).</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Section 1031 exchange</w:t>
      </w:r>
      <w:r w:rsidDel="00000000" w:rsidR="00000000" w:rsidRPr="00000000">
        <w:rPr>
          <w:rtl w:val="0"/>
        </w:rPr>
        <w:t xml:space="preserve"> — roll into another like-kind real-estate investment on a tax-deferred basis (subject to the strict procedural rules in §7).</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Secondary sale</w:t>
      </w:r>
      <w:r w:rsidDel="00000000" w:rsidR="00000000" w:rsidRPr="00000000">
        <w:rPr>
          <w:rtl w:val="0"/>
        </w:rPr>
        <w:t xml:space="preserve"> — sell units to another buyer on the secondary market at market price; a taxable event; </w:t>
      </w:r>
      <w:r w:rsidDel="00000000" w:rsidR="00000000" w:rsidRPr="00000000">
        <w:rPr>
          <w:b w:val="1"/>
          <w:bCs w:val="1"/>
          <w:rtl w:val="0"/>
        </w:rPr>
        <w:t xml:space="preserve">no standing buyer or set price may be promised.</w:t>
      </w:r>
      <w:r w:rsidDel="00000000" w:rsidR="00000000" w:rsidRPr="00000000">
        <w:rPr>
          <w:rtl w:val="0"/>
        </w:rPr>
        <w:t xml:space="preserve"> Resale is the transferring party's responsibility and must comply with applicable securities laws; no representation is made that any resale is exempt from registration.</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Liquidity via the token</w:t>
      </w:r>
      <w:r w:rsidDel="00000000" w:rsidR="00000000" w:rsidRPr="00000000">
        <w:rPr>
          <w:rtl w:val="0"/>
        </w:rPr>
        <w:t xml:space="preserve"> — forthcoming/roadmap; not available at first launch; no guaranteed conversion price or formula.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x1is99udtfj" w:id="11"/>
      <w:bookmarkEnd w:id="11"/>
      <w:r w:rsidDel="00000000" w:rsidR="00000000" w:rsidRPr="00000000">
        <w:rPr>
          <w:rtl w:val="0"/>
        </w:rPr>
        <w:t xml:space="preserve">10. SECURITIES POSTURE (high level for this layer)</w:t>
      </w:r>
    </w:p>
    <w:p w:rsidR="00000000" w:rsidDel="00000000" w:rsidP="00000000" w:rsidRDefault="00000000" w:rsidRPr="00000000" w14:paraId="00000064">
      <w:pPr>
        <w:rPr/>
      </w:pPr>
      <w:r w:rsidDel="00000000" w:rsidR="00000000" w:rsidRPr="00000000">
        <w:rPr>
          <w:rtl w:val="0"/>
        </w:rPr>
        <w:t xml:space="preserve">Units are interests in real property held through a Delaware Statutory Trust, intended for </w:t>
      </w:r>
      <w:r w:rsidDel="00000000" w:rsidR="00000000" w:rsidRPr="00000000">
        <w:rPr>
          <w:b w:val="1"/>
          <w:bCs w:val="1"/>
          <w:rtl w:val="0"/>
        </w:rPr>
        <w:t xml:space="preserve">sophisticated/accredited</w:t>
      </w:r>
      <w:r w:rsidDel="00000000" w:rsidR="00000000" w:rsidRPr="00000000">
        <w:rPr>
          <w:rtl w:val="0"/>
        </w:rPr>
        <w:t xml:space="preserve"> parties. The Trust does </w:t>
      </w:r>
      <w:r w:rsidDel="00000000" w:rsidR="00000000" w:rsidRPr="00000000">
        <w:rPr>
          <w:b w:val="1"/>
          <w:bCs w:val="1"/>
          <w:rtl w:val="0"/>
        </w:rPr>
        <w:t xml:space="preserve">not</w:t>
      </w:r>
      <w:r w:rsidDel="00000000" w:rsidR="00000000" w:rsidRPr="00000000">
        <w:rPr>
          <w:rtl w:val="0"/>
        </w:rPr>
        <w:t xml:space="preserve"> conduct public offerings and does </w:t>
      </w:r>
      <w:r w:rsidDel="00000000" w:rsidR="00000000" w:rsidRPr="00000000">
        <w:rPr>
          <w:b w:val="1"/>
          <w:bCs w:val="1"/>
          <w:rtl w:val="0"/>
        </w:rPr>
        <w:t xml:space="preserve">not</w:t>
      </w:r>
      <w:r w:rsidDel="00000000" w:rsidR="00000000" w:rsidRPr="00000000">
        <w:rPr>
          <w:rtl w:val="0"/>
        </w:rPr>
        <w:t xml:space="preserve"> solicit investors. Any resale or transfer is the responsibility of the transferring party, who must ensure compliance with applicable securities laws and exemptions. No regulatory authority has approved or endorsed the units. Detailed securities-structure questions get the high-level posture here and route to the team (Securities Posture Memorandum / broker-dealer-of-record materials exist in the binder).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o3x8e53olvaz" w:id="12"/>
      <w:bookmarkEnd w:id="12"/>
      <w:r w:rsidDel="00000000" w:rsidR="00000000" w:rsidRPr="00000000">
        <w:rPr>
          <w:rtl w:val="0"/>
        </w:rPr>
        <w:t xml:space="preserve">11. MANDATORY FRAMING NOTES FOR THE ASSISTANT (do not drop these)</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This Trust's materials are a </w:t>
      </w:r>
      <w:r w:rsidDel="00000000" w:rsidR="00000000" w:rsidRPr="00000000">
        <w:rPr>
          <w:b w:val="1"/>
          <w:bCs w:val="1"/>
          <w:rtl w:val="0"/>
        </w:rPr>
        <w:t xml:space="preserve">disclosure instrument</w:t>
      </w:r>
      <w:r w:rsidDel="00000000" w:rsidR="00000000" w:rsidRPr="00000000">
        <w:rPr>
          <w:rtl w:val="0"/>
        </w:rPr>
        <w:t xml:space="preserve">, not legal/tax/investment advice. Every prospective transferee is </w:t>
      </w:r>
      <w:r w:rsidDel="00000000" w:rsidR="00000000" w:rsidRPr="00000000">
        <w:rPr>
          <w:b w:val="1"/>
          <w:bCs w:val="1"/>
          <w:rtl w:val="0"/>
        </w:rPr>
        <w:t xml:space="preserve">expected to have independent legal, tax, and financial counsel</w:t>
      </w:r>
      <w:r w:rsidDel="00000000" w:rsidR="00000000" w:rsidRPr="00000000">
        <w:rPr>
          <w:rtl w:val="0"/>
        </w:rPr>
        <w:t xml:space="preserve"> before acting. The complexity, the novel asset, the tax uncertainty, and the </w:t>
      </w:r>
      <w:r w:rsidDel="00000000" w:rsidR="00000000" w:rsidRPr="00000000">
        <w:rPr>
          <w:b w:val="1"/>
          <w:bCs w:val="1"/>
          <w:rtl w:val="0"/>
        </w:rPr>
        <w:t xml:space="preserve">illiquid</w:t>
      </w:r>
      <w:r w:rsidDel="00000000" w:rsidR="00000000" w:rsidRPr="00000000">
        <w:rPr>
          <w:rtl w:val="0"/>
        </w:rPr>
        <w:t xml:space="preserve"> nature of the interests make independent counsel essential — say so.</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Neither the Originator, the Trust, nor any advisor guarantees (i) eligibility of units as like-kind property, or (ii) tax treatment of any transaction. Each person relies on </w:t>
      </w:r>
      <w:r w:rsidDel="00000000" w:rsidR="00000000" w:rsidRPr="00000000">
        <w:rPr>
          <w:b w:val="1"/>
          <w:bCs w:val="1"/>
          <w:rtl w:val="0"/>
        </w:rPr>
        <w:t xml:space="preserve">their own</w:t>
      </w:r>
      <w:r w:rsidDel="00000000" w:rsidR="00000000" w:rsidRPr="00000000">
        <w:rPr>
          <w:rtl w:val="0"/>
        </w:rPr>
        <w:t xml:space="preserve"> tax counsel.</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Qualification under §1031(a)(1) depends on </w:t>
      </w:r>
      <w:r w:rsidDel="00000000" w:rsidR="00000000" w:rsidRPr="00000000">
        <w:rPr>
          <w:b w:val="1"/>
          <w:bCs w:val="1"/>
          <w:rtl w:val="0"/>
        </w:rPr>
        <w:t xml:space="preserve">each taxpayer's own facts, use, and holding intent</w:t>
      </w:r>
      <w:r w:rsidDel="00000000" w:rsidR="00000000" w:rsidRPr="00000000">
        <w:rPr>
          <w:rtl w:val="0"/>
        </w:rPr>
        <w:t xml:space="preserve"> — it is never automatic and never something the Assistant confirms for an individual.</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Preserve every hedge: "intended to," "designed to," "is the subject of the opinion," "not guaranteed in the absence of professional assessment." Never upgrade a hedge into a promise.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i w:val="1"/>
          <w:iCs w:val="1"/>
          <w:rtl w:val="0"/>
        </w:rPr>
        <w:t xml:space="preserve">End of Content Layer 1. Pairs with the control-layer guardrails file. Next layers (on request): the asset &amp; conversion / tripartite / holdback; the three investment positions; the token and bridge posture.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