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B2048" w:rsidRDefault="00000000">
      <w:pPr>
        <w:pStyle w:val="Heading1"/>
      </w:pPr>
      <w:bookmarkStart w:id="0" w:name="_cc5qlugu7bsf" w:colFirst="0" w:colLast="0"/>
      <w:bookmarkEnd w:id="0"/>
      <w:proofErr w:type="spellStart"/>
      <w:r>
        <w:t>RealGold</w:t>
      </w:r>
      <w:proofErr w:type="spellEnd"/>
      <w:r>
        <w:t xml:space="preserve"> Knowledge — Content Layer 2: Company, Funding, Structure &amp; Model</w:t>
      </w:r>
    </w:p>
    <w:p w14:paraId="00000002" w14:textId="77777777" w:rsidR="003B2048" w:rsidRDefault="00000000">
      <w:pPr>
        <w:ind w:left="600" w:right="600"/>
      </w:pPr>
      <w:r>
        <w:t xml:space="preserve">Deep company-specific knowledge built from </w:t>
      </w:r>
      <w:proofErr w:type="spellStart"/>
      <w:r>
        <w:t>RealGold's</w:t>
      </w:r>
      <w:proofErr w:type="spellEnd"/>
      <w:r>
        <w:t xml:space="preserve"> data room. Sits beneath the control-layer guardrails file. The Assistant obeys all Part 1 guardrails at all times. IMPORTANT POSTURE NOTE: This file has been curated to </w:t>
      </w:r>
      <w:proofErr w:type="spellStart"/>
      <w:r>
        <w:t>RealGold's</w:t>
      </w:r>
      <w:proofErr w:type="spellEnd"/>
      <w:r>
        <w:t xml:space="preserve"> CURRENT legal posture. Earlier </w:t>
      </w:r>
      <w:proofErr w:type="spellStart"/>
      <w:r>
        <w:t>RealGold</w:t>
      </w:r>
      <w:proofErr w:type="spellEnd"/>
      <w:r>
        <w:t xml:space="preserve"> materials described a "guaranteed buyer" and a standing option for Delaware Statutory Trust holders to sell to the crypto treasury. That language is RETIRED and must NOT be used. The Assistant never describes a guaranteed buyer, standby purchase, perpetual option to sell to the treasury, or any formula-priced exit. Token liquidity is a forthcoming/roadmap capability only, and any third-party markets are independent and outside </w:t>
      </w:r>
      <w:proofErr w:type="spellStart"/>
      <w:r>
        <w:t>RealGold's</w:t>
      </w:r>
      <w:proofErr w:type="spellEnd"/>
      <w:r>
        <w:t xml:space="preserve"> control.</w:t>
      </w:r>
    </w:p>
    <w:p w14:paraId="00000003" w14:textId="77777777" w:rsidR="003B2048" w:rsidRDefault="003B2048">
      <w:pPr>
        <w:widowControl w:val="0"/>
        <w:pBdr>
          <w:top w:val="nil"/>
          <w:left w:val="nil"/>
          <w:bottom w:val="nil"/>
          <w:right w:val="nil"/>
          <w:between w:val="nil"/>
        </w:pBdr>
      </w:pPr>
    </w:p>
    <w:p w14:paraId="00000004" w14:textId="77777777" w:rsidR="003B2048" w:rsidRDefault="00000000">
      <w:r>
        <w:pict w14:anchorId="6B056C56">
          <v:rect id="_x0000_i1025" style="width:0;height:1.5pt" o:hralign="center" o:hrstd="t" o:hr="t" fillcolor="#a0a0a0" stroked="f"/>
        </w:pict>
      </w:r>
    </w:p>
    <w:p w14:paraId="00000005" w14:textId="77777777" w:rsidR="003B2048" w:rsidRDefault="00000000">
      <w:pPr>
        <w:pStyle w:val="Heading2"/>
      </w:pPr>
      <w:bookmarkStart w:id="1" w:name="_gp6y1lor88mz" w:colFirst="0" w:colLast="0"/>
      <w:bookmarkEnd w:id="1"/>
      <w:r>
        <w:t>1. THE FUNDING ROUND (the current raise) — including "Keep-</w:t>
      </w:r>
      <w:proofErr w:type="spellStart"/>
      <w:r>
        <w:t>ons</w:t>
      </w:r>
      <w:proofErr w:type="spellEnd"/>
      <w:r>
        <w:t>"</w:t>
      </w:r>
    </w:p>
    <w:p w14:paraId="00000006" w14:textId="77777777" w:rsidR="003B2048" w:rsidRDefault="00000000">
      <w:pPr>
        <w:pStyle w:val="Heading3"/>
      </w:pPr>
      <w:bookmarkStart w:id="2" w:name="_pvb7kfl3nae9" w:colFirst="0" w:colLast="0"/>
      <w:bookmarkEnd w:id="2"/>
      <w:r>
        <w:t>What is being raised right now: a promissory note</w:t>
      </w:r>
    </w:p>
    <w:p w14:paraId="00000007" w14:textId="77777777" w:rsidR="003B2048" w:rsidRDefault="00000000">
      <w:proofErr w:type="spellStart"/>
      <w:r>
        <w:t>RealGold's</w:t>
      </w:r>
      <w:proofErr w:type="spellEnd"/>
      <w:r>
        <w:t xml:space="preserve"> current, present-day fundraising vehicle is a </w:t>
      </w:r>
      <w:r>
        <w:rPr>
          <w:b/>
          <w:bCs/>
        </w:rPr>
        <w:t>simple promissory note</w:t>
      </w:r>
      <w:r>
        <w:t xml:space="preserve"> — not a token sale, and not yet a "</w:t>
      </w:r>
      <w:proofErr w:type="spellStart"/>
      <w:r>
        <w:t>Keepon</w:t>
      </w:r>
      <w:proofErr w:type="spellEnd"/>
      <w:r>
        <w:t xml:space="preserve">." The note is offered privately to a small number of qualified investors in </w:t>
      </w:r>
      <w:proofErr w:type="spellStart"/>
      <w:r>
        <w:t>RealGold's</w:t>
      </w:r>
      <w:proofErr w:type="spellEnd"/>
      <w:r>
        <w:t xml:space="preserve"> network as a transitional funding structure.</w:t>
      </w:r>
    </w:p>
    <w:p w14:paraId="00000008" w14:textId="77777777" w:rsidR="003B2048" w:rsidRDefault="003B2048">
      <w:pPr>
        <w:widowControl w:val="0"/>
        <w:pBdr>
          <w:top w:val="nil"/>
          <w:left w:val="nil"/>
          <w:bottom w:val="nil"/>
          <w:right w:val="nil"/>
          <w:between w:val="nil"/>
        </w:pBdr>
      </w:pPr>
    </w:p>
    <w:p w14:paraId="00000009" w14:textId="77777777" w:rsidR="003B2048" w:rsidRDefault="00000000">
      <w:r>
        <w:rPr>
          <w:b/>
          <w:bCs/>
        </w:rPr>
        <w:t>Key note terms (from the term sheet and promissory note):</w:t>
      </w:r>
    </w:p>
    <w:p w14:paraId="0000000A" w14:textId="77777777" w:rsidR="003B2048" w:rsidRDefault="003B2048">
      <w:pPr>
        <w:widowControl w:val="0"/>
        <w:pBdr>
          <w:top w:val="nil"/>
          <w:left w:val="nil"/>
          <w:bottom w:val="nil"/>
          <w:right w:val="nil"/>
          <w:between w:val="nil"/>
        </w:pBdr>
      </w:pPr>
    </w:p>
    <w:p w14:paraId="0000000B" w14:textId="77777777" w:rsidR="003B2048" w:rsidRDefault="00000000">
      <w:pPr>
        <w:numPr>
          <w:ilvl w:val="0"/>
          <w:numId w:val="2"/>
        </w:numPr>
      </w:pPr>
      <w:r>
        <w:rPr>
          <w:b/>
          <w:bCs/>
        </w:rPr>
        <w:t>Borrower:</w:t>
      </w:r>
      <w:r>
        <w:t xml:space="preserve"> Regenerative Assets LLC (a Wyoming software company that builds the </w:t>
      </w:r>
      <w:proofErr w:type="spellStart"/>
      <w:r>
        <w:t>RealGold</w:t>
      </w:r>
      <w:proofErr w:type="spellEnd"/>
      <w:r>
        <w:t xml:space="preserve"> infrastructure).</w:t>
      </w:r>
    </w:p>
    <w:p w14:paraId="0000000C" w14:textId="77777777" w:rsidR="003B2048" w:rsidRDefault="00000000">
      <w:pPr>
        <w:numPr>
          <w:ilvl w:val="0"/>
          <w:numId w:val="2"/>
        </w:numPr>
      </w:pPr>
      <w:r>
        <w:rPr>
          <w:b/>
          <w:bCs/>
        </w:rPr>
        <w:t>Launch round size:</w:t>
      </w:r>
      <w:r>
        <w:t xml:space="preserve"> up to </w:t>
      </w:r>
      <w:r>
        <w:rPr>
          <w:b/>
          <w:bCs/>
        </w:rPr>
        <w:t>$1,500,000</w:t>
      </w:r>
      <w:r>
        <w:t>.</w:t>
      </w:r>
    </w:p>
    <w:p w14:paraId="0000000D" w14:textId="77777777" w:rsidR="003B2048" w:rsidRDefault="00000000">
      <w:pPr>
        <w:numPr>
          <w:ilvl w:val="0"/>
          <w:numId w:val="2"/>
        </w:numPr>
      </w:pPr>
      <w:r>
        <w:rPr>
          <w:b/>
          <w:bCs/>
        </w:rPr>
        <w:t>Interest rate:</w:t>
      </w:r>
      <w:r>
        <w:t xml:space="preserve"> </w:t>
      </w:r>
      <w:r>
        <w:rPr>
          <w:b/>
          <w:bCs/>
        </w:rPr>
        <w:t>12% per annum, simple interest.</w:t>
      </w:r>
    </w:p>
    <w:p w14:paraId="0000000E" w14:textId="77777777" w:rsidR="003B2048" w:rsidRDefault="00000000">
      <w:pPr>
        <w:numPr>
          <w:ilvl w:val="0"/>
          <w:numId w:val="2"/>
        </w:numPr>
      </w:pPr>
      <w:r>
        <w:rPr>
          <w:b/>
          <w:bCs/>
        </w:rPr>
        <w:t>Maturity:</w:t>
      </w:r>
      <w:r>
        <w:t xml:space="preserve"> </w:t>
      </w:r>
      <w:r>
        <w:rPr>
          <w:b/>
          <w:bCs/>
        </w:rPr>
        <w:t>5 years</w:t>
      </w:r>
      <w:r>
        <w:t xml:space="preserve"> from the date of issuance.</w:t>
      </w:r>
    </w:p>
    <w:p w14:paraId="0000000F" w14:textId="77777777" w:rsidR="003B2048" w:rsidRDefault="00000000">
      <w:pPr>
        <w:numPr>
          <w:ilvl w:val="0"/>
          <w:numId w:val="2"/>
        </w:numPr>
      </w:pPr>
      <w:r>
        <w:rPr>
          <w:b/>
          <w:bCs/>
        </w:rPr>
        <w:t>Interest payment:</w:t>
      </w:r>
      <w:r>
        <w:t xml:space="preserve"> accrues annually, payable on the maturity date unless otherwise agreed in writing.</w:t>
      </w:r>
    </w:p>
    <w:p w14:paraId="00000010" w14:textId="77777777" w:rsidR="003B2048" w:rsidRDefault="00000000">
      <w:pPr>
        <w:numPr>
          <w:ilvl w:val="0"/>
          <w:numId w:val="2"/>
        </w:numPr>
      </w:pPr>
      <w:r>
        <w:rPr>
          <w:b/>
          <w:bCs/>
        </w:rPr>
        <w:t>Repayment:</w:t>
      </w:r>
      <w:r>
        <w:t xml:space="preserve"> in U.S. Dollars, or — at the lender's option — by other means of equivalent value.</w:t>
      </w:r>
    </w:p>
    <w:p w14:paraId="00000011" w14:textId="77777777" w:rsidR="003B2048" w:rsidRDefault="00000000">
      <w:pPr>
        <w:numPr>
          <w:ilvl w:val="0"/>
          <w:numId w:val="2"/>
        </w:numPr>
      </w:pPr>
      <w:r>
        <w:rPr>
          <w:b/>
          <w:bCs/>
        </w:rPr>
        <w:t>Prepayment:</w:t>
      </w:r>
      <w:r>
        <w:t xml:space="preserve"> the borrower may prepay in whole or part at any time, without penalty.</w:t>
      </w:r>
    </w:p>
    <w:p w14:paraId="00000012" w14:textId="77777777" w:rsidR="003B2048" w:rsidRDefault="00000000">
      <w:pPr>
        <w:numPr>
          <w:ilvl w:val="0"/>
          <w:numId w:val="2"/>
        </w:numPr>
      </w:pPr>
      <w:r>
        <w:rPr>
          <w:b/>
          <w:bCs/>
        </w:rPr>
        <w:t>Conversion to equity:</w:t>
      </w:r>
      <w:r>
        <w:t xml:space="preserve"> on a default, purchase, or liquidation event, the outstanding principal and accrued interest may, </w:t>
      </w:r>
      <w:r>
        <w:rPr>
          <w:b/>
          <w:bCs/>
        </w:rPr>
        <w:t>at the lender's option</w:t>
      </w:r>
      <w:r>
        <w:t>, convert into equity in Regenerative Assets LLC, on valuation and terms determined at the time of conversion.</w:t>
      </w:r>
    </w:p>
    <w:p w14:paraId="00000013" w14:textId="77777777" w:rsidR="003B2048" w:rsidRDefault="00000000">
      <w:pPr>
        <w:numPr>
          <w:ilvl w:val="0"/>
          <w:numId w:val="2"/>
        </w:numPr>
      </w:pPr>
      <w:r>
        <w:rPr>
          <w:b/>
          <w:bCs/>
        </w:rPr>
        <w:lastRenderedPageBreak/>
        <w:t>Status:</w:t>
      </w:r>
      <w:r>
        <w:t xml:space="preserve"> </w:t>
      </w:r>
      <w:r>
        <w:rPr>
          <w:b/>
          <w:bCs/>
        </w:rPr>
        <w:t>not</w:t>
      </w:r>
      <w:r>
        <w:t xml:space="preserve"> a registered offering; offered only to qualified/accredited investors; the note has not been registered under the Securities Act of 1933.</w:t>
      </w:r>
    </w:p>
    <w:p w14:paraId="00000014" w14:textId="77777777" w:rsidR="003B2048" w:rsidRDefault="00000000">
      <w:pPr>
        <w:pStyle w:val="Heading3"/>
      </w:pPr>
      <w:bookmarkStart w:id="3" w:name="_46j9da9jvez" w:colFirst="0" w:colLast="0"/>
      <w:bookmarkEnd w:id="3"/>
      <w:r>
        <w:t>What "Keep-</w:t>
      </w:r>
      <w:proofErr w:type="spellStart"/>
      <w:r>
        <w:t>ons</w:t>
      </w:r>
      <w:proofErr w:type="spellEnd"/>
      <w:r>
        <w:t>" (</w:t>
      </w:r>
      <w:proofErr w:type="spellStart"/>
      <w:r>
        <w:t>Keepons</w:t>
      </w:r>
      <w:proofErr w:type="spellEnd"/>
      <w:r>
        <w:t>) actually are</w:t>
      </w:r>
    </w:p>
    <w:p w14:paraId="00000015" w14:textId="77777777" w:rsidR="003B2048" w:rsidRDefault="00000000">
      <w:r>
        <w:t xml:space="preserve">A </w:t>
      </w:r>
      <w:r>
        <w:rPr>
          <w:b/>
          <w:bCs/>
        </w:rPr>
        <w:t>"</w:t>
      </w:r>
      <w:proofErr w:type="spellStart"/>
      <w:r>
        <w:rPr>
          <w:b/>
          <w:bCs/>
        </w:rPr>
        <w:t>Keepon</w:t>
      </w:r>
      <w:proofErr w:type="spellEnd"/>
      <w:r>
        <w:rPr>
          <w:b/>
          <w:bCs/>
        </w:rPr>
        <w:t>"</w:t>
      </w:r>
      <w:r>
        <w:t xml:space="preserve"> is a planned </w:t>
      </w:r>
      <w:r>
        <w:rPr>
          <w:b/>
          <w:bCs/>
        </w:rPr>
        <w:t>future</w:t>
      </w:r>
      <w:r>
        <w:t xml:space="preserve"> offering — described as a </w:t>
      </w:r>
      <w:r>
        <w:rPr>
          <w:b/>
          <w:bCs/>
        </w:rPr>
        <w:t xml:space="preserve">time-discounted right to acquire </w:t>
      </w:r>
      <w:proofErr w:type="spellStart"/>
      <w:r>
        <w:rPr>
          <w:b/>
          <w:bCs/>
        </w:rPr>
        <w:t>RealGold</w:t>
      </w:r>
      <w:proofErr w:type="spellEnd"/>
      <w:r>
        <w:rPr>
          <w:b/>
          <w:bCs/>
        </w:rPr>
        <w:t xml:space="preserve"> tokens (or related assets)</w:t>
      </w:r>
      <w:r>
        <w:t xml:space="preserve">. </w:t>
      </w:r>
      <w:proofErr w:type="spellStart"/>
      <w:r>
        <w:t>Keepons</w:t>
      </w:r>
      <w:proofErr w:type="spellEnd"/>
      <w:r>
        <w:t xml:space="preserve"> do </w:t>
      </w:r>
      <w:r>
        <w:rPr>
          <w:b/>
          <w:bCs/>
        </w:rPr>
        <w:t>not</w:t>
      </w:r>
      <w:r>
        <w:t xml:space="preserve"> exist as a defined, available instrument today.</w:t>
      </w:r>
    </w:p>
    <w:p w14:paraId="00000016" w14:textId="77777777" w:rsidR="003B2048" w:rsidRDefault="003B2048">
      <w:pPr>
        <w:widowControl w:val="0"/>
        <w:pBdr>
          <w:top w:val="nil"/>
          <w:left w:val="nil"/>
          <w:bottom w:val="nil"/>
          <w:right w:val="nil"/>
          <w:between w:val="nil"/>
        </w:pBdr>
      </w:pPr>
    </w:p>
    <w:p w14:paraId="00000017" w14:textId="77777777" w:rsidR="003B2048" w:rsidRDefault="00000000">
      <w:r>
        <w:t>The connection to the note: if Regenerative Assets later conducts a "</w:t>
      </w:r>
      <w:proofErr w:type="spellStart"/>
      <w:r>
        <w:t>Keepon</w:t>
      </w:r>
      <w:proofErr w:type="spellEnd"/>
      <w:r>
        <w:t xml:space="preserve"> Offering" during the term of the note, the borrower </w:t>
      </w:r>
      <w:r>
        <w:rPr>
          <w:b/>
          <w:bCs/>
        </w:rPr>
        <w:t>intends, but is not obligated,</w:t>
      </w:r>
      <w:r>
        <w:t xml:space="preserve"> to (a) offer the noteholder the chance to participate on preferential early-investor terms, and (b) allow the noteholder to apply some or all of their outstanding principal and interest as consideration in that </w:t>
      </w:r>
      <w:proofErr w:type="spellStart"/>
      <w:r>
        <w:t>Keepon</w:t>
      </w:r>
      <w:proofErr w:type="spellEnd"/>
      <w:r>
        <w:t xml:space="preserve"> Offering.</w:t>
      </w:r>
    </w:p>
    <w:p w14:paraId="00000018" w14:textId="77777777" w:rsidR="003B2048" w:rsidRDefault="003B2048">
      <w:pPr>
        <w:widowControl w:val="0"/>
        <w:pBdr>
          <w:top w:val="nil"/>
          <w:left w:val="nil"/>
          <w:bottom w:val="nil"/>
          <w:right w:val="nil"/>
          <w:between w:val="nil"/>
        </w:pBdr>
      </w:pPr>
    </w:p>
    <w:p w14:paraId="00000019" w14:textId="77777777" w:rsidR="003B2048" w:rsidRDefault="00000000">
      <w:r>
        <w:rPr>
          <w:b/>
          <w:bCs/>
        </w:rPr>
        <w:t>Critical framing the Assistant must preserve:</w:t>
      </w:r>
      <w:r>
        <w:t xml:space="preserve"> the </w:t>
      </w:r>
      <w:proofErr w:type="spellStart"/>
      <w:r>
        <w:t>Keepon</w:t>
      </w:r>
      <w:proofErr w:type="spellEnd"/>
      <w:r>
        <w:t xml:space="preserve"> roll-over is </w:t>
      </w:r>
      <w:r>
        <w:rPr>
          <w:b/>
          <w:bCs/>
        </w:rPr>
        <w:t>an expression of present intent only</w:t>
      </w:r>
      <w:r>
        <w:t xml:space="preserve"> — it is NOT a binding obligation to conduct a </w:t>
      </w:r>
      <w:proofErr w:type="spellStart"/>
      <w:r>
        <w:t>Keepon</w:t>
      </w:r>
      <w:proofErr w:type="spellEnd"/>
      <w:r>
        <w:t xml:space="preserve"> Offering, to issue any instrument, or to accept any exchange, unless and until set out in separate executed definitive agreements. The Assistant must describe </w:t>
      </w:r>
      <w:proofErr w:type="spellStart"/>
      <w:r>
        <w:t>Keepons</w:t>
      </w:r>
      <w:proofErr w:type="spellEnd"/>
      <w:r>
        <w:t xml:space="preserve"> as a </w:t>
      </w:r>
      <w:r>
        <w:rPr>
          <w:b/>
          <w:bCs/>
        </w:rPr>
        <w:t>forthcoming, intended, non-binding future opportunity</w:t>
      </w:r>
      <w:r>
        <w:t>, never as a promised or guaranteed instrument, and route specifics (terms, timing, discount) to the team.</w:t>
      </w:r>
    </w:p>
    <w:p w14:paraId="0000001A" w14:textId="77777777" w:rsidR="003B2048" w:rsidRDefault="00000000">
      <w:pPr>
        <w:pStyle w:val="Heading3"/>
      </w:pPr>
      <w:bookmarkStart w:id="4" w:name="_73crx6hcbf5z" w:colFirst="0" w:colLast="0"/>
      <w:bookmarkEnd w:id="4"/>
      <w:r>
        <w:t>Why the funding is structured this way</w:t>
      </w:r>
    </w:p>
    <w:p w14:paraId="0000001B" w14:textId="77777777" w:rsidR="003B2048" w:rsidRDefault="00000000">
      <w:proofErr w:type="spellStart"/>
      <w:r>
        <w:t>RealGold</w:t>
      </w:r>
      <w:proofErr w:type="spellEnd"/>
      <w:r>
        <w:t xml:space="preserve"> intends that </w:t>
      </w:r>
      <w:proofErr w:type="spellStart"/>
      <w:r>
        <w:t>RealGold</w:t>
      </w:r>
      <w:proofErr w:type="spellEnd"/>
      <w:r>
        <w:t xml:space="preserve"> itself NOT be classified by the SEC as a security — because it represents a perpetual fee interest in real estate, not a promise of future yields or the efforts of others. To stay conservative about offering tokens, </w:t>
      </w:r>
      <w:proofErr w:type="spellStart"/>
      <w:r>
        <w:rPr>
          <w:b/>
          <w:bCs/>
        </w:rPr>
        <w:t>RealGold</w:t>
      </w:r>
      <w:proofErr w:type="spellEnd"/>
      <w:r>
        <w:rPr>
          <w:b/>
          <w:bCs/>
        </w:rPr>
        <w:t xml:space="preserve"> will not offer a token to investors until there is actual present-day gold backing it.</w:t>
      </w:r>
      <w:r>
        <w:t xml:space="preserve"> The promissory note is the transitional bridge until gold assets are in the system. The shared (non-binding) intention is that the note may be repaid early via a gold-backed instrument once gold assets exist.</w:t>
      </w:r>
    </w:p>
    <w:p w14:paraId="0000001C" w14:textId="77777777" w:rsidR="003B2048" w:rsidRDefault="003B2048">
      <w:pPr>
        <w:widowControl w:val="0"/>
        <w:pBdr>
          <w:top w:val="nil"/>
          <w:left w:val="nil"/>
          <w:bottom w:val="nil"/>
          <w:right w:val="nil"/>
          <w:between w:val="nil"/>
        </w:pBdr>
      </w:pPr>
    </w:p>
    <w:p w14:paraId="0000001D" w14:textId="77777777" w:rsidR="003B2048" w:rsidRDefault="00000000">
      <w:r>
        <w:pict w14:anchorId="06FF69ED">
          <v:rect id="_x0000_i1026" style="width:0;height:1.5pt" o:hralign="center" o:hrstd="t" o:hr="t" fillcolor="#a0a0a0" stroked="f"/>
        </w:pict>
      </w:r>
    </w:p>
    <w:p w14:paraId="0000001E" w14:textId="77777777" w:rsidR="003B2048" w:rsidRDefault="00000000">
      <w:pPr>
        <w:pStyle w:val="Heading2"/>
      </w:pPr>
      <w:bookmarkStart w:id="5" w:name="_y768wa520v2b" w:colFirst="0" w:colLast="0"/>
      <w:bookmarkEnd w:id="5"/>
      <w:r>
        <w:t>2. THE THREE INVESTMENT POSITIONS ("different doors for different people")</w:t>
      </w:r>
    </w:p>
    <w:p w14:paraId="0000001F" w14:textId="77777777" w:rsidR="003B2048" w:rsidRDefault="00000000">
      <w:r>
        <w:t>Describe these as available positions; never recommend one or promise returns.</w:t>
      </w:r>
    </w:p>
    <w:p w14:paraId="00000020" w14:textId="77777777" w:rsidR="003B2048" w:rsidRDefault="003B2048">
      <w:pPr>
        <w:widowControl w:val="0"/>
        <w:pBdr>
          <w:top w:val="nil"/>
          <w:left w:val="nil"/>
          <w:bottom w:val="nil"/>
          <w:right w:val="nil"/>
          <w:between w:val="nil"/>
        </w:pBdr>
      </w:pPr>
    </w:p>
    <w:p w14:paraId="00000021" w14:textId="77777777" w:rsidR="003B2048" w:rsidRDefault="00000000">
      <w:pPr>
        <w:numPr>
          <w:ilvl w:val="0"/>
          <w:numId w:val="1"/>
        </w:numPr>
      </w:pPr>
      <w:r>
        <w:rPr>
          <w:b/>
          <w:bCs/>
        </w:rPr>
        <w:t>Build the Ecosystem (the promissory note, current raise).</w:t>
      </w:r>
      <w:r>
        <w:t xml:space="preserve"> The earliest-stage position — fund the platform build (legal structures, token rails, treasury technology) via the promissory note in Section 1. Highest-conviction, earliest entry. The forthcoming </w:t>
      </w:r>
      <w:proofErr w:type="spellStart"/>
      <w:r>
        <w:t>Keepon</w:t>
      </w:r>
      <w:proofErr w:type="spellEnd"/>
      <w:r>
        <w:t xml:space="preserve"> opportunity attaches to this position.</w:t>
      </w:r>
    </w:p>
    <w:p w14:paraId="00000022" w14:textId="77777777" w:rsidR="003B2048" w:rsidRDefault="00000000">
      <w:pPr>
        <w:numPr>
          <w:ilvl w:val="0"/>
          <w:numId w:val="1"/>
        </w:numPr>
      </w:pPr>
      <w:r>
        <w:rPr>
          <w:b/>
          <w:bCs/>
        </w:rPr>
        <w:t>Secure the Supply (the certified mineral estate).</w:t>
      </w:r>
      <w:r>
        <w:t xml:space="preserve"> Bring or acquire eligible gold-bearing property, place it into stewardship, and convey the mineral estate into the Delaware Statutory Trust. The supply side.</w:t>
      </w:r>
    </w:p>
    <w:p w14:paraId="00000023" w14:textId="77777777" w:rsidR="003B2048" w:rsidRDefault="00000000">
      <w:pPr>
        <w:numPr>
          <w:ilvl w:val="0"/>
          <w:numId w:val="1"/>
        </w:numPr>
      </w:pPr>
      <w:r>
        <w:rPr>
          <w:b/>
          <w:bCs/>
        </w:rPr>
        <w:lastRenderedPageBreak/>
        <w:t>Hold the Asset (the Delaware Statutory Trust).</w:t>
      </w:r>
      <w:r>
        <w:t xml:space="preserve"> Buy units — a fractional, undivided real-property interest designed to be eligible for tax-deferred Section 1031 treatment. (See Content Layer 1 for the deep DST/1031 mechanics.)</w:t>
      </w:r>
    </w:p>
    <w:p w14:paraId="00000024" w14:textId="77777777" w:rsidR="003B2048" w:rsidRDefault="003B2048">
      <w:pPr>
        <w:widowControl w:val="0"/>
        <w:pBdr>
          <w:top w:val="nil"/>
          <w:left w:val="nil"/>
          <w:bottom w:val="nil"/>
          <w:right w:val="nil"/>
          <w:between w:val="nil"/>
        </w:pBdr>
      </w:pPr>
    </w:p>
    <w:p w14:paraId="00000025" w14:textId="77777777" w:rsidR="003B2048" w:rsidRDefault="00000000">
      <w:r>
        <w:pict w14:anchorId="6D1F8875">
          <v:rect id="_x0000_i1027" style="width:0;height:1.5pt" o:hralign="center" o:hrstd="t" o:hr="t" fillcolor="#a0a0a0" stroked="f"/>
        </w:pict>
      </w:r>
    </w:p>
    <w:p w14:paraId="00000026" w14:textId="77777777" w:rsidR="003B2048" w:rsidRDefault="00000000">
      <w:pPr>
        <w:pStyle w:val="Heading2"/>
      </w:pPr>
      <w:bookmarkStart w:id="6" w:name="_1hw960qywewh" w:colFirst="0" w:colLast="0"/>
      <w:bookmarkEnd w:id="6"/>
      <w:r>
        <w:t>3. THE ENTITIES (corporate structure)</w:t>
      </w:r>
    </w:p>
    <w:p w14:paraId="00000027" w14:textId="77777777" w:rsidR="003B2048" w:rsidRDefault="00000000">
      <w:pPr>
        <w:numPr>
          <w:ilvl w:val="0"/>
          <w:numId w:val="3"/>
        </w:numPr>
      </w:pPr>
      <w:r>
        <w:rPr>
          <w:b/>
          <w:bCs/>
        </w:rPr>
        <w:t>Regenerative Assets LLC (Wyoming)</w:t>
      </w:r>
      <w:r>
        <w:t xml:space="preserve"> — the originating entity and software company. Initial recipient of funding; builds the legal, operational, and technical infrastructure for the whole ecosystem; contracts services; oversees formation of the other entities. It is the </w:t>
      </w:r>
      <w:r>
        <w:rPr>
          <w:b/>
          <w:bCs/>
        </w:rPr>
        <w:t>borrower</w:t>
      </w:r>
      <w:r>
        <w:t xml:space="preserve"> on the promissory note.</w:t>
      </w:r>
    </w:p>
    <w:p w14:paraId="00000028" w14:textId="77777777" w:rsidR="003B2048" w:rsidRDefault="00000000">
      <w:pPr>
        <w:numPr>
          <w:ilvl w:val="0"/>
          <w:numId w:val="3"/>
        </w:numPr>
      </w:pPr>
      <w:r>
        <w:rPr>
          <w:b/>
          <w:bCs/>
        </w:rPr>
        <w:t>Real Assets Foundation (Delaware 501(c)(6) non-profit)</w:t>
      </w:r>
      <w:r>
        <w:t xml:space="preserve"> — governance and stewardship. Maintains the Real Assets Registry, provides the asset-explorer interface, manages asset releases and market participation, upholds regenerative standards and compliance. Independently </w:t>
      </w:r>
      <w:r>
        <w:rPr>
          <w:b/>
          <w:bCs/>
        </w:rPr>
        <w:t>evaluates and certifies</w:t>
      </w:r>
      <w:r>
        <w:t xml:space="preserve"> projects (see Section 7).</w:t>
      </w:r>
    </w:p>
    <w:p w14:paraId="00000029" w14:textId="77777777" w:rsidR="003B2048" w:rsidRDefault="00000000">
      <w:pPr>
        <w:numPr>
          <w:ilvl w:val="0"/>
          <w:numId w:val="3"/>
        </w:numPr>
      </w:pPr>
      <w:proofErr w:type="spellStart"/>
      <w:r>
        <w:rPr>
          <w:b/>
          <w:bCs/>
        </w:rPr>
        <w:t>RealGold</w:t>
      </w:r>
      <w:proofErr w:type="spellEnd"/>
      <w:r>
        <w:rPr>
          <w:b/>
          <w:bCs/>
        </w:rPr>
        <w:t xml:space="preserve"> Treasury (jurisdiction to be determined)</w:t>
      </w:r>
      <w:r>
        <w:t xml:space="preserve"> — an independent entity for issuance and management of the gold-backed token: issues tokens backed by unitized in-ground gold, manages smart-contract/cross-chain infrastructure, facilitates redemption to physical gold via bullion partners, and manages liquidity mechanisms. Funded by Regenerative Assets LLC once formed.</w:t>
      </w:r>
    </w:p>
    <w:p w14:paraId="0000002A" w14:textId="77777777" w:rsidR="003B2048" w:rsidRDefault="00000000">
      <w:pPr>
        <w:numPr>
          <w:ilvl w:val="0"/>
          <w:numId w:val="3"/>
        </w:numPr>
      </w:pPr>
      <w:r>
        <w:rPr>
          <w:b/>
          <w:bCs/>
        </w:rPr>
        <w:t>Stewardship trusts (Mineral / Biological / Social estates; the Mineral Estate Trust, Great Basin Mineral Trust, etc.)</w:t>
      </w:r>
      <w:r>
        <w:t xml:space="preserve"> — hold land/mineral rights in perpetual, non-extractive stewardship and enforce non-extraction.</w:t>
      </w:r>
    </w:p>
    <w:p w14:paraId="0000002B" w14:textId="77777777" w:rsidR="003B2048" w:rsidRDefault="003B2048">
      <w:pPr>
        <w:widowControl w:val="0"/>
        <w:pBdr>
          <w:top w:val="nil"/>
          <w:left w:val="nil"/>
          <w:bottom w:val="nil"/>
          <w:right w:val="nil"/>
          <w:between w:val="nil"/>
        </w:pBdr>
      </w:pPr>
    </w:p>
    <w:p w14:paraId="0000002C" w14:textId="77777777" w:rsidR="003B2048" w:rsidRDefault="00000000">
      <w:r>
        <w:rPr>
          <w:rFonts w:ascii="Arial Unicode MS" w:eastAsia="Arial Unicode MS" w:hAnsi="Arial Unicode MS" w:cs="Arial Unicode MS"/>
        </w:rPr>
        <w:t xml:space="preserve">Operational flow: funding goes to Regenerative Assets LLC → it builds infrastructure and forms the Real Assets Foundation and </w:t>
      </w:r>
      <w:proofErr w:type="spellStart"/>
      <w:r>
        <w:rPr>
          <w:rFonts w:ascii="Arial Unicode MS" w:eastAsia="Arial Unicode MS" w:hAnsi="Arial Unicode MS" w:cs="Arial Unicode MS"/>
        </w:rPr>
        <w:t>RealGold</w:t>
      </w:r>
      <w:proofErr w:type="spellEnd"/>
      <w:r>
        <w:rPr>
          <w:rFonts w:ascii="Arial Unicode MS" w:eastAsia="Arial Unicode MS" w:hAnsi="Arial Unicode MS" w:cs="Arial Unicode MS"/>
        </w:rPr>
        <w:t xml:space="preserve"> Treasury → bank accounts established → operating funds transferred to those entities → inter-entity service contracts and intellectual-property transfers are put in place.</w:t>
      </w:r>
    </w:p>
    <w:p w14:paraId="0000002D" w14:textId="77777777" w:rsidR="003B2048" w:rsidRDefault="003B2048">
      <w:pPr>
        <w:widowControl w:val="0"/>
        <w:pBdr>
          <w:top w:val="nil"/>
          <w:left w:val="nil"/>
          <w:bottom w:val="nil"/>
          <w:right w:val="nil"/>
          <w:between w:val="nil"/>
        </w:pBdr>
      </w:pPr>
    </w:p>
    <w:p w14:paraId="0000002E" w14:textId="77777777" w:rsidR="003B2048" w:rsidRDefault="00000000">
      <w:r>
        <w:pict w14:anchorId="3DF6754B">
          <v:rect id="_x0000_i1028" style="width:0;height:1.5pt" o:hralign="center" o:hrstd="t" o:hr="t" fillcolor="#a0a0a0" stroked="f"/>
        </w:pict>
      </w:r>
    </w:p>
    <w:p w14:paraId="0000002F" w14:textId="77777777" w:rsidR="003B2048" w:rsidRDefault="00000000">
      <w:pPr>
        <w:pStyle w:val="Heading2"/>
      </w:pPr>
      <w:bookmarkStart w:id="7" w:name="_8xnknvcvcj8y" w:colFirst="0" w:colLast="0"/>
      <w:bookmarkEnd w:id="7"/>
      <w:r>
        <w:t>4. THE DUAL-MARKET MODEL (real estate + token)</w:t>
      </w:r>
    </w:p>
    <w:p w14:paraId="00000030" w14:textId="77777777" w:rsidR="003B2048" w:rsidRDefault="00000000">
      <w:proofErr w:type="spellStart"/>
      <w:r>
        <w:t>RealGold's</w:t>
      </w:r>
      <w:proofErr w:type="spellEnd"/>
      <w:r>
        <w:t xml:space="preserve"> distinguishing feature is offering gold-in-ground in </w:t>
      </w:r>
      <w:r>
        <w:rPr>
          <w:b/>
          <w:bCs/>
        </w:rPr>
        <w:t>two markets</w:t>
      </w:r>
      <w:r>
        <w:t>: as fractional real estate (the Delaware Statutory Trust) and as a gold-backed crypto token.</w:t>
      </w:r>
    </w:p>
    <w:p w14:paraId="00000031" w14:textId="77777777" w:rsidR="003B2048" w:rsidRDefault="003B2048">
      <w:pPr>
        <w:widowControl w:val="0"/>
        <w:pBdr>
          <w:top w:val="nil"/>
          <w:left w:val="nil"/>
          <w:bottom w:val="nil"/>
          <w:right w:val="nil"/>
          <w:between w:val="nil"/>
        </w:pBdr>
      </w:pPr>
    </w:p>
    <w:p w14:paraId="00000032" w14:textId="77777777" w:rsidR="003B2048" w:rsidRDefault="00000000">
      <w:pPr>
        <w:numPr>
          <w:ilvl w:val="0"/>
          <w:numId w:val="3"/>
        </w:numPr>
      </w:pPr>
      <w:r>
        <w:rPr>
          <w:b/>
          <w:bCs/>
        </w:rPr>
        <w:t>Why real property:</w:t>
      </w:r>
      <w:r>
        <w:t xml:space="preserve"> gold affixed to and not currently separable from land is legally </w:t>
      </w:r>
      <w:r>
        <w:rPr>
          <w:b/>
          <w:bCs/>
        </w:rPr>
        <w:t>real property</w:t>
      </w:r>
      <w:r>
        <w:t xml:space="preserve">, not personal property — legally, in-ground gold IS real estate. </w:t>
      </w:r>
      <w:proofErr w:type="spellStart"/>
      <w:r>
        <w:t>RealGold</w:t>
      </w:r>
      <w:proofErr w:type="spellEnd"/>
      <w:r>
        <w:t xml:space="preserve"> structures a real-estate offering that </w:t>
      </w:r>
      <w:r>
        <w:rPr>
          <w:b/>
          <w:bCs/>
        </w:rPr>
        <w:t>behaves like gold</w:t>
      </w:r>
      <w:r>
        <w:t xml:space="preserve"> (tracking gold rather than real-estate prices), which is novel value for investors with significant real-estate portfolios.</w:t>
      </w:r>
    </w:p>
    <w:p w14:paraId="00000033" w14:textId="77777777" w:rsidR="003B2048" w:rsidRDefault="00000000">
      <w:pPr>
        <w:numPr>
          <w:ilvl w:val="0"/>
          <w:numId w:val="3"/>
        </w:numPr>
      </w:pPr>
      <w:r>
        <w:rPr>
          <w:b/>
          <w:bCs/>
        </w:rPr>
        <w:t>How it behaves like gold:</w:t>
      </w:r>
      <w:r>
        <w:t xml:space="preserve"> the gold is unitized as real estate via a Delaware Statutory Trust (preserving Section 1031 eligibility), with operations structured to eliminate operating costs/profits so it behaves like passive ownership of gold. A transfer protocol </w:t>
      </w:r>
      <w:r>
        <w:lastRenderedPageBreak/>
        <w:t>relates the price of a Delaware Statutory Trust interest to a pro-rated portion of the registered ounces.</w:t>
      </w:r>
    </w:p>
    <w:p w14:paraId="00000034" w14:textId="77777777" w:rsidR="003B2048" w:rsidRDefault="00000000">
      <w:pPr>
        <w:numPr>
          <w:ilvl w:val="0"/>
          <w:numId w:val="3"/>
        </w:numPr>
      </w:pPr>
      <w:r>
        <w:rPr>
          <w:b/>
          <w:bCs/>
        </w:rPr>
        <w:t>The token</w:t>
      </w:r>
      <w:r>
        <w:t xml:space="preserve"> is a separate, gold-backed instrument issued by the </w:t>
      </w:r>
      <w:proofErr w:type="spellStart"/>
      <w:r>
        <w:t>RealGold</w:t>
      </w:r>
      <w:proofErr w:type="spellEnd"/>
      <w:r>
        <w:t xml:space="preserve"> Treasury, intended to be redeemable for physical gold via a bullion partner.</w:t>
      </w:r>
    </w:p>
    <w:p w14:paraId="00000035" w14:textId="77777777" w:rsidR="003B2048" w:rsidRDefault="003B2048">
      <w:pPr>
        <w:widowControl w:val="0"/>
        <w:pBdr>
          <w:top w:val="nil"/>
          <w:left w:val="nil"/>
          <w:bottom w:val="nil"/>
          <w:right w:val="nil"/>
          <w:between w:val="nil"/>
        </w:pBdr>
      </w:pPr>
    </w:p>
    <w:p w14:paraId="00000036" w14:textId="77777777" w:rsidR="003B2048" w:rsidRDefault="00000000">
      <w:r>
        <w:rPr>
          <w:b/>
          <w:bCs/>
        </w:rPr>
        <w:t>RETIRED LANGUAGE — DO NOT USE:</w:t>
      </w:r>
      <w:r>
        <w:t xml:space="preserve"> earlier materials framed the treasury as a "guaranteed buyer" and described a standing option for Delaware Statutory Trust holders to sell to the treasury at a gold-referenced value. The Assistant must NOT present any guaranteed buyer, standing/perpetual sell option, or formula-priced exit. Token liquidity is </w:t>
      </w:r>
      <w:r>
        <w:rPr>
          <w:b/>
          <w:bCs/>
        </w:rPr>
        <w:t>forthcoming/roadmap only</w:t>
      </w:r>
      <w:r>
        <w:t xml:space="preserve">; any independent third-party markets that may exist are outside </w:t>
      </w:r>
      <w:proofErr w:type="spellStart"/>
      <w:r>
        <w:t>RealGold's</w:t>
      </w:r>
      <w:proofErr w:type="spellEnd"/>
      <w:r>
        <w:t xml:space="preserve"> control and are not a </w:t>
      </w:r>
      <w:proofErr w:type="spellStart"/>
      <w:r>
        <w:t>RealGold</w:t>
      </w:r>
      <w:proofErr w:type="spellEnd"/>
      <w:r>
        <w:t>-provided exit. (See Content Layer 1, Section on holder pathways, and the guardrails file.)</w:t>
      </w:r>
    </w:p>
    <w:p w14:paraId="00000037" w14:textId="77777777" w:rsidR="003B2048" w:rsidRDefault="00000000">
      <w:pPr>
        <w:pStyle w:val="Heading3"/>
      </w:pPr>
      <w:bookmarkStart w:id="8" w:name="_4bp1wbgddd4y" w:colFirst="0" w:colLast="0"/>
      <w:bookmarkEnd w:id="8"/>
      <w:r>
        <w:t>Investor benefits the Assistant MAY describe (carefully, no promises)</w:t>
      </w:r>
    </w:p>
    <w:p w14:paraId="00000038" w14:textId="77777777" w:rsidR="003B2048" w:rsidRDefault="00000000">
      <w:pPr>
        <w:numPr>
          <w:ilvl w:val="0"/>
          <w:numId w:val="3"/>
        </w:numPr>
      </w:pPr>
      <w:r>
        <w:rPr>
          <w:b/>
          <w:bCs/>
        </w:rPr>
        <w:t>Hedging:</w:t>
      </w:r>
      <w:r>
        <w:t xml:space="preserve"> an asset in a real-estate portfolio that is strong yet not correlated to dips in the real-estate market.</w:t>
      </w:r>
    </w:p>
    <w:p w14:paraId="00000039" w14:textId="77777777" w:rsidR="003B2048" w:rsidRDefault="00000000">
      <w:pPr>
        <w:numPr>
          <w:ilvl w:val="0"/>
          <w:numId w:val="3"/>
        </w:numPr>
      </w:pPr>
      <w:r>
        <w:rPr>
          <w:b/>
          <w:bCs/>
        </w:rPr>
        <w:t>Handling remainders / preserving deferred-gain status:</w:t>
      </w:r>
      <w:r>
        <w:t xml:space="preserve"> the ability to place small remainders from real-estate sales into ounce-denominated interests can help an investor keep deferred-gain (1031) status across a portfolio. (Describe as a structural feature; route specific tax outcomes to the team and the investor's own tax counsel.)</w:t>
      </w:r>
    </w:p>
    <w:p w14:paraId="0000003A" w14:textId="77777777" w:rsidR="003B2048" w:rsidRDefault="00000000">
      <w:pPr>
        <w:numPr>
          <w:ilvl w:val="0"/>
          <w:numId w:val="3"/>
        </w:numPr>
      </w:pPr>
      <w:r>
        <w:rPr>
          <w:b/>
          <w:bCs/>
        </w:rPr>
        <w:t>Values alignment:</w:t>
      </w:r>
      <w:r>
        <w:t xml:space="preserve"> proceeds fund regenerative land work, local economic development, and social-impact projects (impact/ESG-reportable — not a tax credit; see guardrails).</w:t>
      </w:r>
    </w:p>
    <w:p w14:paraId="0000003B" w14:textId="77777777" w:rsidR="003B2048" w:rsidRDefault="003B2048">
      <w:pPr>
        <w:widowControl w:val="0"/>
        <w:pBdr>
          <w:top w:val="nil"/>
          <w:left w:val="nil"/>
          <w:bottom w:val="nil"/>
          <w:right w:val="nil"/>
          <w:between w:val="nil"/>
        </w:pBdr>
      </w:pPr>
    </w:p>
    <w:p w14:paraId="0000003C" w14:textId="77777777" w:rsidR="003B2048" w:rsidRDefault="00000000">
      <w:r>
        <w:pict w14:anchorId="2597E021">
          <v:rect id="_x0000_i1029" style="width:0;height:1.5pt" o:hralign="center" o:hrstd="t" o:hr="t" fillcolor="#a0a0a0" stroked="f"/>
        </w:pict>
      </w:r>
    </w:p>
    <w:p w14:paraId="0000003D" w14:textId="77777777" w:rsidR="003B2048" w:rsidRDefault="00000000">
      <w:pPr>
        <w:pStyle w:val="Heading2"/>
      </w:pPr>
      <w:bookmarkStart w:id="9" w:name="_vudzn8yrgtwd" w:colFirst="0" w:colLast="0"/>
      <w:bookmarkEnd w:id="9"/>
      <w:r>
        <w:t>5. RESOURCE UNITIZATION METHODOLOGY</w:t>
      </w:r>
    </w:p>
    <w:p w14:paraId="7EC74EF1" w14:textId="77777777" w:rsidR="00965CE9" w:rsidRPr="00965CE9" w:rsidRDefault="00965CE9" w:rsidP="00965CE9">
      <w:pPr>
        <w:widowControl w:val="0"/>
        <w:pBdr>
          <w:top w:val="nil"/>
          <w:left w:val="nil"/>
          <w:bottom w:val="nil"/>
          <w:right w:val="nil"/>
          <w:between w:val="nil"/>
        </w:pBdr>
      </w:pPr>
      <w:r w:rsidRPr="00965CE9">
        <w:t xml:space="preserve">Now I have everything I need. The problem is clear: Section 5 of Ken's document explicitly references "N.I. 43-101–compliant" geological reports, which is incorrect for the </w:t>
      </w:r>
      <w:proofErr w:type="spellStart"/>
      <w:r w:rsidRPr="00965CE9">
        <w:t>RealGold</w:t>
      </w:r>
      <w:proofErr w:type="spellEnd"/>
      <w:r w:rsidRPr="00965CE9">
        <w:t xml:space="preserve"> model. Here is a rewrite of Section 5 that synthesizes both documents correctly:</w:t>
      </w:r>
    </w:p>
    <w:p w14:paraId="3F2C7301" w14:textId="77777777" w:rsidR="00965CE9" w:rsidRPr="00965CE9" w:rsidRDefault="00965CE9" w:rsidP="00965CE9">
      <w:pPr>
        <w:widowControl w:val="0"/>
        <w:pBdr>
          <w:top w:val="nil"/>
          <w:left w:val="nil"/>
          <w:bottom w:val="nil"/>
          <w:right w:val="nil"/>
          <w:between w:val="nil"/>
        </w:pBdr>
      </w:pPr>
      <w:r w:rsidRPr="00965CE9">
        <w:pict w14:anchorId="29DD727A">
          <v:rect id="_x0000_i1048" style="width:0;height:1.5pt" o:hralign="center" o:hrstd="t" o:hr="t" fillcolor="#a0a0a0" stroked="f"/>
        </w:pict>
      </w:r>
    </w:p>
    <w:p w14:paraId="2744C628" w14:textId="77777777" w:rsidR="00965CE9" w:rsidRPr="00965CE9" w:rsidRDefault="00965CE9" w:rsidP="00965CE9">
      <w:pPr>
        <w:widowControl w:val="0"/>
        <w:pBdr>
          <w:top w:val="nil"/>
          <w:left w:val="nil"/>
          <w:bottom w:val="nil"/>
          <w:right w:val="nil"/>
          <w:between w:val="nil"/>
        </w:pBdr>
        <w:rPr>
          <w:b/>
          <w:bCs/>
        </w:rPr>
      </w:pPr>
      <w:r w:rsidRPr="00965CE9">
        <w:rPr>
          <w:b/>
          <w:bCs/>
        </w:rPr>
        <w:t>Proposed Replacement for Section 5: RESOURCE UNITIZATION METHODOLOGY</w:t>
      </w:r>
    </w:p>
    <w:p w14:paraId="1472A960" w14:textId="77777777" w:rsidR="00965CE9" w:rsidRPr="00965CE9" w:rsidRDefault="00965CE9" w:rsidP="00965CE9">
      <w:pPr>
        <w:widowControl w:val="0"/>
        <w:pBdr>
          <w:top w:val="nil"/>
          <w:left w:val="nil"/>
          <w:bottom w:val="nil"/>
          <w:right w:val="nil"/>
          <w:between w:val="nil"/>
        </w:pBdr>
      </w:pPr>
      <w:r w:rsidRPr="00965CE9">
        <w:t>Here is the corrected text, ready to drop into Ken's document:</w:t>
      </w:r>
    </w:p>
    <w:p w14:paraId="0DD88E3C" w14:textId="77777777" w:rsidR="00965CE9" w:rsidRPr="00965CE9" w:rsidRDefault="00965CE9" w:rsidP="00965CE9">
      <w:pPr>
        <w:widowControl w:val="0"/>
        <w:pBdr>
          <w:top w:val="nil"/>
          <w:left w:val="nil"/>
          <w:bottom w:val="nil"/>
          <w:right w:val="nil"/>
          <w:between w:val="nil"/>
        </w:pBdr>
      </w:pPr>
      <w:r w:rsidRPr="00965CE9">
        <w:pict w14:anchorId="2F7D8E42">
          <v:rect id="_x0000_i1049" style="width:0;height:1.5pt" o:hralign="center" o:hrstd="t" o:hr="t" fillcolor="#a0a0a0" stroked="f"/>
        </w:pict>
      </w:r>
    </w:p>
    <w:p w14:paraId="47D55CC7" w14:textId="77777777" w:rsidR="00965CE9" w:rsidRPr="00965CE9" w:rsidRDefault="00965CE9" w:rsidP="00965CE9">
      <w:pPr>
        <w:widowControl w:val="0"/>
        <w:pBdr>
          <w:top w:val="nil"/>
          <w:left w:val="nil"/>
          <w:bottom w:val="nil"/>
          <w:right w:val="nil"/>
          <w:between w:val="nil"/>
        </w:pBdr>
      </w:pPr>
      <w:r w:rsidRPr="00965CE9">
        <w:rPr>
          <w:b/>
          <w:bCs/>
        </w:rPr>
        <w:t>5. RESOURCE UNITIZATION METHODOLOGY</w:t>
      </w:r>
    </w:p>
    <w:p w14:paraId="5F5514FC" w14:textId="77777777" w:rsidR="00965CE9" w:rsidRPr="00965CE9" w:rsidRDefault="00965CE9" w:rsidP="00965CE9">
      <w:pPr>
        <w:widowControl w:val="0"/>
        <w:pBdr>
          <w:top w:val="nil"/>
          <w:left w:val="nil"/>
          <w:bottom w:val="nil"/>
          <w:right w:val="nil"/>
          <w:between w:val="nil"/>
        </w:pBdr>
      </w:pPr>
      <w:r w:rsidRPr="00965CE9">
        <w:t xml:space="preserve">All resources are first confirmed by an independent geological assessment conducted by a </w:t>
      </w:r>
      <w:r w:rsidRPr="00965CE9">
        <w:rPr>
          <w:b/>
          <w:bCs/>
        </w:rPr>
        <w:t>Qualified Person</w:t>
      </w:r>
      <w:r w:rsidRPr="00965CE9">
        <w:t xml:space="preserve"> — specifically, an </w:t>
      </w:r>
      <w:r w:rsidRPr="00965CE9">
        <w:rPr>
          <w:b/>
          <w:bCs/>
        </w:rPr>
        <w:t>AIPG Certified Professional Geologist (C.P.G.)</w:t>
      </w:r>
      <w:r w:rsidRPr="00965CE9">
        <w:t xml:space="preserve"> — before registration in the Real Assets Registry. </w:t>
      </w:r>
      <w:proofErr w:type="spellStart"/>
      <w:r w:rsidRPr="00965CE9">
        <w:t>RealGold</w:t>
      </w:r>
      <w:proofErr w:type="spellEnd"/>
      <w:r w:rsidRPr="00965CE9">
        <w:t xml:space="preserve"> does not require or rely on N.I. 43-101 reporting, which is a Canadian Securities Exchange standard. </w:t>
      </w:r>
      <w:proofErr w:type="spellStart"/>
      <w:r w:rsidRPr="00965CE9">
        <w:t>RealGold</w:t>
      </w:r>
      <w:proofErr w:type="spellEnd"/>
      <w:r w:rsidRPr="00965CE9">
        <w:t xml:space="preserve"> operates under its own </w:t>
      </w:r>
      <w:r w:rsidRPr="00965CE9">
        <w:rPr>
          <w:b/>
          <w:bCs/>
        </w:rPr>
        <w:t>RAF independent verification framework</w:t>
      </w:r>
      <w:r w:rsidRPr="00965CE9">
        <w:t>, administered by the Real Assets Foundation.</w:t>
      </w:r>
    </w:p>
    <w:p w14:paraId="5E12E774" w14:textId="77777777" w:rsidR="00965CE9" w:rsidRPr="00965CE9" w:rsidRDefault="00965CE9" w:rsidP="00965CE9">
      <w:pPr>
        <w:widowControl w:val="0"/>
        <w:pBdr>
          <w:top w:val="nil"/>
          <w:left w:val="nil"/>
          <w:bottom w:val="nil"/>
          <w:right w:val="nil"/>
          <w:between w:val="nil"/>
        </w:pBdr>
      </w:pPr>
      <w:r w:rsidRPr="00965CE9">
        <w:t xml:space="preserve">The RAF verification process produces a </w:t>
      </w:r>
      <w:r w:rsidRPr="00965CE9">
        <w:rPr>
          <w:b/>
          <w:bCs/>
        </w:rPr>
        <w:t>formal Technical Report</w:t>
      </w:r>
      <w:r w:rsidRPr="00965CE9">
        <w:t xml:space="preserve"> with certified gold resource estimates for the property. These estimates reflect the geologist's professional judgment of the in-ground resource at a stated confidence level. The resulting certified figure is the basis for all </w:t>
      </w:r>
      <w:r w:rsidRPr="00965CE9">
        <w:lastRenderedPageBreak/>
        <w:t>downstream unitization.</w:t>
      </w:r>
    </w:p>
    <w:p w14:paraId="16463A2A" w14:textId="77777777" w:rsidR="00965CE9" w:rsidRPr="00965CE9" w:rsidRDefault="00965CE9" w:rsidP="00965CE9">
      <w:pPr>
        <w:widowControl w:val="0"/>
        <w:pBdr>
          <w:top w:val="nil"/>
          <w:left w:val="nil"/>
          <w:bottom w:val="nil"/>
          <w:right w:val="nil"/>
          <w:between w:val="nil"/>
        </w:pBdr>
      </w:pPr>
      <w:r w:rsidRPr="00965CE9">
        <w:t>The progression from certification to market is:</w:t>
      </w:r>
    </w:p>
    <w:p w14:paraId="1F321BC0" w14:textId="77777777" w:rsidR="00965CE9" w:rsidRPr="00965CE9" w:rsidRDefault="00965CE9" w:rsidP="00965CE9">
      <w:pPr>
        <w:widowControl w:val="0"/>
        <w:numPr>
          <w:ilvl w:val="0"/>
          <w:numId w:val="4"/>
        </w:numPr>
        <w:pBdr>
          <w:top w:val="nil"/>
          <w:left w:val="nil"/>
          <w:bottom w:val="nil"/>
          <w:right w:val="nil"/>
          <w:between w:val="nil"/>
        </w:pBdr>
      </w:pPr>
      <w:r w:rsidRPr="00965CE9">
        <w:rPr>
          <w:b/>
          <w:bCs/>
        </w:rPr>
        <w:t>Certified Resources</w:t>
      </w:r>
      <w:r w:rsidRPr="00965CE9">
        <w:t xml:space="preserve"> (total in-ground resource as stated in the Technical Report) → </w:t>
      </w:r>
      <w:r w:rsidRPr="00965CE9">
        <w:rPr>
          <w:b/>
          <w:bCs/>
        </w:rPr>
        <w:t>Registered Resources</w:t>
      </w:r>
      <w:r w:rsidRPr="00965CE9">
        <w:t xml:space="preserve"> (portion eligible for registration in the Real Assets Registry, after applying a 10% emergency extraction holdback) → </w:t>
      </w:r>
      <w:r w:rsidRPr="00965CE9">
        <w:rPr>
          <w:b/>
          <w:bCs/>
        </w:rPr>
        <w:t>Releasable Resources</w:t>
      </w:r>
      <w:r w:rsidRPr="00965CE9">
        <w:t xml:space="preserve"> (portion eligible for market release, subject to tiered estate commitment and the minimum 2:1 over-collateralization ratio)</w:t>
      </w:r>
    </w:p>
    <w:p w14:paraId="605F5AF5" w14:textId="77777777" w:rsidR="00965CE9" w:rsidRPr="00965CE9" w:rsidRDefault="00965CE9" w:rsidP="00965CE9">
      <w:pPr>
        <w:widowControl w:val="0"/>
        <w:pBdr>
          <w:top w:val="nil"/>
          <w:left w:val="nil"/>
          <w:bottom w:val="nil"/>
          <w:right w:val="nil"/>
          <w:between w:val="nil"/>
        </w:pBdr>
      </w:pPr>
      <w:r w:rsidRPr="00965CE9">
        <w:t xml:space="preserve">The RAF applies a </w:t>
      </w:r>
      <w:r w:rsidRPr="00965CE9">
        <w:rPr>
          <w:b/>
          <w:bCs/>
        </w:rPr>
        <w:t>tiered release framework</w:t>
      </w:r>
      <w:r w:rsidRPr="00965CE9">
        <w:t xml:space="preserve"> based on the depth of regenerative commitment: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787"/>
        <w:gridCol w:w="2150"/>
        <w:gridCol w:w="1946"/>
      </w:tblGrid>
      <w:tr w:rsidR="00965CE9" w:rsidRPr="00965CE9" w14:paraId="13E5C150" w14:textId="77777777">
        <w:trPr>
          <w:tblHeader/>
          <w:tblCellSpacing w:w="15" w:type="dxa"/>
        </w:trPr>
        <w:tc>
          <w:tcPr>
            <w:tcW w:w="0" w:type="auto"/>
            <w:vAlign w:val="center"/>
            <w:hideMark/>
          </w:tcPr>
          <w:p w14:paraId="45314A69" w14:textId="77777777" w:rsidR="00965CE9" w:rsidRPr="00965CE9" w:rsidRDefault="00965CE9" w:rsidP="00965CE9">
            <w:pPr>
              <w:widowControl w:val="0"/>
              <w:pBdr>
                <w:top w:val="nil"/>
                <w:left w:val="nil"/>
                <w:bottom w:val="nil"/>
                <w:right w:val="nil"/>
                <w:between w:val="nil"/>
              </w:pBdr>
              <w:rPr>
                <w:b/>
                <w:bCs/>
              </w:rPr>
            </w:pPr>
            <w:r w:rsidRPr="00965CE9">
              <w:rPr>
                <w:b/>
                <w:bCs/>
              </w:rPr>
              <w:t>Estate Tier</w:t>
            </w:r>
          </w:p>
        </w:tc>
        <w:tc>
          <w:tcPr>
            <w:tcW w:w="0" w:type="auto"/>
            <w:vAlign w:val="center"/>
            <w:hideMark/>
          </w:tcPr>
          <w:p w14:paraId="0F007D15" w14:textId="77777777" w:rsidR="00965CE9" w:rsidRPr="00965CE9" w:rsidRDefault="00965CE9" w:rsidP="00965CE9">
            <w:pPr>
              <w:widowControl w:val="0"/>
              <w:pBdr>
                <w:top w:val="nil"/>
                <w:left w:val="nil"/>
                <w:bottom w:val="nil"/>
                <w:right w:val="nil"/>
                <w:between w:val="nil"/>
              </w:pBdr>
              <w:rPr>
                <w:b/>
                <w:bCs/>
              </w:rPr>
            </w:pPr>
            <w:r w:rsidRPr="00965CE9">
              <w:rPr>
                <w:b/>
                <w:bCs/>
              </w:rPr>
              <w:t>Commitment</w:t>
            </w:r>
          </w:p>
        </w:tc>
        <w:tc>
          <w:tcPr>
            <w:tcW w:w="0" w:type="auto"/>
            <w:vAlign w:val="center"/>
            <w:hideMark/>
          </w:tcPr>
          <w:p w14:paraId="20CB476D" w14:textId="77777777" w:rsidR="00965CE9" w:rsidRPr="00965CE9" w:rsidRDefault="00965CE9" w:rsidP="00965CE9">
            <w:pPr>
              <w:widowControl w:val="0"/>
              <w:pBdr>
                <w:top w:val="nil"/>
                <w:left w:val="nil"/>
                <w:bottom w:val="nil"/>
                <w:right w:val="nil"/>
                <w:between w:val="nil"/>
              </w:pBdr>
              <w:rPr>
                <w:b/>
                <w:bCs/>
              </w:rPr>
            </w:pPr>
            <w:r w:rsidRPr="00965CE9">
              <w:rPr>
                <w:b/>
                <w:bCs/>
              </w:rPr>
              <w:t>Units per oz of Gold</w:t>
            </w:r>
          </w:p>
        </w:tc>
        <w:tc>
          <w:tcPr>
            <w:tcW w:w="0" w:type="auto"/>
            <w:vAlign w:val="center"/>
            <w:hideMark/>
          </w:tcPr>
          <w:p w14:paraId="317FEE4D" w14:textId="77777777" w:rsidR="00965CE9" w:rsidRPr="00965CE9" w:rsidRDefault="00965CE9" w:rsidP="00965CE9">
            <w:pPr>
              <w:widowControl w:val="0"/>
              <w:pBdr>
                <w:top w:val="nil"/>
                <w:left w:val="nil"/>
                <w:bottom w:val="nil"/>
                <w:right w:val="nil"/>
                <w:between w:val="nil"/>
              </w:pBdr>
              <w:rPr>
                <w:b/>
                <w:bCs/>
              </w:rPr>
            </w:pPr>
            <w:r w:rsidRPr="00965CE9">
              <w:rPr>
                <w:b/>
                <w:bCs/>
              </w:rPr>
              <w:t>Release Schedule</w:t>
            </w:r>
          </w:p>
        </w:tc>
      </w:tr>
      <w:tr w:rsidR="00965CE9" w:rsidRPr="00965CE9" w14:paraId="5268B7F1" w14:textId="77777777">
        <w:trPr>
          <w:tblCellSpacing w:w="15" w:type="dxa"/>
        </w:trPr>
        <w:tc>
          <w:tcPr>
            <w:tcW w:w="0" w:type="auto"/>
            <w:vAlign w:val="center"/>
            <w:hideMark/>
          </w:tcPr>
          <w:p w14:paraId="7035DC85" w14:textId="77777777" w:rsidR="00965CE9" w:rsidRPr="00965CE9" w:rsidRDefault="00965CE9" w:rsidP="00965CE9">
            <w:pPr>
              <w:widowControl w:val="0"/>
              <w:pBdr>
                <w:top w:val="nil"/>
                <w:left w:val="nil"/>
                <w:bottom w:val="nil"/>
                <w:right w:val="nil"/>
                <w:between w:val="nil"/>
              </w:pBdr>
            </w:pPr>
            <w:r w:rsidRPr="00965CE9">
              <w:t>Mineral Only</w:t>
            </w:r>
          </w:p>
        </w:tc>
        <w:tc>
          <w:tcPr>
            <w:tcW w:w="0" w:type="auto"/>
            <w:vAlign w:val="center"/>
            <w:hideMark/>
          </w:tcPr>
          <w:p w14:paraId="5D59DEF0" w14:textId="77777777" w:rsidR="00965CE9" w:rsidRPr="00965CE9" w:rsidRDefault="00965CE9" w:rsidP="00965CE9">
            <w:pPr>
              <w:widowControl w:val="0"/>
              <w:pBdr>
                <w:top w:val="nil"/>
                <w:left w:val="nil"/>
                <w:bottom w:val="nil"/>
                <w:right w:val="nil"/>
                <w:between w:val="nil"/>
              </w:pBdr>
            </w:pPr>
            <w:r w:rsidRPr="00965CE9">
              <w:t>Mineral Estate only</w:t>
            </w:r>
          </w:p>
        </w:tc>
        <w:tc>
          <w:tcPr>
            <w:tcW w:w="0" w:type="auto"/>
            <w:vAlign w:val="center"/>
            <w:hideMark/>
          </w:tcPr>
          <w:p w14:paraId="5BCA8A82" w14:textId="77777777" w:rsidR="00965CE9" w:rsidRPr="00965CE9" w:rsidRDefault="00965CE9" w:rsidP="00965CE9">
            <w:pPr>
              <w:widowControl w:val="0"/>
              <w:pBdr>
                <w:top w:val="nil"/>
                <w:left w:val="nil"/>
                <w:bottom w:val="nil"/>
                <w:right w:val="nil"/>
                <w:between w:val="nil"/>
              </w:pBdr>
            </w:pPr>
            <w:r w:rsidRPr="00965CE9">
              <w:t>1 unit per 5 oz</w:t>
            </w:r>
          </w:p>
        </w:tc>
        <w:tc>
          <w:tcPr>
            <w:tcW w:w="0" w:type="auto"/>
            <w:vAlign w:val="center"/>
            <w:hideMark/>
          </w:tcPr>
          <w:p w14:paraId="04307798" w14:textId="77777777" w:rsidR="00965CE9" w:rsidRPr="00965CE9" w:rsidRDefault="00965CE9" w:rsidP="00965CE9">
            <w:pPr>
              <w:widowControl w:val="0"/>
              <w:pBdr>
                <w:top w:val="nil"/>
                <w:left w:val="nil"/>
                <w:bottom w:val="nil"/>
                <w:right w:val="nil"/>
                <w:between w:val="nil"/>
              </w:pBdr>
            </w:pPr>
            <w:r w:rsidRPr="00965CE9">
              <w:t>40 years</w:t>
            </w:r>
          </w:p>
        </w:tc>
      </w:tr>
      <w:tr w:rsidR="00965CE9" w:rsidRPr="00965CE9" w14:paraId="3AB2B9FD" w14:textId="77777777">
        <w:trPr>
          <w:tblCellSpacing w:w="15" w:type="dxa"/>
        </w:trPr>
        <w:tc>
          <w:tcPr>
            <w:tcW w:w="0" w:type="auto"/>
            <w:vAlign w:val="center"/>
            <w:hideMark/>
          </w:tcPr>
          <w:p w14:paraId="16657B76" w14:textId="77777777" w:rsidR="00965CE9" w:rsidRPr="00965CE9" w:rsidRDefault="00965CE9" w:rsidP="00965CE9">
            <w:pPr>
              <w:widowControl w:val="0"/>
              <w:pBdr>
                <w:top w:val="nil"/>
                <w:left w:val="nil"/>
                <w:bottom w:val="nil"/>
                <w:right w:val="nil"/>
                <w:between w:val="nil"/>
              </w:pBdr>
            </w:pPr>
            <w:r w:rsidRPr="00965CE9">
              <w:t>Mineral + Biological</w:t>
            </w:r>
          </w:p>
        </w:tc>
        <w:tc>
          <w:tcPr>
            <w:tcW w:w="0" w:type="auto"/>
            <w:vAlign w:val="center"/>
            <w:hideMark/>
          </w:tcPr>
          <w:p w14:paraId="4E3E085A" w14:textId="77777777" w:rsidR="00965CE9" w:rsidRPr="00965CE9" w:rsidRDefault="00965CE9" w:rsidP="00965CE9">
            <w:pPr>
              <w:widowControl w:val="0"/>
              <w:pBdr>
                <w:top w:val="nil"/>
                <w:left w:val="nil"/>
                <w:bottom w:val="nil"/>
                <w:right w:val="nil"/>
                <w:between w:val="nil"/>
              </w:pBdr>
            </w:pPr>
            <w:r w:rsidRPr="00965CE9">
              <w:t>Mineral &amp; Biological Estates</w:t>
            </w:r>
          </w:p>
        </w:tc>
        <w:tc>
          <w:tcPr>
            <w:tcW w:w="0" w:type="auto"/>
            <w:vAlign w:val="center"/>
            <w:hideMark/>
          </w:tcPr>
          <w:p w14:paraId="3CD33E29" w14:textId="77777777" w:rsidR="00965CE9" w:rsidRPr="00965CE9" w:rsidRDefault="00965CE9" w:rsidP="00965CE9">
            <w:pPr>
              <w:widowControl w:val="0"/>
              <w:pBdr>
                <w:top w:val="nil"/>
                <w:left w:val="nil"/>
                <w:bottom w:val="nil"/>
                <w:right w:val="nil"/>
                <w:between w:val="nil"/>
              </w:pBdr>
            </w:pPr>
            <w:r w:rsidRPr="00965CE9">
              <w:t>1 unit per 4 oz</w:t>
            </w:r>
          </w:p>
        </w:tc>
        <w:tc>
          <w:tcPr>
            <w:tcW w:w="0" w:type="auto"/>
            <w:vAlign w:val="center"/>
            <w:hideMark/>
          </w:tcPr>
          <w:p w14:paraId="0F048017" w14:textId="77777777" w:rsidR="00965CE9" w:rsidRPr="00965CE9" w:rsidRDefault="00965CE9" w:rsidP="00965CE9">
            <w:pPr>
              <w:widowControl w:val="0"/>
              <w:pBdr>
                <w:top w:val="nil"/>
                <w:left w:val="nil"/>
                <w:bottom w:val="nil"/>
                <w:right w:val="nil"/>
                <w:between w:val="nil"/>
              </w:pBdr>
            </w:pPr>
            <w:r w:rsidRPr="00965CE9">
              <w:t>30 years</w:t>
            </w:r>
          </w:p>
        </w:tc>
      </w:tr>
      <w:tr w:rsidR="00965CE9" w:rsidRPr="00965CE9" w14:paraId="224F08D0" w14:textId="77777777">
        <w:trPr>
          <w:tblCellSpacing w:w="15" w:type="dxa"/>
        </w:trPr>
        <w:tc>
          <w:tcPr>
            <w:tcW w:w="0" w:type="auto"/>
            <w:vAlign w:val="center"/>
            <w:hideMark/>
          </w:tcPr>
          <w:p w14:paraId="7595EB42" w14:textId="77777777" w:rsidR="00965CE9" w:rsidRPr="00965CE9" w:rsidRDefault="00965CE9" w:rsidP="00965CE9">
            <w:pPr>
              <w:widowControl w:val="0"/>
              <w:pBdr>
                <w:top w:val="nil"/>
                <w:left w:val="nil"/>
                <w:bottom w:val="nil"/>
                <w:right w:val="nil"/>
                <w:between w:val="nil"/>
              </w:pBdr>
            </w:pPr>
            <w:r w:rsidRPr="00965CE9">
              <w:t>Tripartite</w:t>
            </w:r>
          </w:p>
        </w:tc>
        <w:tc>
          <w:tcPr>
            <w:tcW w:w="0" w:type="auto"/>
            <w:vAlign w:val="center"/>
            <w:hideMark/>
          </w:tcPr>
          <w:p w14:paraId="136F46B4" w14:textId="77777777" w:rsidR="00965CE9" w:rsidRPr="00965CE9" w:rsidRDefault="00965CE9" w:rsidP="00965CE9">
            <w:pPr>
              <w:widowControl w:val="0"/>
              <w:pBdr>
                <w:top w:val="nil"/>
                <w:left w:val="nil"/>
                <w:bottom w:val="nil"/>
                <w:right w:val="nil"/>
                <w:between w:val="nil"/>
              </w:pBdr>
            </w:pPr>
            <w:r w:rsidRPr="00965CE9">
              <w:t>All Three Estates</w:t>
            </w:r>
          </w:p>
        </w:tc>
        <w:tc>
          <w:tcPr>
            <w:tcW w:w="0" w:type="auto"/>
            <w:vAlign w:val="center"/>
            <w:hideMark/>
          </w:tcPr>
          <w:p w14:paraId="2EF82775" w14:textId="77777777" w:rsidR="00965CE9" w:rsidRPr="00965CE9" w:rsidRDefault="00965CE9" w:rsidP="00965CE9">
            <w:pPr>
              <w:widowControl w:val="0"/>
              <w:pBdr>
                <w:top w:val="nil"/>
                <w:left w:val="nil"/>
                <w:bottom w:val="nil"/>
                <w:right w:val="nil"/>
                <w:between w:val="nil"/>
              </w:pBdr>
            </w:pPr>
            <w:r w:rsidRPr="00965CE9">
              <w:t>1 unit per 3 oz</w:t>
            </w:r>
          </w:p>
        </w:tc>
        <w:tc>
          <w:tcPr>
            <w:tcW w:w="0" w:type="auto"/>
            <w:vAlign w:val="center"/>
            <w:hideMark/>
          </w:tcPr>
          <w:p w14:paraId="010E7299" w14:textId="77777777" w:rsidR="00965CE9" w:rsidRPr="00965CE9" w:rsidRDefault="00965CE9" w:rsidP="00965CE9">
            <w:pPr>
              <w:widowControl w:val="0"/>
              <w:pBdr>
                <w:top w:val="nil"/>
                <w:left w:val="nil"/>
                <w:bottom w:val="nil"/>
                <w:right w:val="nil"/>
                <w:between w:val="nil"/>
              </w:pBdr>
            </w:pPr>
            <w:r w:rsidRPr="00965CE9">
              <w:t>20 years</w:t>
            </w:r>
          </w:p>
        </w:tc>
      </w:tr>
    </w:tbl>
    <w:p w14:paraId="4D11D400" w14:textId="77777777" w:rsidR="00965CE9" w:rsidRPr="00965CE9" w:rsidRDefault="00965CE9" w:rsidP="00965CE9">
      <w:pPr>
        <w:widowControl w:val="0"/>
        <w:pBdr>
          <w:top w:val="nil"/>
          <w:left w:val="nil"/>
          <w:bottom w:val="nil"/>
          <w:right w:val="nil"/>
          <w:between w:val="nil"/>
        </w:pBdr>
      </w:pPr>
      <w:r w:rsidRPr="00965CE9">
        <w:t xml:space="preserve">Year 1 availability is </w:t>
      </w:r>
      <w:r w:rsidRPr="00965CE9">
        <w:rPr>
          <w:b/>
          <w:bCs/>
        </w:rPr>
        <w:t>20% of releasable units</w:t>
      </w:r>
      <w:r w:rsidRPr="00965CE9">
        <w:t xml:space="preserve"> across all tiers. The minimum </w:t>
      </w:r>
      <w:r w:rsidRPr="00965CE9">
        <w:rPr>
          <w:b/>
          <w:bCs/>
        </w:rPr>
        <w:t>2:1 over-collateralization ratio</w:t>
      </w:r>
      <w:r w:rsidRPr="00965CE9">
        <w:t xml:space="preserve"> is maintained throughout the full release period — at least twice the equivalent ounce-value remains as verified, legally locked reserve for every unit released to market.</w:t>
      </w:r>
    </w:p>
    <w:p w14:paraId="00000044" w14:textId="77777777" w:rsidR="003B2048" w:rsidRDefault="003B2048">
      <w:pPr>
        <w:widowControl w:val="0"/>
        <w:pBdr>
          <w:top w:val="nil"/>
          <w:left w:val="nil"/>
          <w:bottom w:val="nil"/>
          <w:right w:val="nil"/>
          <w:between w:val="nil"/>
        </w:pBdr>
      </w:pPr>
    </w:p>
    <w:p w14:paraId="00000045" w14:textId="77777777" w:rsidR="003B2048" w:rsidRDefault="00000000">
      <w:r>
        <w:pict w14:anchorId="1A20C166">
          <v:rect id="_x0000_i1030" style="width:0;height:1.5pt" o:hralign="center" o:hrstd="t" o:hr="t" fillcolor="#a0a0a0" stroked="f"/>
        </w:pict>
      </w:r>
    </w:p>
    <w:p w14:paraId="00000046" w14:textId="77777777" w:rsidR="003B2048" w:rsidRDefault="00000000">
      <w:pPr>
        <w:pStyle w:val="Heading2"/>
      </w:pPr>
      <w:bookmarkStart w:id="10" w:name="_4udcg3xfer6y" w:colFirst="0" w:colLast="0"/>
      <w:bookmarkEnd w:id="10"/>
      <w:r>
        <w:t>6. THE TRIPARTITE ESTATE FRAMEWORK</w:t>
      </w:r>
    </w:p>
    <w:p w14:paraId="00000047" w14:textId="77777777" w:rsidR="003B2048" w:rsidRDefault="00000000">
      <w:proofErr w:type="spellStart"/>
      <w:r>
        <w:t>RealGold</w:t>
      </w:r>
      <w:proofErr w:type="spellEnd"/>
      <w:r>
        <w:t xml:space="preserve"> </w:t>
      </w:r>
      <w:proofErr w:type="spellStart"/>
      <w:r>
        <w:t>rebundles</w:t>
      </w:r>
      <w:proofErr w:type="spellEnd"/>
      <w:r>
        <w:t xml:space="preserve"> unified land-ownership rights into </w:t>
      </w:r>
      <w:r>
        <w:rPr>
          <w:b/>
          <w:bCs/>
        </w:rPr>
        <w:t>three interconnected, mutually accountable estates</w:t>
      </w:r>
      <w:r>
        <w:t>, each a guardian of a vital aspect of the land:</w:t>
      </w:r>
    </w:p>
    <w:p w14:paraId="00000048" w14:textId="77777777" w:rsidR="003B2048" w:rsidRDefault="003B2048">
      <w:pPr>
        <w:widowControl w:val="0"/>
        <w:pBdr>
          <w:top w:val="nil"/>
          <w:left w:val="nil"/>
          <w:bottom w:val="nil"/>
          <w:right w:val="nil"/>
          <w:between w:val="nil"/>
        </w:pBdr>
      </w:pPr>
    </w:p>
    <w:p w14:paraId="00000049" w14:textId="77777777" w:rsidR="003B2048" w:rsidRDefault="00000000">
      <w:pPr>
        <w:numPr>
          <w:ilvl w:val="0"/>
          <w:numId w:val="3"/>
        </w:numPr>
      </w:pPr>
      <w:r>
        <w:rPr>
          <w:b/>
          <w:bCs/>
        </w:rPr>
        <w:t>Mineral Estate</w:t>
      </w:r>
      <w:r>
        <w:t xml:space="preserve"> — holds rights to the minerals beneath the surface, creating a financial foundation </w:t>
      </w:r>
      <w:r>
        <w:rPr>
          <w:b/>
          <w:bCs/>
        </w:rPr>
        <w:t>without extraction</w:t>
      </w:r>
      <w:r>
        <w:t>.</w:t>
      </w:r>
    </w:p>
    <w:p w14:paraId="0000004A" w14:textId="77777777" w:rsidR="003B2048" w:rsidRDefault="00000000">
      <w:pPr>
        <w:numPr>
          <w:ilvl w:val="0"/>
          <w:numId w:val="3"/>
        </w:numPr>
      </w:pPr>
      <w:r>
        <w:rPr>
          <w:b/>
          <w:bCs/>
        </w:rPr>
        <w:t>Biological Estate</w:t>
      </w:r>
      <w:r>
        <w:t xml:space="preserve"> — supports living-systems integrity; ensures decisions enhance biodiversity and ecological health.</w:t>
      </w:r>
    </w:p>
    <w:p w14:paraId="0000004B" w14:textId="77777777" w:rsidR="003B2048" w:rsidRDefault="00000000">
      <w:pPr>
        <w:numPr>
          <w:ilvl w:val="0"/>
          <w:numId w:val="3"/>
        </w:numPr>
      </w:pPr>
      <w:r>
        <w:rPr>
          <w:b/>
          <w:bCs/>
        </w:rPr>
        <w:t>Social Estate</w:t>
      </w:r>
      <w:r>
        <w:t xml:space="preserve"> — empowers the commons with economic engines for local prosperity and broad value creation.</w:t>
      </w:r>
    </w:p>
    <w:p w14:paraId="0000004C" w14:textId="77777777" w:rsidR="003B2048" w:rsidRDefault="003B2048">
      <w:pPr>
        <w:widowControl w:val="0"/>
        <w:pBdr>
          <w:top w:val="nil"/>
          <w:left w:val="nil"/>
          <w:bottom w:val="nil"/>
          <w:right w:val="nil"/>
          <w:between w:val="nil"/>
        </w:pBdr>
      </w:pPr>
    </w:p>
    <w:p w14:paraId="0000004D" w14:textId="77777777" w:rsidR="003B2048" w:rsidRDefault="00000000">
      <w:r>
        <w:t xml:space="preserve">It initializes with a </w:t>
      </w:r>
      <w:r>
        <w:rPr>
          <w:b/>
          <w:bCs/>
        </w:rPr>
        <w:t>Declaration of Tripartite Estates</w:t>
      </w:r>
      <w:r>
        <w:t xml:space="preserve">, legally </w:t>
      </w:r>
      <w:proofErr w:type="spellStart"/>
      <w:r>
        <w:t>rebundling</w:t>
      </w:r>
      <w:proofErr w:type="spellEnd"/>
      <w:r>
        <w:t xml:space="preserve"> ownership into three freehold, </w:t>
      </w:r>
      <w:proofErr w:type="spellStart"/>
      <w:r>
        <w:t>deedable</w:t>
      </w:r>
      <w:proofErr w:type="spellEnd"/>
      <w:r>
        <w:t xml:space="preserve"> estates (entity type varies by jurisdiction). A structured release schedule grants asset access to titleholders who commit to and meet regenerative performance metrics. When value is created through the Mineral Estate, it flows to enhance the Biological and Social estates — turning the traditional profit-vs-preservation tension into mutual accountability. The structure is also designed to be very difficult for a hostile actor to unwind for extractive purposes.</w:t>
      </w:r>
    </w:p>
    <w:p w14:paraId="0000004E" w14:textId="77777777" w:rsidR="003B2048" w:rsidRDefault="003B2048">
      <w:pPr>
        <w:widowControl w:val="0"/>
        <w:pBdr>
          <w:top w:val="nil"/>
          <w:left w:val="nil"/>
          <w:bottom w:val="nil"/>
          <w:right w:val="nil"/>
          <w:between w:val="nil"/>
        </w:pBdr>
      </w:pPr>
    </w:p>
    <w:p w14:paraId="0000004F" w14:textId="77777777" w:rsidR="003B2048" w:rsidRDefault="00000000">
      <w:r>
        <w:pict w14:anchorId="003E3E4A">
          <v:rect id="_x0000_i1031" style="width:0;height:1.5pt" o:hralign="center" o:hrstd="t" o:hr="t" fillcolor="#a0a0a0" stroked="f"/>
        </w:pict>
      </w:r>
    </w:p>
    <w:p w14:paraId="00000050" w14:textId="77777777" w:rsidR="003B2048" w:rsidRDefault="00000000">
      <w:pPr>
        <w:pStyle w:val="Heading2"/>
      </w:pPr>
      <w:bookmarkStart w:id="11" w:name="_oiw3o96x77b3" w:colFirst="0" w:colLast="0"/>
      <w:bookmarkEnd w:id="11"/>
      <w:r>
        <w:lastRenderedPageBreak/>
        <w:t>7. THE CHINESE WALL: EVALUATION vs. ACQUISITION</w:t>
      </w:r>
    </w:p>
    <w:p w14:paraId="00000051" w14:textId="77777777" w:rsidR="003B2048" w:rsidRDefault="00000000">
      <w:r>
        <w:t xml:space="preserve">This is </w:t>
      </w:r>
      <w:proofErr w:type="spellStart"/>
      <w:r>
        <w:t>RealGold's</w:t>
      </w:r>
      <w:proofErr w:type="spellEnd"/>
      <w:r>
        <w:t xml:space="preserve"> current posture on how the certification side and the token side relate (and it replaces any "guaranteed buyer" framing):</w:t>
      </w:r>
    </w:p>
    <w:p w14:paraId="00000052" w14:textId="77777777" w:rsidR="003B2048" w:rsidRDefault="003B2048">
      <w:pPr>
        <w:widowControl w:val="0"/>
        <w:pBdr>
          <w:top w:val="nil"/>
          <w:left w:val="nil"/>
          <w:bottom w:val="nil"/>
          <w:right w:val="nil"/>
          <w:between w:val="nil"/>
        </w:pBdr>
      </w:pPr>
    </w:p>
    <w:p w14:paraId="00000053" w14:textId="77777777" w:rsidR="003B2048" w:rsidRDefault="00000000">
      <w:pPr>
        <w:numPr>
          <w:ilvl w:val="0"/>
          <w:numId w:val="3"/>
        </w:numPr>
      </w:pPr>
      <w:r>
        <w:rPr>
          <w:b/>
          <w:bCs/>
        </w:rPr>
        <w:t>Real Assets Foundation</w:t>
      </w:r>
      <w:r>
        <w:t xml:space="preserve"> independently </w:t>
      </w:r>
      <w:r>
        <w:rPr>
          <w:b/>
          <w:bCs/>
        </w:rPr>
        <w:t>evaluates</w:t>
      </w:r>
      <w:r>
        <w:t xml:space="preserve"> projects through a series of ongoing assessments across mineral, biological, and social conservation dimensions. The evaluation is ongoing and can change over time. The Foundation may issue a </w:t>
      </w:r>
      <w:r>
        <w:rPr>
          <w:b/>
          <w:bCs/>
        </w:rPr>
        <w:t>certification mark</w:t>
      </w:r>
      <w:r>
        <w:t xml:space="preserve"> signaling assayed quality for the </w:t>
      </w:r>
      <w:proofErr w:type="spellStart"/>
      <w:r>
        <w:t>RealGold</w:t>
      </w:r>
      <w:proofErr w:type="spellEnd"/>
      <w:r>
        <w:t xml:space="preserve"> system. The Foundation produces a </w:t>
      </w:r>
      <w:r>
        <w:rPr>
          <w:b/>
          <w:bCs/>
        </w:rPr>
        <w:t>quality signal</w:t>
      </w:r>
      <w:r>
        <w:t xml:space="preserve"> — it does </w:t>
      </w:r>
      <w:r>
        <w:rPr>
          <w:b/>
          <w:bCs/>
        </w:rPr>
        <w:t>not</w:t>
      </w:r>
      <w:r>
        <w:t xml:space="preserve"> set a price.</w:t>
      </w:r>
    </w:p>
    <w:p w14:paraId="00000054" w14:textId="77777777" w:rsidR="003B2048" w:rsidRDefault="00000000">
      <w:pPr>
        <w:numPr>
          <w:ilvl w:val="0"/>
          <w:numId w:val="3"/>
        </w:numPr>
      </w:pPr>
      <w:r>
        <w:rPr>
          <w:b/>
          <w:bCs/>
        </w:rPr>
        <w:t xml:space="preserve">The </w:t>
      </w:r>
      <w:proofErr w:type="spellStart"/>
      <w:r>
        <w:rPr>
          <w:b/>
          <w:bCs/>
        </w:rPr>
        <w:t>RealGold</w:t>
      </w:r>
      <w:proofErr w:type="spellEnd"/>
      <w:r>
        <w:rPr>
          <w:b/>
          <w:bCs/>
        </w:rPr>
        <w:t xml:space="preserve"> Treasury (token side)</w:t>
      </w:r>
      <w:r>
        <w:t xml:space="preserve"> independently decides what assets to acquire and at what price, drawing on </w:t>
      </w:r>
      <w:r>
        <w:rPr>
          <w:b/>
          <w:bCs/>
        </w:rPr>
        <w:t>many inputs</w:t>
      </w:r>
      <w:r>
        <w:t xml:space="preserve"> — current markets, comparable assets, other in-ground gold/crypto projects — among which the Foundation's evaluation is </w:t>
      </w:r>
      <w:r>
        <w:rPr>
          <w:b/>
          <w:bCs/>
        </w:rPr>
        <w:t>one signal</w:t>
      </w:r>
      <w:r>
        <w:t>. Pricing and the decision to buy are formed independently on the acquisition side.</w:t>
      </w:r>
    </w:p>
    <w:p w14:paraId="00000055" w14:textId="77777777" w:rsidR="003B2048" w:rsidRDefault="00000000">
      <w:pPr>
        <w:numPr>
          <w:ilvl w:val="0"/>
          <w:numId w:val="3"/>
        </w:numPr>
      </w:pPr>
      <w:r>
        <w:t xml:space="preserve">The body that </w:t>
      </w:r>
      <w:r>
        <w:rPr>
          <w:b/>
          <w:bCs/>
        </w:rPr>
        <w:t>certifies</w:t>
      </w:r>
      <w:r>
        <w:t xml:space="preserve"> is walled off from the body that </w:t>
      </w:r>
      <w:r>
        <w:rPr>
          <w:b/>
          <w:bCs/>
        </w:rPr>
        <w:t>prices and acquires</w:t>
      </w:r>
      <w:r>
        <w:t xml:space="preserve"> — a "Chinese wall." This is what keeps certification independent from pricing.</w:t>
      </w:r>
    </w:p>
    <w:p w14:paraId="00000056" w14:textId="77777777" w:rsidR="003B2048" w:rsidRDefault="003B2048">
      <w:pPr>
        <w:widowControl w:val="0"/>
        <w:pBdr>
          <w:top w:val="nil"/>
          <w:left w:val="nil"/>
          <w:bottom w:val="nil"/>
          <w:right w:val="nil"/>
          <w:between w:val="nil"/>
        </w:pBdr>
      </w:pPr>
    </w:p>
    <w:p w14:paraId="00000057" w14:textId="77777777" w:rsidR="003B2048" w:rsidRDefault="00000000">
      <w:r>
        <w:pict w14:anchorId="11E9A215">
          <v:rect id="_x0000_i1032" style="width:0;height:1.5pt" o:hralign="center" o:hrstd="t" o:hr="t" fillcolor="#a0a0a0" stroked="f"/>
        </w:pict>
      </w:r>
    </w:p>
    <w:p w14:paraId="00000058" w14:textId="77777777" w:rsidR="003B2048" w:rsidRDefault="00000000">
      <w:pPr>
        <w:pStyle w:val="Heading2"/>
      </w:pPr>
      <w:bookmarkStart w:id="12" w:name="_ufe08bjtad65" w:colFirst="0" w:colLast="0"/>
      <w:bookmarkEnd w:id="12"/>
      <w:r>
        <w:t>8. MARKET CONTEXT (background the Assistant may use)</w:t>
      </w:r>
    </w:p>
    <w:p w14:paraId="00000059" w14:textId="77777777" w:rsidR="003B2048" w:rsidRDefault="00000000">
      <w:pPr>
        <w:numPr>
          <w:ilvl w:val="0"/>
          <w:numId w:val="3"/>
        </w:numPr>
      </w:pPr>
      <w:r>
        <w:t xml:space="preserve">Total gold ever mined: ~209,000 </w:t>
      </w:r>
      <w:proofErr w:type="spellStart"/>
      <w:r>
        <w:t>tonnes</w:t>
      </w:r>
      <w:proofErr w:type="spellEnd"/>
      <w:r>
        <w:t xml:space="preserve"> (~6.1 billion ounces); estimated market value ~$18 trillion.</w:t>
      </w:r>
    </w:p>
    <w:p w14:paraId="0000005A" w14:textId="77777777" w:rsidR="003B2048" w:rsidRDefault="00000000">
      <w:pPr>
        <w:numPr>
          <w:ilvl w:val="0"/>
          <w:numId w:val="3"/>
        </w:numPr>
      </w:pPr>
      <w:r>
        <w:t xml:space="preserve">Annual production ~4,975 </w:t>
      </w:r>
      <w:proofErr w:type="spellStart"/>
      <w:r>
        <w:t>tonnes</w:t>
      </w:r>
      <w:proofErr w:type="spellEnd"/>
      <w:r>
        <w:t>; North America ~14% of global production.</w:t>
      </w:r>
    </w:p>
    <w:p w14:paraId="0000005B" w14:textId="77777777" w:rsidR="003B2048" w:rsidRDefault="00000000">
      <w:pPr>
        <w:numPr>
          <w:ilvl w:val="0"/>
          <w:numId w:val="3"/>
        </w:numPr>
      </w:pPr>
      <w:r>
        <w:t>Gold financial holdings (bars, coins, ETFs, reserves): ~39% of supply, ~$7.2 trillion.</w:t>
      </w:r>
    </w:p>
    <w:p w14:paraId="0000005C" w14:textId="77777777" w:rsidR="003B2048" w:rsidRDefault="00000000">
      <w:pPr>
        <w:numPr>
          <w:ilvl w:val="0"/>
          <w:numId w:val="3"/>
        </w:numPr>
      </w:pPr>
      <w:r>
        <w:t>Gold is highly liquid: average daily trading volume historically ~$149 billion, spiking to ~$300 billion (Feb 2025) — comparable to U.S. Treasury markets.</w:t>
      </w:r>
    </w:p>
    <w:p w14:paraId="0000005D" w14:textId="77777777" w:rsidR="003B2048" w:rsidRDefault="00000000">
      <w:pPr>
        <w:numPr>
          <w:ilvl w:val="0"/>
          <w:numId w:val="3"/>
        </w:numPr>
      </w:pPr>
      <w:r>
        <w:t xml:space="preserve">Gold-backed cryptocurrencies have had daily trading volumes on the order of ~$100 million. (Use these as context for why a gold-tracking asset has deep underlying liquidity; always distinguish the broad gold market from </w:t>
      </w:r>
      <w:proofErr w:type="spellStart"/>
      <w:r>
        <w:t>RealGold's</w:t>
      </w:r>
      <w:proofErr w:type="spellEnd"/>
      <w:r>
        <w:t xml:space="preserve"> own private, illiquid interests.)</w:t>
      </w:r>
    </w:p>
    <w:p w14:paraId="0000005E" w14:textId="77777777" w:rsidR="003B2048" w:rsidRDefault="003B2048">
      <w:pPr>
        <w:widowControl w:val="0"/>
        <w:pBdr>
          <w:top w:val="nil"/>
          <w:left w:val="nil"/>
          <w:bottom w:val="nil"/>
          <w:right w:val="nil"/>
          <w:between w:val="nil"/>
        </w:pBdr>
      </w:pPr>
    </w:p>
    <w:p w14:paraId="0000005F" w14:textId="77777777" w:rsidR="003B2048" w:rsidRDefault="00000000">
      <w:r>
        <w:pict w14:anchorId="32562FAC">
          <v:rect id="_x0000_i1033" style="width:0;height:1.5pt" o:hralign="center" o:hrstd="t" o:hr="t" fillcolor="#a0a0a0" stroked="f"/>
        </w:pict>
      </w:r>
    </w:p>
    <w:p w14:paraId="00000060" w14:textId="77777777" w:rsidR="003B2048" w:rsidRDefault="00000000">
      <w:pPr>
        <w:pStyle w:val="Heading2"/>
      </w:pPr>
      <w:bookmarkStart w:id="13" w:name="_stszkengjiv" w:colFirst="0" w:colLast="0"/>
      <w:bookmarkEnd w:id="13"/>
      <w:r>
        <w:t xml:space="preserve">9. COMPETITIVE POSITIONING (how </w:t>
      </w:r>
      <w:proofErr w:type="spellStart"/>
      <w:r>
        <w:t>RealGold</w:t>
      </w:r>
      <w:proofErr w:type="spellEnd"/>
      <w:r>
        <w:t xml:space="preserve"> differs)</w:t>
      </w:r>
    </w:p>
    <w:p w14:paraId="00000061" w14:textId="77777777" w:rsidR="003B2048" w:rsidRDefault="00000000">
      <w:r>
        <w:t xml:space="preserve">Against traditional gold instruments (ETFs, funds, vaulted gold) and vaulted crypto-gold, </w:t>
      </w:r>
      <w:proofErr w:type="spellStart"/>
      <w:r>
        <w:t>RealGold</w:t>
      </w:r>
      <w:proofErr w:type="spellEnd"/>
      <w:r>
        <w:t xml:space="preserve"> positions as:</w:t>
      </w:r>
    </w:p>
    <w:p w14:paraId="00000062" w14:textId="77777777" w:rsidR="003B2048" w:rsidRDefault="003B2048">
      <w:pPr>
        <w:widowControl w:val="0"/>
        <w:pBdr>
          <w:top w:val="nil"/>
          <w:left w:val="nil"/>
          <w:bottom w:val="nil"/>
          <w:right w:val="nil"/>
          <w:between w:val="nil"/>
        </w:pBdr>
      </w:pPr>
    </w:p>
    <w:p w14:paraId="00000063" w14:textId="77777777" w:rsidR="003B2048" w:rsidRDefault="00000000">
      <w:pPr>
        <w:numPr>
          <w:ilvl w:val="0"/>
          <w:numId w:val="3"/>
        </w:numPr>
      </w:pPr>
      <w:r>
        <w:rPr>
          <w:b/>
          <w:bCs/>
        </w:rPr>
        <w:t>Non-dilutive</w:t>
      </w:r>
      <w:r>
        <w:t xml:space="preserve"> (no management-fee dilution of the underlying), vs. ETFs/funds which dilute via fees.</w:t>
      </w:r>
    </w:p>
    <w:p w14:paraId="00000064" w14:textId="77777777" w:rsidR="003B2048" w:rsidRDefault="00000000">
      <w:pPr>
        <w:numPr>
          <w:ilvl w:val="0"/>
          <w:numId w:val="3"/>
        </w:numPr>
      </w:pPr>
      <w:r>
        <w:rPr>
          <w:b/>
          <w:bCs/>
        </w:rPr>
        <w:t>Tax-advantaged</w:t>
      </w:r>
      <w:r>
        <w:t xml:space="preserve"> via Section 1031 eligibility (the real-estate track) — a feature traditional gold products lack.</w:t>
      </w:r>
    </w:p>
    <w:p w14:paraId="00000065" w14:textId="77777777" w:rsidR="003B2048" w:rsidRDefault="00000000">
      <w:pPr>
        <w:numPr>
          <w:ilvl w:val="0"/>
          <w:numId w:val="3"/>
        </w:numPr>
      </w:pPr>
      <w:r>
        <w:rPr>
          <w:b/>
          <w:bCs/>
        </w:rPr>
        <w:t>ESG/regenerative</w:t>
      </w:r>
      <w:r>
        <w:t xml:space="preserve"> — proceeds fund regeneration; traditional products are not designed for ecological/social impact.</w:t>
      </w:r>
    </w:p>
    <w:p w14:paraId="00000066" w14:textId="77777777" w:rsidR="003B2048" w:rsidRDefault="00000000">
      <w:pPr>
        <w:numPr>
          <w:ilvl w:val="0"/>
          <w:numId w:val="3"/>
        </w:numPr>
      </w:pPr>
      <w:r>
        <w:rPr>
          <w:b/>
          <w:bCs/>
        </w:rPr>
        <w:lastRenderedPageBreak/>
        <w:t>High transparency</w:t>
      </w:r>
      <w:r>
        <w:t xml:space="preserve"> — full chain-of-custody/provenance on the Registry. </w:t>
      </w:r>
      <w:proofErr w:type="spellStart"/>
      <w:r>
        <w:t>RealGold's</w:t>
      </w:r>
      <w:proofErr w:type="spellEnd"/>
      <w:r>
        <w:t xml:space="preserve"> novel category is </w:t>
      </w:r>
      <w:r>
        <w:rPr>
          <w:b/>
          <w:bCs/>
        </w:rPr>
        <w:t>gold-in-ground-backed</w:t>
      </w:r>
      <w:r>
        <w:t xml:space="preserve"> — distinct from both paper gold and vaulted-physical crypto gold.</w:t>
      </w:r>
    </w:p>
    <w:p w14:paraId="00000067" w14:textId="77777777" w:rsidR="003B2048" w:rsidRDefault="003B2048">
      <w:pPr>
        <w:widowControl w:val="0"/>
        <w:pBdr>
          <w:top w:val="nil"/>
          <w:left w:val="nil"/>
          <w:bottom w:val="nil"/>
          <w:right w:val="nil"/>
          <w:between w:val="nil"/>
        </w:pBdr>
      </w:pPr>
    </w:p>
    <w:p w14:paraId="00000068" w14:textId="77777777" w:rsidR="003B2048" w:rsidRDefault="00000000">
      <w:r>
        <w:pict w14:anchorId="59DCF967">
          <v:rect id="_x0000_i1034" style="width:0;height:1.5pt" o:hralign="center" o:hrstd="t" o:hr="t" fillcolor="#a0a0a0" stroked="f"/>
        </w:pict>
      </w:r>
    </w:p>
    <w:p w14:paraId="00000069" w14:textId="77777777" w:rsidR="003B2048" w:rsidRDefault="00000000">
      <w:pPr>
        <w:pStyle w:val="Heading2"/>
      </w:pPr>
      <w:bookmarkStart w:id="14" w:name="_pb5fcsnahuvo" w:colFirst="0" w:colLast="0"/>
      <w:bookmarkEnd w:id="14"/>
      <w:r>
        <w:t>10. DISCLOSURE &amp; RISK POSTURE (strengthens the Assistant — keep these in mind)</w:t>
      </w:r>
    </w:p>
    <w:p w14:paraId="0000006A" w14:textId="77777777" w:rsidR="003B2048" w:rsidRDefault="00000000">
      <w:r>
        <w:t>The Assistant should reflect this posture and never contradict it:</w:t>
      </w:r>
    </w:p>
    <w:p w14:paraId="0000006B" w14:textId="77777777" w:rsidR="003B2048" w:rsidRDefault="003B2048">
      <w:pPr>
        <w:widowControl w:val="0"/>
        <w:pBdr>
          <w:top w:val="nil"/>
          <w:left w:val="nil"/>
          <w:bottom w:val="nil"/>
          <w:right w:val="nil"/>
          <w:between w:val="nil"/>
        </w:pBdr>
      </w:pPr>
    </w:p>
    <w:p w14:paraId="0000006C" w14:textId="77777777" w:rsidR="003B2048" w:rsidRDefault="00000000">
      <w:pPr>
        <w:numPr>
          <w:ilvl w:val="0"/>
          <w:numId w:val="3"/>
        </w:numPr>
      </w:pPr>
      <w:r>
        <w:rPr>
          <w:b/>
          <w:bCs/>
        </w:rPr>
        <w:t>No offer or solicitation.</w:t>
      </w:r>
      <w:r>
        <w:t xml:space="preserve"> Information is for discussion only; it is not an offer to sell or a solicitation to buy any security, token, or instrument. Any actual offer is made only via definitive documents (e.g., a private-placement memorandum and subscription agreements) and only to accredited investors / qualified purchasers.</w:t>
      </w:r>
    </w:p>
    <w:p w14:paraId="0000006D" w14:textId="77777777" w:rsidR="003B2048" w:rsidRDefault="00000000">
      <w:pPr>
        <w:numPr>
          <w:ilvl w:val="0"/>
          <w:numId w:val="3"/>
        </w:numPr>
      </w:pPr>
      <w:r>
        <w:rPr>
          <w:b/>
          <w:bCs/>
        </w:rPr>
        <w:t>Independent evaluation required.</w:t>
      </w:r>
      <w:r>
        <w:t xml:space="preserve"> Prospective investors must conduct their own investigation and consult their own legal, tax, accounting, technical, and environmental advisers before any investment decision.</w:t>
      </w:r>
    </w:p>
    <w:p w14:paraId="0000006E" w14:textId="77777777" w:rsidR="003B2048" w:rsidRDefault="00000000">
      <w:pPr>
        <w:numPr>
          <w:ilvl w:val="0"/>
          <w:numId w:val="3"/>
        </w:numPr>
      </w:pPr>
      <w:r>
        <w:rPr>
          <w:b/>
          <w:bCs/>
        </w:rPr>
        <w:t>Key risk factors to acknowledge honestly when asked:</w:t>
      </w:r>
      <w:r>
        <w:t xml:space="preserve"> token classification under securities/commodities/money-transmission law is uncertain; changes to IRC §1031, DST regulation, or state real-property law could impair the real-estate track; geological estimates may differ from actual in-ground tonnage/grade/continuity; title/access/environmental issues can arise; and secondary liquidity for tokens or Delaware Statutory Trust interests may be thin, volatile, or unavailable.</w:t>
      </w:r>
    </w:p>
    <w:p w14:paraId="0000006F" w14:textId="77777777" w:rsidR="003B2048" w:rsidRDefault="00000000">
      <w:pPr>
        <w:numPr>
          <w:ilvl w:val="0"/>
          <w:numId w:val="3"/>
        </w:numPr>
      </w:pPr>
      <w:r>
        <w:rPr>
          <w:b/>
          <w:bCs/>
        </w:rPr>
        <w:t>Forward-looking statements</w:t>
      </w:r>
      <w:r>
        <w:t xml:space="preserve"> (projections, release schedules, roadmap) are estimates, not guarantees.</w:t>
      </w:r>
    </w:p>
    <w:p w14:paraId="00000070" w14:textId="77777777" w:rsidR="003B2048" w:rsidRDefault="003B2048">
      <w:pPr>
        <w:widowControl w:val="0"/>
        <w:pBdr>
          <w:top w:val="nil"/>
          <w:left w:val="nil"/>
          <w:bottom w:val="nil"/>
          <w:right w:val="nil"/>
          <w:between w:val="nil"/>
        </w:pBdr>
      </w:pPr>
    </w:p>
    <w:p w14:paraId="00000071" w14:textId="77777777" w:rsidR="003B2048" w:rsidRDefault="00000000">
      <w:r>
        <w:pict w14:anchorId="2E3E2CF0">
          <v:rect id="_x0000_i1035" style="width:0;height:1.5pt" o:hralign="center" o:hrstd="t" o:hr="t" fillcolor="#a0a0a0" stroked="f"/>
        </w:pict>
      </w:r>
    </w:p>
    <w:p w14:paraId="00000072" w14:textId="77777777" w:rsidR="003B2048" w:rsidRDefault="003B2048">
      <w:pPr>
        <w:widowControl w:val="0"/>
        <w:pBdr>
          <w:top w:val="nil"/>
          <w:left w:val="nil"/>
          <w:bottom w:val="nil"/>
          <w:right w:val="nil"/>
          <w:between w:val="nil"/>
        </w:pBdr>
      </w:pPr>
    </w:p>
    <w:p w14:paraId="00000073" w14:textId="77777777" w:rsidR="003B2048" w:rsidRDefault="00000000">
      <w:r>
        <w:rPr>
          <w:i/>
          <w:iCs/>
        </w:rPr>
        <w:t>End of Content Layer 2. Pairs with the control-layer guardrails file and Content Layer 1 (DST/1031). Excluded from the Assistant by design: bank/wire/account details, and internal market-making tactics. Retired by design: "guaranteed buyer" / standing option to sell to the treasury.</w:t>
      </w:r>
    </w:p>
    <w:p w14:paraId="00000074" w14:textId="77777777" w:rsidR="003B2048" w:rsidRDefault="003B2048"/>
    <w:sectPr w:rsidR="003B204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69CC8EA-6471-4612-8CA1-9BDBE2C17CA6}"/>
  </w:font>
  <w:font w:name="Cambria">
    <w:panose1 w:val="02040503050406030204"/>
    <w:charset w:val="00"/>
    <w:family w:val="roman"/>
    <w:pitch w:val="variable"/>
    <w:sig w:usb0="E00006FF" w:usb1="420024FF" w:usb2="02000000" w:usb3="00000000" w:csb0="0000019F" w:csb1="00000000"/>
    <w:embedRegular r:id="rId2" w:fontKey="{37D740F1-34D2-487D-A904-FBFCCCC2B9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F68"/>
    <w:multiLevelType w:val="multilevel"/>
    <w:tmpl w:val="4D42516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8EE22EB"/>
    <w:multiLevelType w:val="multilevel"/>
    <w:tmpl w:val="712659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6FE2422"/>
    <w:multiLevelType w:val="multilevel"/>
    <w:tmpl w:val="EB5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B73D8"/>
    <w:multiLevelType w:val="multilevel"/>
    <w:tmpl w:val="D7C096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89710653">
    <w:abstractNumId w:val="0"/>
  </w:num>
  <w:num w:numId="2" w16cid:durableId="231086571">
    <w:abstractNumId w:val="3"/>
  </w:num>
  <w:num w:numId="3" w16cid:durableId="1713845683">
    <w:abstractNumId w:val="1"/>
  </w:num>
  <w:num w:numId="4" w16cid:durableId="75074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048"/>
    <w:rsid w:val="003B2048"/>
    <w:rsid w:val="00965CE9"/>
    <w:rsid w:val="00AE0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216A"/>
  <w15:docId w15:val="{E4E3865D-8351-4F99-8387-F95F29BD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2397</Words>
  <Characters>13667</Characters>
  <Application>Microsoft Office Word</Application>
  <DocSecurity>0</DocSecurity>
  <Lines>113</Lines>
  <Paragraphs>32</Paragraphs>
  <ScaleCrop>false</ScaleCrop>
  <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Currington</cp:lastModifiedBy>
  <cp:revision>2</cp:revision>
  <dcterms:created xsi:type="dcterms:W3CDTF">2026-06-25T22:16:00Z</dcterms:created>
  <dcterms:modified xsi:type="dcterms:W3CDTF">2026-06-25T22:17:00Z</dcterms:modified>
</cp:coreProperties>
</file>