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조용호 공동창업자 · albooooza@gmail.com · 010-4692-4946</w:t>
      </w:r>
    </w:p>
    <w:p>
      <w:pPr>
        <w:jc w:val="left"/>
      </w:pPr>
      <w:r>
        <w:rPr>
          <w:b/>
          <w:sz w:val="30"/>
        </w:rPr>
        <w:t>선도지구 선정되면 거래 먼저 멈춘다 — 분당·부산, 직후 1~3개월 거래 최대 62% 급감</w:t>
      </w:r>
    </w:p>
    <w:p>
      <w:r>
        <w:rPr>
          <w:b/>
          <w:color w:val="1268D3"/>
          <w:sz w:val="23"/>
        </w:rPr>
        <w:t>콕집, 선정 시점 맞춰 비교 — 가격은 곧바로 9~18% 올라 유지 · 대전은 지금 그 초입</w:t>
      </w:r>
    </w:p>
    <w:p>
      <w:r>
        <w:t>노후계획도시 정비 선도지구로 선정된 지역은 발표 직후 거래가 먼저 멈추고, 가격은 곧바로 올라 유지되는 흐름을 보인 것으로 나타났다. 부동산 데이터 플랫폼 콕집(koczip.com)이 앞서 선정된 분당(2024년 11월, 12개 단지 10,738세대)과 부산(2025년 12월, 5개 단지 7,318세대)을 **선정 시점에 맞춰** 비교한 결과다. 선정 후 1개월 시점 매매 거래량은 분당이 선정 전 대비 45.6%, 부산이 10.4% 줄었고, 분당은 2개월 시점에 61.6%까지 감소했다. 반면 평균 실거래가는 두 지역 모두 선정 직후부터 올라 분당 14~18%, 부산 9~12% 높은 수준을 유지했다. 7월 15일 선정된 대전은 발표 엿새째로, 앞선 두 지역이 지난 구간의 초입에 있다.</w:t>
      </w:r>
    </w:p>
    <w:p>
      <w:pPr>
        <w:jc w:val="center"/>
      </w:pPr>
      <w:r>
        <w:drawing>
          <wp:inline xmlns:a="http://schemas.openxmlformats.org/drawingml/2006/main" xmlns:pic="http://schemas.openxmlformats.org/drawingml/2006/picture">
            <wp:extent cx="5832000" cy="2419660"/>
            <wp:docPr id="1" name="Picture 1"/>
            <wp:cNvGraphicFramePr>
              <a:graphicFrameLocks noChangeAspect="1"/>
            </wp:cNvGraphicFramePr>
            <a:graphic>
              <a:graphicData uri="http://schemas.openxmlformats.org/drawingml/2006/picture">
                <pic:pic>
                  <pic:nvPicPr>
                    <pic:cNvPr id="0" name="seondo_3city_chart.png"/>
                    <pic:cNvPicPr/>
                  </pic:nvPicPr>
                  <pic:blipFill>
                    <a:blip r:embed="rId9"/>
                    <a:stretch>
                      <a:fillRect/>
                    </a:stretch>
                  </pic:blipFill>
                  <pic:spPr>
                    <a:xfrm>
                      <a:off x="0" y="0"/>
                      <a:ext cx="5832000" cy="2419660"/>
                    </a:xfrm>
                    <a:prstGeom prst="rect"/>
                  </pic:spPr>
                </pic:pic>
              </a:graphicData>
            </a:graphic>
          </wp:inline>
        </w:drawing>
      </w:r>
    </w:p>
    <w:p>
      <w:r>
        <w:rPr>
          <w:b/>
          <w:sz w:val="23"/>
        </w:rPr>
        <w:t>■ 3개 도시 한눈에 비교 (콕집 DB)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7"/>
              </w:rPr>
              <w:t>항목</w:t>
            </w:r>
          </w:p>
        </w:tc>
        <w:tc>
          <w:tcPr>
            <w:tcW w:type="dxa" w:w="2160"/>
          </w:tcPr>
          <w:p>
            <w:pPr>
              <w:spacing w:after="40"/>
            </w:pPr>
            <w:r>
              <w:rPr>
                <w:b/>
                <w:sz w:val="17"/>
              </w:rPr>
              <w:t>분당 (1기 신도시)</w:t>
            </w:r>
          </w:p>
        </w:tc>
        <w:tc>
          <w:tcPr>
            <w:tcW w:type="dxa" w:w="2160"/>
          </w:tcPr>
          <w:p>
            <w:pPr>
              <w:spacing w:after="40"/>
            </w:pPr>
            <w:r>
              <w:rPr>
                <w:b/>
                <w:sz w:val="17"/>
              </w:rPr>
              <w:t>부산</w:t>
            </w:r>
          </w:p>
        </w:tc>
        <w:tc>
          <w:tcPr>
            <w:tcW w:type="dxa" w:w="2160"/>
          </w:tcPr>
          <w:p>
            <w:pPr>
              <w:spacing w:after="40"/>
            </w:pPr>
            <w:r>
              <w:rPr>
                <w:b/>
                <w:sz w:val="17"/>
              </w:rPr>
              <w:t>대전</w:t>
            </w:r>
          </w:p>
        </w:tc>
      </w:tr>
      <w:tr>
        <w:tc>
          <w:tcPr>
            <w:tcW w:type="dxa" w:w="2160"/>
          </w:tcPr>
          <w:p>
            <w:pPr>
              <w:spacing w:after="40"/>
            </w:pPr>
            <w:r>
              <w:rPr>
                <w:sz w:val="17"/>
              </w:rPr>
              <w:t>선정일</w:t>
            </w:r>
          </w:p>
        </w:tc>
        <w:tc>
          <w:tcPr>
            <w:tcW w:type="dxa" w:w="2160"/>
          </w:tcPr>
          <w:p>
            <w:pPr>
              <w:spacing w:after="40"/>
            </w:pPr>
            <w:r>
              <w:rPr>
                <w:sz w:val="17"/>
              </w:rPr>
              <w:t>2024-11-27</w:t>
            </w:r>
          </w:p>
        </w:tc>
        <w:tc>
          <w:tcPr>
            <w:tcW w:type="dxa" w:w="2160"/>
          </w:tcPr>
          <w:p>
            <w:pPr>
              <w:spacing w:after="40"/>
            </w:pPr>
            <w:r>
              <w:rPr>
                <w:sz w:val="17"/>
              </w:rPr>
              <w:t>2025-12-12</w:t>
            </w:r>
          </w:p>
        </w:tc>
        <w:tc>
          <w:tcPr>
            <w:tcW w:type="dxa" w:w="2160"/>
          </w:tcPr>
          <w:p>
            <w:pPr>
              <w:spacing w:after="40"/>
            </w:pPr>
            <w:r>
              <w:rPr>
                <w:sz w:val="17"/>
              </w:rPr>
              <w:t>2026-07-15</w:t>
            </w:r>
          </w:p>
        </w:tc>
      </w:tr>
      <w:tr>
        <w:tc>
          <w:tcPr>
            <w:tcW w:type="dxa" w:w="2160"/>
          </w:tcPr>
          <w:p>
            <w:pPr>
              <w:spacing w:after="40"/>
            </w:pPr>
            <w:r>
              <w:rPr>
                <w:sz w:val="17"/>
              </w:rPr>
              <w:t>규모</w:t>
            </w:r>
          </w:p>
        </w:tc>
        <w:tc>
          <w:tcPr>
            <w:tcW w:type="dxa" w:w="2160"/>
          </w:tcPr>
          <w:p>
            <w:pPr>
              <w:spacing w:after="40"/>
            </w:pPr>
            <w:r>
              <w:rPr>
                <w:sz w:val="17"/>
              </w:rPr>
              <w:t>12단지 10,738세대</w:t>
            </w:r>
          </w:p>
        </w:tc>
        <w:tc>
          <w:tcPr>
            <w:tcW w:type="dxa" w:w="2160"/>
          </w:tcPr>
          <w:p>
            <w:pPr>
              <w:spacing w:after="40"/>
            </w:pPr>
            <w:r>
              <w:rPr>
                <w:sz w:val="17"/>
              </w:rPr>
              <w:t>5단지 7,318세대</w:t>
            </w:r>
          </w:p>
        </w:tc>
        <w:tc>
          <w:tcPr>
            <w:tcW w:type="dxa" w:w="2160"/>
          </w:tcPr>
          <w:p>
            <w:pPr>
              <w:spacing w:after="40"/>
            </w:pPr>
            <w:r>
              <w:rPr>
                <w:sz w:val="17"/>
              </w:rPr>
              <w:t>6단지 7,797세대</w:t>
            </w:r>
          </w:p>
        </w:tc>
      </w:tr>
      <w:tr>
        <w:tc>
          <w:tcPr>
            <w:tcW w:type="dxa" w:w="2160"/>
          </w:tcPr>
          <w:p>
            <w:pPr>
              <w:spacing w:after="40"/>
            </w:pPr>
            <w:r>
              <w:rPr>
                <w:sz w:val="17"/>
              </w:rPr>
              <w:t>선정 전 12개월 (기준)</w:t>
            </w:r>
          </w:p>
        </w:tc>
        <w:tc>
          <w:tcPr>
            <w:tcW w:type="dxa" w:w="2160"/>
          </w:tcPr>
          <w:p>
            <w:pPr>
              <w:spacing w:after="40"/>
            </w:pPr>
            <w:r>
              <w:rPr>
                <w:sz w:val="17"/>
              </w:rPr>
              <w:t>월 31.2건 · 13억 3,828만</w:t>
            </w:r>
          </w:p>
        </w:tc>
        <w:tc>
          <w:tcPr>
            <w:tcW w:type="dxa" w:w="2160"/>
          </w:tcPr>
          <w:p>
            <w:pPr>
              <w:spacing w:after="40"/>
            </w:pPr>
            <w:r>
              <w:rPr>
                <w:sz w:val="17"/>
              </w:rPr>
              <w:t>월 22.3건 · 4억 3,417만</w:t>
            </w:r>
          </w:p>
        </w:tc>
        <w:tc>
          <w:tcPr>
            <w:tcW w:type="dxa" w:w="2160"/>
          </w:tcPr>
          <w:p>
            <w:pPr>
              <w:spacing w:after="40"/>
            </w:pPr>
            <w:r>
              <w:rPr>
                <w:sz w:val="17"/>
              </w:rPr>
              <w:t>월 32.5건 · 7억 6,790만</w:t>
            </w:r>
          </w:p>
        </w:tc>
      </w:tr>
      <w:tr>
        <w:tc>
          <w:tcPr>
            <w:tcW w:type="dxa" w:w="2160"/>
          </w:tcPr>
          <w:p>
            <w:pPr>
              <w:spacing w:after="40"/>
            </w:pPr>
            <w:r>
              <w:rPr>
                <w:sz w:val="17"/>
              </w:rPr>
              <w:t>+1개월 거래량</w:t>
            </w:r>
          </w:p>
        </w:tc>
        <w:tc>
          <w:tcPr>
            <w:tcW w:type="dxa" w:w="2160"/>
          </w:tcPr>
          <w:p>
            <w:pPr>
              <w:spacing w:after="40"/>
            </w:pPr>
            <w:r>
              <w:rPr>
                <w:sz w:val="17"/>
              </w:rPr>
              <w:t>-45.6%</w:t>
            </w:r>
          </w:p>
        </w:tc>
        <w:tc>
          <w:tcPr>
            <w:tcW w:type="dxa" w:w="2160"/>
          </w:tcPr>
          <w:p>
            <w:pPr>
              <w:spacing w:after="40"/>
            </w:pPr>
            <w:r>
              <w:rPr>
                <w:sz w:val="17"/>
              </w:rPr>
              <w:t>-10.4%</w:t>
            </w:r>
          </w:p>
        </w:tc>
        <w:tc>
          <w:tcPr>
            <w:tcW w:type="dxa" w:w="2160"/>
          </w:tcPr>
          <w:p>
            <w:pPr>
              <w:spacing w:after="40"/>
            </w:pPr>
            <w:r>
              <w:rPr>
                <w:sz w:val="17"/>
              </w:rPr>
              <w:t>신고 전</w:t>
            </w:r>
          </w:p>
        </w:tc>
      </w:tr>
      <w:tr>
        <w:tc>
          <w:tcPr>
            <w:tcW w:type="dxa" w:w="2160"/>
          </w:tcPr>
          <w:p>
            <w:pPr>
              <w:spacing w:after="40"/>
            </w:pPr>
            <w:r>
              <w:rPr>
                <w:sz w:val="17"/>
              </w:rPr>
              <w:t>+2개월 거래량</w:t>
            </w:r>
          </w:p>
        </w:tc>
        <w:tc>
          <w:tcPr>
            <w:tcW w:type="dxa" w:w="2160"/>
          </w:tcPr>
          <w:p>
            <w:pPr>
              <w:spacing w:after="40"/>
            </w:pPr>
            <w:r>
              <w:rPr>
                <w:sz w:val="17"/>
              </w:rPr>
              <w:t>-61.6%</w:t>
            </w:r>
          </w:p>
        </w:tc>
        <w:tc>
          <w:tcPr>
            <w:tcW w:type="dxa" w:w="2160"/>
          </w:tcPr>
          <w:p>
            <w:pPr>
              <w:spacing w:after="40"/>
            </w:pPr>
            <w:r>
              <w:rPr>
                <w:sz w:val="17"/>
              </w:rPr>
              <w:t>-26.1%</w:t>
            </w:r>
          </w:p>
        </w:tc>
        <w:tc>
          <w:tcPr>
            <w:tcW w:type="dxa" w:w="2160"/>
          </w:tcPr>
          <w:p>
            <w:pPr>
              <w:spacing w:after="40"/>
            </w:pPr>
            <w:r>
              <w:rPr>
                <w:sz w:val="17"/>
              </w:rPr>
              <w:t>신고 전</w:t>
            </w:r>
          </w:p>
        </w:tc>
      </w:tr>
      <w:tr>
        <w:tc>
          <w:tcPr>
            <w:tcW w:type="dxa" w:w="2160"/>
          </w:tcPr>
          <w:p>
            <w:pPr>
              <w:spacing w:after="40"/>
            </w:pPr>
            <w:r>
              <w:rPr>
                <w:sz w:val="17"/>
              </w:rPr>
              <w:t>+3개월 거래량</w:t>
            </w:r>
          </w:p>
        </w:tc>
        <w:tc>
          <w:tcPr>
            <w:tcW w:type="dxa" w:w="2160"/>
          </w:tcPr>
          <w:p>
            <w:pPr>
              <w:spacing w:after="40"/>
            </w:pPr>
            <w:r>
              <w:rPr>
                <w:sz w:val="17"/>
              </w:rPr>
              <w:t>-45.6%</w:t>
            </w:r>
          </w:p>
        </w:tc>
        <w:tc>
          <w:tcPr>
            <w:tcW w:type="dxa" w:w="2160"/>
          </w:tcPr>
          <w:p>
            <w:pPr>
              <w:spacing w:after="40"/>
            </w:pPr>
            <w:r>
              <w:rPr>
                <w:sz w:val="17"/>
              </w:rPr>
              <w:t>-26.9%</w:t>
            </w:r>
          </w:p>
        </w:tc>
        <w:tc>
          <w:tcPr>
            <w:tcW w:type="dxa" w:w="2160"/>
          </w:tcPr>
          <w:p>
            <w:pPr>
              <w:spacing w:after="40"/>
            </w:pPr>
            <w:r>
              <w:rPr>
                <w:sz w:val="17"/>
              </w:rPr>
              <w:t>신고 전</w:t>
            </w:r>
          </w:p>
        </w:tc>
      </w:tr>
      <w:tr>
        <w:tc>
          <w:tcPr>
            <w:tcW w:type="dxa" w:w="2160"/>
          </w:tcPr>
          <w:p>
            <w:pPr>
              <w:spacing w:after="40"/>
            </w:pPr>
            <w:r>
              <w:rPr>
                <w:sz w:val="17"/>
              </w:rPr>
              <w:t>+6개월 거래량</w:t>
            </w:r>
          </w:p>
        </w:tc>
        <w:tc>
          <w:tcPr>
            <w:tcW w:type="dxa" w:w="2160"/>
          </w:tcPr>
          <w:p>
            <w:pPr>
              <w:spacing w:after="40"/>
            </w:pPr>
            <w:r>
              <w:rPr>
                <w:sz w:val="17"/>
              </w:rPr>
              <w:t>-8.8%</w:t>
            </w:r>
          </w:p>
        </w:tc>
        <w:tc>
          <w:tcPr>
            <w:tcW w:type="dxa" w:w="2160"/>
          </w:tcPr>
          <w:p>
            <w:pPr>
              <w:spacing w:after="40"/>
            </w:pPr>
            <w:r>
              <w:rPr>
                <w:sz w:val="17"/>
              </w:rPr>
              <w:t>-22.4%</w:t>
            </w:r>
          </w:p>
        </w:tc>
        <w:tc>
          <w:tcPr>
            <w:tcW w:type="dxa" w:w="2160"/>
          </w:tcPr>
          <w:p>
            <w:pPr>
              <w:spacing w:after="40"/>
            </w:pPr>
            <w:r>
              <w:rPr>
                <w:sz w:val="17"/>
              </w:rPr>
              <w:t>신고 전</w:t>
            </w:r>
          </w:p>
        </w:tc>
      </w:tr>
      <w:tr>
        <w:tc>
          <w:tcPr>
            <w:tcW w:type="dxa" w:w="2160"/>
          </w:tcPr>
          <w:p>
            <w:pPr>
              <w:spacing w:after="40"/>
            </w:pPr>
            <w:r>
              <w:rPr>
                <w:sz w:val="17"/>
              </w:rPr>
              <w:t>+1개월 가격</w:t>
            </w:r>
          </w:p>
        </w:tc>
        <w:tc>
          <w:tcPr>
            <w:tcW w:type="dxa" w:w="2160"/>
          </w:tcPr>
          <w:p>
            <w:pPr>
              <w:spacing w:after="40"/>
            </w:pPr>
            <w:r>
              <w:rPr>
                <w:sz w:val="17"/>
              </w:rPr>
              <w:t>+15.9%</w:t>
            </w:r>
          </w:p>
        </w:tc>
        <w:tc>
          <w:tcPr>
            <w:tcW w:type="dxa" w:w="2160"/>
          </w:tcPr>
          <w:p>
            <w:pPr>
              <w:spacing w:after="40"/>
            </w:pPr>
            <w:r>
              <w:rPr>
                <w:sz w:val="17"/>
              </w:rPr>
              <w:t>+11.4%</w:t>
            </w:r>
          </w:p>
        </w:tc>
        <w:tc>
          <w:tcPr>
            <w:tcW w:type="dxa" w:w="2160"/>
          </w:tcPr>
          <w:p>
            <w:pPr>
              <w:spacing w:after="40"/>
            </w:pPr>
            <w:r>
              <w:rPr>
                <w:sz w:val="17"/>
              </w:rPr>
              <w:t>신고 전</w:t>
            </w:r>
          </w:p>
        </w:tc>
      </w:tr>
      <w:tr>
        <w:tc>
          <w:tcPr>
            <w:tcW w:type="dxa" w:w="2160"/>
          </w:tcPr>
          <w:p>
            <w:pPr>
              <w:spacing w:after="40"/>
            </w:pPr>
            <w:r>
              <w:rPr>
                <w:sz w:val="17"/>
              </w:rPr>
              <w:t>+3개월 가격</w:t>
            </w:r>
          </w:p>
        </w:tc>
        <w:tc>
          <w:tcPr>
            <w:tcW w:type="dxa" w:w="2160"/>
          </w:tcPr>
          <w:p>
            <w:pPr>
              <w:spacing w:after="40"/>
            </w:pPr>
            <w:r>
              <w:rPr>
                <w:sz w:val="17"/>
              </w:rPr>
              <w:t>+18.2%</w:t>
            </w:r>
          </w:p>
        </w:tc>
        <w:tc>
          <w:tcPr>
            <w:tcW w:type="dxa" w:w="2160"/>
          </w:tcPr>
          <w:p>
            <w:pPr>
              <w:spacing w:after="40"/>
            </w:pPr>
            <w:r>
              <w:rPr>
                <w:sz w:val="17"/>
              </w:rPr>
              <w:t>+10.3%</w:t>
            </w:r>
          </w:p>
        </w:tc>
        <w:tc>
          <w:tcPr>
            <w:tcW w:type="dxa" w:w="2160"/>
          </w:tcPr>
          <w:p>
            <w:pPr>
              <w:spacing w:after="40"/>
            </w:pPr>
            <w:r>
              <w:rPr>
                <w:sz w:val="17"/>
              </w:rPr>
              <w:t>신고 전</w:t>
            </w:r>
          </w:p>
        </w:tc>
      </w:tr>
      <w:tr>
        <w:tc>
          <w:tcPr>
            <w:tcW w:type="dxa" w:w="2160"/>
          </w:tcPr>
          <w:p>
            <w:pPr>
              <w:spacing w:after="40"/>
            </w:pPr>
            <w:r>
              <w:rPr>
                <w:sz w:val="17"/>
              </w:rPr>
              <w:t>+6개월 가격</w:t>
            </w:r>
          </w:p>
        </w:tc>
        <w:tc>
          <w:tcPr>
            <w:tcW w:type="dxa" w:w="2160"/>
          </w:tcPr>
          <w:p>
            <w:pPr>
              <w:spacing w:after="40"/>
            </w:pPr>
            <w:r>
              <w:rPr>
                <w:sz w:val="17"/>
              </w:rPr>
              <w:t>+14.8%</w:t>
            </w:r>
          </w:p>
        </w:tc>
        <w:tc>
          <w:tcPr>
            <w:tcW w:type="dxa" w:w="2160"/>
          </w:tcPr>
          <w:p>
            <w:pPr>
              <w:spacing w:after="40"/>
            </w:pPr>
            <w:r>
              <w:rPr>
                <w:sz w:val="17"/>
              </w:rPr>
              <w:t>+9.0%</w:t>
            </w:r>
          </w:p>
        </w:tc>
        <w:tc>
          <w:tcPr>
            <w:tcW w:type="dxa" w:w="2160"/>
          </w:tcPr>
          <w:p>
            <w:pPr>
              <w:spacing w:after="40"/>
            </w:pPr>
            <w:r>
              <w:rPr>
                <w:sz w:val="17"/>
              </w:rPr>
              <w:t>신고 전</w:t>
            </w:r>
          </w:p>
        </w:tc>
      </w:tr>
      <w:tr>
        <w:tc>
          <w:tcPr>
            <w:tcW w:type="dxa" w:w="2160"/>
          </w:tcPr>
          <w:p>
            <w:pPr>
              <w:spacing w:after="40"/>
            </w:pPr>
            <w:r>
              <w:rPr>
                <w:sz w:val="17"/>
              </w:rPr>
              <w:t>현재 매물 상황</w:t>
            </w:r>
          </w:p>
        </w:tc>
        <w:tc>
          <w:tcPr>
            <w:tcW w:type="dxa" w:w="2160"/>
          </w:tcPr>
          <w:p>
            <w:pPr>
              <w:spacing w:after="40"/>
            </w:pPr>
            <w:r>
              <w:rPr>
                <w:sz w:val="17"/>
              </w:rPr>
              <w:t>비교 불가 (수집 전)</w:t>
            </w:r>
          </w:p>
        </w:tc>
        <w:tc>
          <w:tcPr>
            <w:tcW w:type="dxa" w:w="2160"/>
          </w:tcPr>
          <w:p>
            <w:pPr>
              <w:spacing w:after="40"/>
            </w:pPr>
            <w:r>
              <w:rPr>
                <w:sz w:val="17"/>
              </w:rPr>
              <w:t>비교 불가 (수집 전)</w:t>
            </w:r>
          </w:p>
        </w:tc>
        <w:tc>
          <w:tcPr>
            <w:tcW w:type="dxa" w:w="2160"/>
          </w:tcPr>
          <w:p>
            <w:pPr>
              <w:spacing w:after="40"/>
            </w:pPr>
            <w:r>
              <w:rPr>
                <w:sz w:val="17"/>
              </w:rPr>
              <w:t>발표 엿새 -22.5%</w:t>
            </w:r>
          </w:p>
        </w:tc>
      </w:tr>
    </w:tbl>
    <w:p>
      <w:pPr>
        <w:spacing w:before="160" w:after="80"/>
      </w:pPr>
      <w:r>
        <w:rPr>
          <w:b/>
          <w:sz w:val="23"/>
        </w:rPr>
        <w:t>■ 왜 ‘같은 시점’으로 맞춰야 하나</w:t>
      </w:r>
    </w:p>
    <w:p>
      <w:r>
        <w:t>세 지역은 선정 시점이 각각 2024년 11월(분당), 2025년 12월(부산), 2026년 7월(대전)로 다르다. 경과 기간이 다른 상태를 그대로 나란히 놓으면 비교가 성립하지 않는다. 실제로 분당의 20개월 전체 평균과 부산의 6개월 평균을 단순 비교하면 분당은 거래가 늘고 부산은 줄어든 것처럼 보이지만, 이는 분당의 후반 회복분이 섞인 결과다. 이번 분석은 각 지역의 ‘선정 전 12개월’을 자기 기준선으로 삼고, 선정 후 1개월·2개월·3개월·6개월 시점을 같은 자리끼리 맞춰 비교했다.</w:t>
      </w:r>
    </w:p>
    <w:p>
      <w:pPr>
        <w:spacing w:before="160" w:after="80"/>
      </w:pPr>
      <w:r>
        <w:rPr>
          <w:b/>
          <w:sz w:val="23"/>
        </w:rPr>
        <w:t>■ ① 거래 — 선정 직후 멈췄다가 시차를 두고 돌아온다</w:t>
      </w:r>
    </w:p>
    <w:p>
      <w:r>
        <w:t>선정 후 거래량은 두 지역 모두 감소로 출발했다. 분당은 1개월 시점 -45.6%, 2개월 시점 -61.6%로 선정 전의 3분의 1 수준까지 떨어졌다가 3개월 -45.6%, 4개월 -26.4%, 5개월 -17.4%를 거쳐 6개월 시점에는 -8.8%로 거의 회복했다. 부산은 낙폭이 더 완만한 대신 회복도 더뎠다. 1개월 -10.4%로 시작해 3개월 시점 -26.9%로 저점을 찍은 뒤 6개월 시점에도 -22.4%에 머물렀다. 두 지역 모두 선정 직후 거래가 위축되는 국면은 공통이었지만, 6개월 시점의 회복 정도는 갈렸다.</w:t>
      </w:r>
    </w:p>
    <w:p>
      <w:pPr>
        <w:spacing w:before="160" w:after="80"/>
      </w:pPr>
      <w:r>
        <w:rPr>
          <w:b/>
          <w:sz w:val="23"/>
        </w:rPr>
        <w:t>■ ② 가격 — 거래가 멈춰도 곧바로 올라 유지된다</w:t>
      </w:r>
    </w:p>
    <w:p>
      <w:r>
        <w:t>거래가 줄어드는 동안에도 평균 실거래가는 두 지역 모두 선정 직후부터 상승했다. 분당은 1개월 시점 이미 선정 전보다 15.9% 높았고, 3개월 시점 18.2%까지 오른 뒤 6개월 시점 14.8%를 유지했다. 부산은 1개월 시점 11.4%로 시작해 6개월 시점 9.0%로 다소 낮아졌지만 선정 전 수준을 계속 웃돌았다. 거래 건수가 줄어든 상태에서 나온 평균가라는 점은 감안해야 하지만, 두 지역에서 같은 방향이 확인됐다는 점은 공통적이다.</w:t>
      </w:r>
    </w:p>
    <w:p>
      <w:pPr>
        <w:spacing w:before="160" w:after="80"/>
      </w:pPr>
      <w:r>
        <w:rPr>
          <w:b/>
          <w:sz w:val="23"/>
        </w:rPr>
        <w:t>■ ③ 대전 — 지금은 매물이 잠긴 초입</w:t>
      </w:r>
    </w:p>
    <w:p>
      <w:r>
        <w:t>대전 선도지구 6개 단지는 발표 전날인 7월 14일 227건이던 매매 광고매물이 7월 20일 176건으로 22.5% 줄었다. 실매물 기준으로도 144건에서 117건으로 18.8% 감소했다. 같은 동네의 선정되지 않은 단지들은 거의 움직이지 않았다. 둔산동 비선정 69개 단지는 2.1% 늘었고 법동 8개 단지는 1.5% 증가했으며 탄방동 33개 단지는 2.8% 줄어드는 데 그쳤다. 매물이 줄어든 경로도 통념과 달랐다. 발표 후 엿새간 신규 등록이 61건에서 39건으로 36% 급감한 반면 회수는 69건에서 82건으로 19% 느는 데 그쳐, 이미 나온 물건을 거둬들인 것보다 새 물건이 나오지 않은 영향이 더 컸다. 대전은 아직 발표 후 실거래 신고가 접수되지 않아(신고 기한 30일) 거래량·가격은 다음 달부터 확인된다.</w:t>
      </w:r>
    </w:p>
    <w:p>
      <w:pPr>
        <w:spacing w:before="160" w:after="80"/>
      </w:pPr>
      <w:r>
        <w:rPr>
          <w:b/>
          <w:sz w:val="23"/>
        </w:rPr>
        <w:t>■ 해석 시 유의점</w:t>
      </w:r>
    </w:p>
    <w:p>
      <w:r>
        <w:t>이번 비교는 앞선 두 지역이 지나온 경로를 보여주는 것이며, 대전의 향후 거래량이나 가격을 예측하지 않는다. 분당은 수도권 1기 신도시, 부산·대전은 지방권으로 시장 규모와 성격이 다르고, 세 지역의 관찰 기간에 적용된 금융·세제 환경도 동일하지 않다. 실제로 분당과 부산도 6개월 시점 거래 회복 정도가 -8.8%와 -22.4%로 크게 갈렸다. 거래 건수가 적은 구간은 평균가 변동 폭이 커질 수 있다는 점, 매물 데이터는 콕집 수집이 2026년 5월 시작돼 분당·부산의 선정 직후 매물은 비교할 수 없다는 점도 함께 고려해야 한다.</w:t>
      </w:r>
    </w:p>
    <w:p>
      <w:pPr>
        <w:spacing w:before="160" w:after="80"/>
      </w:pPr>
      <w:r>
        <w:rPr>
          <w:b/>
          <w:sz w:val="23"/>
        </w:rPr>
        <w:t>■ 일자별 매물·호가, 누구나 단지 단위로 확인 가능</w:t>
      </w:r>
    </w:p>
    <w:p>
      <w:r>
        <w:t>콕집은 전국 아파트·오피스텔 6만 4천여 단지의 매물과 실거래를 매일 수집해 교차 분석하는 플랫폼으로, 이번 분석에 쓰인 일자별 매물수·실매물수·평균 호가 추이는 콕집 단지 상세의 ‘매물분석’ 메뉴에서 누구나 무료로 확인할 수 있다. 지역 비교, 부동산 타임머신(정책 연대기), 급매 탐지, 단지별 신고가 등 분석 기능도 함께 제공한다.</w:t>
      </w:r>
    </w:p>
    <w:p>
      <w:r>
        <w:rPr>
          <w:i/>
        </w:rPr>
        <w:t>조용호 콕집 공동창업자는 “선정 시점이 다른 지역을 그냥 나란히 놓으면 엉뚱한 결론이 나온다”며 “각 지역의 선정 시점을 0으로 맞춰 같은 자리끼리 비교했더니, 거래는 먼저 멈추고 가격은 곧바로 오르는 공통된 초기 국면이 확인됐다. 다만 6개월 뒤 회복 정도는 지역마다 달랐던 만큼 예측이 아니라 참고 자료로 봐야 한다”고 말했다.</w:t>
      </w:r>
    </w:p>
    <w:p>
      <w:r>
        <w:rPr>
          <w:color w:val="64748B"/>
          <w:sz w:val="17"/>
        </w:rPr>
        <w:t>분석 방법 | 대상: ①분당 3개 구역 12개 단지(샛별마을 동성·라이프·삼부·우방, 양지마을 금호1·청구2·한양5·금호한양3,5·금호청구6·한양6, 시범단지 우성·현대) 10,738세대, 2024-11-27 선정 ②부산 2개 구역 5개 단지(코오롱하늘채1·2차, 두산1차, LG, 대림1차) 7,318세대, 2025-12-12 선정 ③대전 3개 구역 6개 단지(한가람·공작한양·목련·크로바·보람·삼익소월) 7,797세대, 2026-07-15 선정. 실거래 건수·평균가는 국토교통부 실거래 신고 자료(해제거래 제외) 기준이며 신고 기한 30일로 최근 2개월은 미완성. 매물은 콕집 일별 수집 기준(광고매물=포털 노출 광고 건수, 실매물=동일 주택의 중복 광고를 합친 수). 전 수치는 콕집 자체 구축 DB 실측(2026-07-20).</w:t>
      </w:r>
    </w:p>
    <w:p>
      <w:r>
        <w:rPr>
          <w:b/>
          <w:sz w:val="23"/>
        </w:rPr>
        <w:t>■ 서비스 개요</w:t>
      </w:r>
    </w:p>
    <w:p>
      <w:r>
        <w:t>· 서비스: 콕집 — 부동산 매물·실거래·중개사 분석 플랫폼 (koczip.com)</w:t>
      </w:r>
    </w:p>
    <w:p>
      <w:r>
        <w:t>· 운영사: 런투온라인 (대표 황인찬)</w:t>
      </w:r>
    </w:p>
    <w:p>
      <w:r>
        <w:t>· 문의: 조용호 공동창업자 · albooooza@gmail.com · 010-4692-4946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