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7월 · 즉시 보도 가능    문의: runtoonline@gmail.com · 010-5942-8014</w:t>
      </w:r>
    </w:p>
    <w:p>
      <w:pPr>
        <w:jc w:val="left"/>
      </w:pPr>
      <w:r>
        <w:rPr>
          <w:b/>
          <w:sz w:val="31"/>
        </w:rPr>
        <w:t>발표 사흘 만에 매물 15%가 사라졌다 — 대전 선도지구 6개 단지, 일자별 매물 데이터로 본 초기 반응</w:t>
      </w:r>
    </w:p>
    <w:p>
      <w:r>
        <w:rPr>
          <w:b/>
          <w:color w:val="1268D3"/>
          <w:sz w:val="23"/>
        </w:rPr>
        <w:t>콕집, 7월 15일 선정 발표 전후 전수 분석 — 광고매물 227→193건·실매물 144→127건, 최저 호가는 최대 5,000만 원 상향</w:t>
      </w:r>
    </w:p>
    <w:p>
      <w:r>
        <w:t>국토교통부와 대전광역시가 7월 15일 노후계획도시 정비 선도지구로 둔산지구 13번 구역(목련·크로바, 2,798가구)·14번 구역(한가람·공작한양, 2,454가구)과 송촌·중리·법동지구 6번 구역(보람·삼익소월, 2,545가구) 등 3개 구역 7,797가구를 선정한 가운데, 발표 직후 대상 단지의 매물이 빠르게 회수되고 호가가 오르기 시작한 것으로 나타났다. 부동산 데이터 플랫폼 콕집(koczip.com)이 대상 6개 단지의 매물을 일자별로 전수 추적한 결과다. 발표 전날인 7월 14일 227건이던 6개 단지 매매 광고매물은 7월 18일 193건으로 사흘 만에 34건(15.0%) 줄었다. 같은 집의 중복 광고를 하나로 합친 ‘실매물’ 기준으로도 144건에서 127건으로 11.8% 감소했다.</w:t>
      </w:r>
    </w:p>
    <w:p>
      <w:pPr>
        <w:jc w:val="center"/>
      </w:pPr>
      <w:r>
        <w:drawing>
          <wp:inline xmlns:a="http://schemas.openxmlformats.org/drawingml/2006/main" xmlns:pic="http://schemas.openxmlformats.org/drawingml/2006/picture">
            <wp:extent cx="5832000" cy="2305674"/>
            <wp:docPr id="1" name="Picture 1"/>
            <wp:cNvGraphicFramePr>
              <a:graphicFrameLocks noChangeAspect="1"/>
            </wp:cNvGraphicFramePr>
            <a:graphic>
              <a:graphicData uri="http://schemas.openxmlformats.org/drawingml/2006/picture">
                <pic:pic>
                  <pic:nvPicPr>
                    <pic:cNvPr id="0" name="daejeon_seondo_chart.png"/>
                    <pic:cNvPicPr/>
                  </pic:nvPicPr>
                  <pic:blipFill>
                    <a:blip r:embed="rId9"/>
                    <a:stretch>
                      <a:fillRect/>
                    </a:stretch>
                  </pic:blipFill>
                  <pic:spPr>
                    <a:xfrm>
                      <a:off x="0" y="0"/>
                      <a:ext cx="5832000" cy="2305674"/>
                    </a:xfrm>
                    <a:prstGeom prst="rect"/>
                  </pic:spPr>
                </pic:pic>
              </a:graphicData>
            </a:graphic>
          </wp:inline>
        </w:drawing>
      </w:r>
    </w:p>
    <w:p>
      <w:r>
        <w:rPr>
          <w:b/>
          <w:sz w:val="23"/>
        </w:rPr>
        <w:t>■ 단지별 매매 매물 변화 (발표 전일 7/14 → 7/18)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9"/>
              </w:rPr>
              <w:t>구역</w:t>
            </w:r>
          </w:p>
        </w:tc>
        <w:tc>
          <w:tcPr>
            <w:tcW w:type="dxa" w:w="1728"/>
          </w:tcPr>
          <w:p>
            <w:pPr>
              <w:spacing w:after="40"/>
            </w:pPr>
            <w:r>
              <w:rPr>
                <w:b/>
                <w:sz w:val="19"/>
              </w:rPr>
              <w:t>단지</w:t>
            </w:r>
          </w:p>
        </w:tc>
        <w:tc>
          <w:tcPr>
            <w:tcW w:type="dxa" w:w="1728"/>
          </w:tcPr>
          <w:p>
            <w:pPr>
              <w:spacing w:after="40"/>
            </w:pPr>
            <w:r>
              <w:rPr>
                <w:b/>
                <w:sz w:val="19"/>
              </w:rPr>
              <w:t>광고매물</w:t>
            </w:r>
          </w:p>
        </w:tc>
        <w:tc>
          <w:tcPr>
            <w:tcW w:type="dxa" w:w="1728"/>
          </w:tcPr>
          <w:p>
            <w:pPr>
              <w:spacing w:after="40"/>
            </w:pPr>
            <w:r>
              <w:rPr>
                <w:b/>
                <w:sz w:val="19"/>
              </w:rPr>
              <w:t>증감</w:t>
            </w:r>
          </w:p>
        </w:tc>
        <w:tc>
          <w:tcPr>
            <w:tcW w:type="dxa" w:w="1728"/>
          </w:tcPr>
          <w:p>
            <w:pPr>
              <w:spacing w:after="40"/>
            </w:pPr>
            <w:r>
              <w:rPr>
                <w:b/>
                <w:sz w:val="19"/>
              </w:rPr>
              <w:t>실매물</w:t>
            </w:r>
          </w:p>
        </w:tc>
      </w:tr>
      <w:tr>
        <w:tc>
          <w:tcPr>
            <w:tcW w:type="dxa" w:w="1728"/>
          </w:tcPr>
          <w:p>
            <w:pPr>
              <w:spacing w:after="40"/>
            </w:pPr>
            <w:r>
              <w:rPr>
                <w:sz w:val="19"/>
              </w:rPr>
              <w:t>둔산 13</w:t>
            </w:r>
          </w:p>
        </w:tc>
        <w:tc>
          <w:tcPr>
            <w:tcW w:type="dxa" w:w="1728"/>
          </w:tcPr>
          <w:p>
            <w:pPr>
              <w:spacing w:after="40"/>
            </w:pPr>
            <w:r>
              <w:rPr>
                <w:sz w:val="19"/>
              </w:rPr>
              <w:t>목련 (둔산동)</w:t>
            </w:r>
          </w:p>
        </w:tc>
        <w:tc>
          <w:tcPr>
            <w:tcW w:type="dxa" w:w="1728"/>
          </w:tcPr>
          <w:p>
            <w:pPr>
              <w:spacing w:after="40"/>
            </w:pPr>
            <w:r>
              <w:rPr>
                <w:sz w:val="19"/>
              </w:rPr>
              <w:t>23 → 17</w:t>
            </w:r>
          </w:p>
        </w:tc>
        <w:tc>
          <w:tcPr>
            <w:tcW w:type="dxa" w:w="1728"/>
          </w:tcPr>
          <w:p>
            <w:pPr>
              <w:spacing w:after="40"/>
            </w:pPr>
            <w:r>
              <w:rPr>
                <w:sz w:val="19"/>
              </w:rPr>
              <w:t>-26.1%</w:t>
            </w:r>
          </w:p>
        </w:tc>
        <w:tc>
          <w:tcPr>
            <w:tcW w:type="dxa" w:w="1728"/>
          </w:tcPr>
          <w:p>
            <w:pPr>
              <w:spacing w:after="40"/>
            </w:pPr>
            <w:r>
              <w:rPr>
                <w:sz w:val="19"/>
              </w:rPr>
              <w:t>15 → 12</w:t>
            </w:r>
          </w:p>
        </w:tc>
      </w:tr>
      <w:tr>
        <w:tc>
          <w:tcPr>
            <w:tcW w:type="dxa" w:w="1728"/>
          </w:tcPr>
          <w:p>
            <w:pPr>
              <w:spacing w:after="40"/>
            </w:pPr>
            <w:r>
              <w:rPr>
                <w:sz w:val="19"/>
              </w:rPr>
              <w:t>둔산 13</w:t>
            </w:r>
          </w:p>
        </w:tc>
        <w:tc>
          <w:tcPr>
            <w:tcW w:type="dxa" w:w="1728"/>
          </w:tcPr>
          <w:p>
            <w:pPr>
              <w:spacing w:after="40"/>
            </w:pPr>
            <w:r>
              <w:rPr>
                <w:sz w:val="19"/>
              </w:rPr>
              <w:t>크로바 (둔산동)</w:t>
            </w:r>
          </w:p>
        </w:tc>
        <w:tc>
          <w:tcPr>
            <w:tcW w:type="dxa" w:w="1728"/>
          </w:tcPr>
          <w:p>
            <w:pPr>
              <w:spacing w:after="40"/>
            </w:pPr>
            <w:r>
              <w:rPr>
                <w:sz w:val="19"/>
              </w:rPr>
              <w:t>54 → 50</w:t>
            </w:r>
          </w:p>
        </w:tc>
        <w:tc>
          <w:tcPr>
            <w:tcW w:type="dxa" w:w="1728"/>
          </w:tcPr>
          <w:p>
            <w:pPr>
              <w:spacing w:after="40"/>
            </w:pPr>
            <w:r>
              <w:rPr>
                <w:sz w:val="19"/>
              </w:rPr>
              <w:t>-7.4%</w:t>
            </w:r>
          </w:p>
        </w:tc>
        <w:tc>
          <w:tcPr>
            <w:tcW w:type="dxa" w:w="1728"/>
          </w:tcPr>
          <w:p>
            <w:pPr>
              <w:spacing w:after="40"/>
            </w:pPr>
            <w:r>
              <w:rPr>
                <w:sz w:val="19"/>
              </w:rPr>
              <w:t>28 → 26</w:t>
            </w:r>
          </w:p>
        </w:tc>
      </w:tr>
      <w:tr>
        <w:tc>
          <w:tcPr>
            <w:tcW w:type="dxa" w:w="1728"/>
          </w:tcPr>
          <w:p>
            <w:pPr>
              <w:spacing w:after="40"/>
            </w:pPr>
            <w:r>
              <w:rPr>
                <w:sz w:val="19"/>
              </w:rPr>
              <w:t>둔산 14</w:t>
            </w:r>
          </w:p>
        </w:tc>
        <w:tc>
          <w:tcPr>
            <w:tcW w:type="dxa" w:w="1728"/>
          </w:tcPr>
          <w:p>
            <w:pPr>
              <w:spacing w:after="40"/>
            </w:pPr>
            <w:r>
              <w:rPr>
                <w:sz w:val="19"/>
              </w:rPr>
              <w:t>한가람 (탄방동)</w:t>
            </w:r>
          </w:p>
        </w:tc>
        <w:tc>
          <w:tcPr>
            <w:tcW w:type="dxa" w:w="1728"/>
          </w:tcPr>
          <w:p>
            <w:pPr>
              <w:spacing w:after="40"/>
            </w:pPr>
            <w:r>
              <w:rPr>
                <w:sz w:val="19"/>
              </w:rPr>
              <w:t>31 → 22</w:t>
            </w:r>
          </w:p>
        </w:tc>
        <w:tc>
          <w:tcPr>
            <w:tcW w:type="dxa" w:w="1728"/>
          </w:tcPr>
          <w:p>
            <w:pPr>
              <w:spacing w:after="40"/>
            </w:pPr>
            <w:r>
              <w:rPr>
                <w:sz w:val="19"/>
              </w:rPr>
              <w:t>-29.0%</w:t>
            </w:r>
          </w:p>
        </w:tc>
        <w:tc>
          <w:tcPr>
            <w:tcW w:type="dxa" w:w="1728"/>
          </w:tcPr>
          <w:p>
            <w:pPr>
              <w:spacing w:after="40"/>
            </w:pPr>
            <w:r>
              <w:rPr>
                <w:sz w:val="19"/>
              </w:rPr>
              <w:t>25 → 19</w:t>
            </w:r>
          </w:p>
        </w:tc>
      </w:tr>
      <w:tr>
        <w:tc>
          <w:tcPr>
            <w:tcW w:type="dxa" w:w="1728"/>
          </w:tcPr>
          <w:p>
            <w:pPr>
              <w:spacing w:after="40"/>
            </w:pPr>
            <w:r>
              <w:rPr>
                <w:sz w:val="19"/>
              </w:rPr>
              <w:t>둔산 14</w:t>
            </w:r>
          </w:p>
        </w:tc>
        <w:tc>
          <w:tcPr>
            <w:tcW w:type="dxa" w:w="1728"/>
          </w:tcPr>
          <w:p>
            <w:pPr>
              <w:spacing w:after="40"/>
            </w:pPr>
            <w:r>
              <w:rPr>
                <w:sz w:val="19"/>
              </w:rPr>
              <w:t>공작한양 (탄방동)</w:t>
            </w:r>
          </w:p>
        </w:tc>
        <w:tc>
          <w:tcPr>
            <w:tcW w:type="dxa" w:w="1728"/>
          </w:tcPr>
          <w:p>
            <w:pPr>
              <w:spacing w:after="40"/>
            </w:pPr>
            <w:r>
              <w:rPr>
                <w:sz w:val="19"/>
              </w:rPr>
              <w:t>53 → 43</w:t>
            </w:r>
          </w:p>
        </w:tc>
        <w:tc>
          <w:tcPr>
            <w:tcW w:type="dxa" w:w="1728"/>
          </w:tcPr>
          <w:p>
            <w:pPr>
              <w:spacing w:after="40"/>
            </w:pPr>
            <w:r>
              <w:rPr>
                <w:sz w:val="19"/>
              </w:rPr>
              <w:t>-18.9%</w:t>
            </w:r>
          </w:p>
        </w:tc>
        <w:tc>
          <w:tcPr>
            <w:tcW w:type="dxa" w:w="1728"/>
          </w:tcPr>
          <w:p>
            <w:pPr>
              <w:spacing w:after="40"/>
            </w:pPr>
            <w:r>
              <w:rPr>
                <w:sz w:val="19"/>
              </w:rPr>
              <w:t>31 → 29</w:t>
            </w:r>
          </w:p>
        </w:tc>
      </w:tr>
      <w:tr>
        <w:tc>
          <w:tcPr>
            <w:tcW w:type="dxa" w:w="1728"/>
          </w:tcPr>
          <w:p>
            <w:pPr>
              <w:spacing w:after="40"/>
            </w:pPr>
            <w:r>
              <w:rPr>
                <w:sz w:val="19"/>
              </w:rPr>
              <w:t>송촌·중리·법동 6</w:t>
            </w:r>
          </w:p>
        </w:tc>
        <w:tc>
          <w:tcPr>
            <w:tcW w:type="dxa" w:w="1728"/>
          </w:tcPr>
          <w:p>
            <w:pPr>
              <w:spacing w:after="40"/>
            </w:pPr>
            <w:r>
              <w:rPr>
                <w:sz w:val="19"/>
              </w:rPr>
              <w:t>보람 (법동)</w:t>
            </w:r>
          </w:p>
        </w:tc>
        <w:tc>
          <w:tcPr>
            <w:tcW w:type="dxa" w:w="1728"/>
          </w:tcPr>
          <w:p>
            <w:pPr>
              <w:spacing w:after="40"/>
            </w:pPr>
            <w:r>
              <w:rPr>
                <w:sz w:val="19"/>
              </w:rPr>
              <w:t>30 → 26</w:t>
            </w:r>
          </w:p>
        </w:tc>
        <w:tc>
          <w:tcPr>
            <w:tcW w:type="dxa" w:w="1728"/>
          </w:tcPr>
          <w:p>
            <w:pPr>
              <w:spacing w:after="40"/>
            </w:pPr>
            <w:r>
              <w:rPr>
                <w:sz w:val="19"/>
              </w:rPr>
              <w:t>-13.3%</w:t>
            </w:r>
          </w:p>
        </w:tc>
        <w:tc>
          <w:tcPr>
            <w:tcW w:type="dxa" w:w="1728"/>
          </w:tcPr>
          <w:p>
            <w:pPr>
              <w:spacing w:after="40"/>
            </w:pPr>
            <w:r>
              <w:rPr>
                <w:sz w:val="19"/>
              </w:rPr>
              <w:t>20 → 17</w:t>
            </w:r>
          </w:p>
        </w:tc>
      </w:tr>
      <w:tr>
        <w:tc>
          <w:tcPr>
            <w:tcW w:type="dxa" w:w="1728"/>
          </w:tcPr>
          <w:p>
            <w:pPr>
              <w:spacing w:after="40"/>
            </w:pPr>
            <w:r>
              <w:rPr>
                <w:sz w:val="19"/>
              </w:rPr>
              <w:t>송촌·중리·법동 6</w:t>
            </w:r>
          </w:p>
        </w:tc>
        <w:tc>
          <w:tcPr>
            <w:tcW w:type="dxa" w:w="1728"/>
          </w:tcPr>
          <w:p>
            <w:pPr>
              <w:spacing w:after="40"/>
            </w:pPr>
            <w:r>
              <w:rPr>
                <w:sz w:val="19"/>
              </w:rPr>
              <w:t>삼익소월 (법동)</w:t>
            </w:r>
          </w:p>
        </w:tc>
        <w:tc>
          <w:tcPr>
            <w:tcW w:type="dxa" w:w="1728"/>
          </w:tcPr>
          <w:p>
            <w:pPr>
              <w:spacing w:after="40"/>
            </w:pPr>
            <w:r>
              <w:rPr>
                <w:sz w:val="19"/>
              </w:rPr>
              <w:t>36 → 35</w:t>
            </w:r>
          </w:p>
        </w:tc>
        <w:tc>
          <w:tcPr>
            <w:tcW w:type="dxa" w:w="1728"/>
          </w:tcPr>
          <w:p>
            <w:pPr>
              <w:spacing w:after="40"/>
            </w:pPr>
            <w:r>
              <w:rPr>
                <w:sz w:val="19"/>
              </w:rPr>
              <w:t>-2.8%</w:t>
            </w:r>
          </w:p>
        </w:tc>
        <w:tc>
          <w:tcPr>
            <w:tcW w:type="dxa" w:w="1728"/>
          </w:tcPr>
          <w:p>
            <w:pPr>
              <w:spacing w:after="40"/>
            </w:pPr>
            <w:r>
              <w:rPr>
                <w:sz w:val="19"/>
              </w:rPr>
              <w:t>25 → 24</w:t>
            </w:r>
          </w:p>
        </w:tc>
      </w:tr>
      <w:tr>
        <w:tc>
          <w:tcPr>
            <w:tcW w:type="dxa" w:w="1728"/>
          </w:tcPr>
          <w:p>
            <w:pPr>
              <w:spacing w:after="40"/>
            </w:pPr>
            <w:r>
              <w:rPr>
                <w:b/>
                <w:sz w:val="19"/>
              </w:rPr>
              <w:t>합계</w:t>
            </w:r>
          </w:p>
        </w:tc>
        <w:tc>
          <w:tcPr>
            <w:tcW w:type="dxa" w:w="1728"/>
          </w:tcPr>
          <w:p>
            <w:pPr>
              <w:spacing w:after="40"/>
            </w:pPr>
            <w:r>
              <w:rPr>
                <w:b/>
                <w:sz w:val="19"/>
              </w:rPr>
              <w:t>6개 단지</w:t>
            </w:r>
          </w:p>
        </w:tc>
        <w:tc>
          <w:tcPr>
            <w:tcW w:type="dxa" w:w="1728"/>
          </w:tcPr>
          <w:p>
            <w:pPr>
              <w:spacing w:after="40"/>
            </w:pPr>
            <w:r>
              <w:rPr>
                <w:b/>
                <w:sz w:val="19"/>
              </w:rPr>
              <w:t>227 → 193</w:t>
            </w:r>
          </w:p>
        </w:tc>
        <w:tc>
          <w:tcPr>
            <w:tcW w:type="dxa" w:w="1728"/>
          </w:tcPr>
          <w:p>
            <w:pPr>
              <w:spacing w:after="40"/>
            </w:pPr>
            <w:r>
              <w:rPr>
                <w:b/>
                <w:sz w:val="19"/>
              </w:rPr>
              <w:t>-15.0%</w:t>
            </w:r>
          </w:p>
        </w:tc>
        <w:tc>
          <w:tcPr>
            <w:tcW w:type="dxa" w:w="1728"/>
          </w:tcPr>
          <w:p>
            <w:pPr>
              <w:spacing w:after="40"/>
            </w:pPr>
            <w:r>
              <w:rPr>
                <w:b/>
                <w:sz w:val="19"/>
              </w:rPr>
              <w:t>144 → 127</w:t>
            </w:r>
          </w:p>
        </w:tc>
      </w:tr>
    </w:tbl>
    <w:p>
      <w:pPr>
        <w:spacing w:before="160" w:after="80"/>
      </w:pPr>
      <w:r>
        <w:rPr>
          <w:b/>
          <w:sz w:val="23"/>
        </w:rPr>
        <w:t>■ 발표 전엔 늘던 매물이 발표 직후 급감 — ‘회수 반전’</w:t>
      </w:r>
    </w:p>
    <w:p>
      <w:r>
        <w:t>매물 감소가 발표 이전부터 이어진 흐름이 아니라는 점이 특징이다. 발표 전 한 달간(6월 18일~7월 14일) 6개 단지 광고매물은 217건에서 227건으로 오히려 늘고 있었다. 증가 추세가 발표 당일(7월 15일, 220건)을 기점으로 꺾여 16일 206건, 17일 195건, 18일 193건으로 사흘 연속 감소했다. 선도지구 지정으로 재건축 기대감이 커지자 매도자들이 내놓았던 집을 거둬들이는, 정비사업 발표 때 반복돼 온 ‘매물 잠김’이 일자별 데이터로 그대로 포착된 것이다.</w:t>
      </w:r>
    </w:p>
    <w:p>
      <w:pPr>
        <w:spacing w:before="160" w:after="80"/>
      </w:pPr>
      <w:r>
        <w:rPr>
          <w:b/>
          <w:sz w:val="23"/>
        </w:rPr>
        <w:t>■ 구역별 온도차 — 둔산 14번 구역이 가장 민감</w:t>
      </w:r>
    </w:p>
    <w:p>
      <w:r>
        <w:t>회수 강도는 구역별로 달랐다. 한가람·공작한양이 묶인 둔산 14번 구역이 84건에서 65건으로 22.6% 줄어 가장 민감하게 반응했고, 단지별로는 한가람이 31건에서 22건(-29.0%)으로 감소 폭이 가장 컸다. 목련·크로바의 둔산 13번 구역은 77건에서 67건(-13.0%), 보람·삼익소월의 송촌·중리·법동 6번 구역은 66건에서 61건(-7.6%)이었다. 재건축 사업성과 입지 기대가 큰 둔산 쪽에서 매물 잠김이 먼저, 더 세게 나타난 셈이다.</w:t>
      </w:r>
    </w:p>
    <w:p>
      <w:pPr>
        <w:spacing w:before="160" w:after="80"/>
      </w:pPr>
      <w:r>
        <w:rPr>
          <w:b/>
          <w:sz w:val="23"/>
        </w:rPr>
        <w:t>■ 남은 매물은 호가를 올렸다 — 최저 호가 최대 5,000만 원 상향</w:t>
      </w:r>
    </w:p>
    <w:p>
      <w:r>
        <w:t>매물이 줄어드는 동안 남은 매물의 가격표는 위로 움직였다. 면적타입별 최저 호가 기준으로 한가람 103A타입은 6억 5,000만 원에서 6억 8,000만 원(+4.6%)으로, 보람 117B타입은 2억 9,000만 원에서 3억 2,000만 원(+10.3%)으로 올랐다. 목련 122A타입은 11억 5,000만 원에서 12억 원(+4.3%), 이번 선도지구에서 몸값이 가장 높은 크로바는 189타입 최저 호가가 24억 원에서 24억 5,000만 원으로 상향됐다. 크로바의 단지 전체 평균 호가(매물수 가중)도 17억 5,200만 원에서 17억 8,300만 원으로 사흘 새 1.8% 올랐다.</w:t>
      </w:r>
    </w:p>
    <w:p>
      <w:pPr>
        <w:spacing w:before="160" w:after="80"/>
      </w:pPr>
      <w:r>
        <w:rPr>
          <w:b/>
          <w:sz w:val="23"/>
        </w:rPr>
        <w:t>■ 해석 시 유의점</w:t>
      </w:r>
    </w:p>
    <w:p>
      <w:r>
        <w:t>이번 수치는 발표 후 사흘간의 초기 반응이다. 매물 감소에는 호가를 다시 부르기 위한 회수와 실제 계약 성사가 섞여 있을 수 있으며, 실제 거래가격은 계약 후 30일 이내 신고되는 실거래 자료가 쌓여야 확정된다. 다만 광고 건수가 아니라 중복 광고를 합친 실매물 기준으로도 같은 방향의 감소가 확인돼, 착시가 아닌 실제 매물 잠김이라는 점은 분명하다는 것이 콕집의 설명이다.</w:t>
      </w:r>
    </w:p>
    <w:p>
      <w:pPr>
        <w:spacing w:before="160" w:after="80"/>
      </w:pPr>
      <w:r>
        <w:rPr>
          <w:b/>
          <w:sz w:val="23"/>
        </w:rPr>
        <w:t>■ 일자별 매물·호가, 누구나 단지 단위로 확인 가능</w:t>
      </w:r>
    </w:p>
    <w:p>
      <w:r>
        <w:t>콕집은 전국 아파트·오피스텔 6만 4천여 단지의 매물과 실거래를 매일 수집해 교차 분석하는 플랫폼으로, 이번 분석에 쓰인 일자별 매물수·실매물수·평균 호가 추이는 콕집 단지 상세의 ‘매물분석’ 메뉴에서 누구나 무료로 확인할 수 있다. 급매 탐지, 단지별 신고가, 우리동네 중개사 랭킹 등 분석 기능도 함께 제공한다.</w:t>
      </w:r>
    </w:p>
    <w:p>
      <w:r>
        <w:rPr>
          <w:i/>
        </w:rPr>
        <w:t>황인찬 콕집 대표는 “정비사업 발표가 시장에 어떤 파장을 만드는지는 지금까지 체감과 소문으로만 이야기돼 왔다. 일자별 매물 데이터는 그 반응을 숫자로 보여준다. 소비자가 기대감에 휩쓸리기 전에 매물과 가격의 실제 움직임을 확인하고 판단하도록 돕겠다”고 말했다.</w:t>
      </w:r>
    </w:p>
    <w:p>
      <w:r>
        <w:rPr>
          <w:color w:val="64748B"/>
          <w:sz w:val="17"/>
        </w:rPr>
        <w:t>분석 방법 | 대상: 대전 선도지구 3개 구역 6개 단지(한가람·공작한양·목련·크로바·보람·삼익소월) 매매 매물. 기간: 2026-06-17~07-18 일자별. 광고매물=포털 노출 광고 건수, 실매물=동일 주택의 중복 광고를 합친 수, 평균 호가=매물수 가중평균. 호가(매도 희망가) 기준이며 실거래 가격이 아님. 자료: 콕집 자체 수집 DB.</w:t>
      </w:r>
    </w:p>
    <w:p>
      <w:r>
        <w:rPr>
          <w:b/>
          <w:sz w:val="23"/>
        </w:rPr>
        <w:t>■ 서비스 개요</w:t>
      </w:r>
    </w:p>
    <w:p>
      <w:r>
        <w:t>· 서비스: 콕집 — 부동산 매물·실거래·중개사 분석 플랫폼 (koczip.com)</w:t>
      </w:r>
    </w:p>
    <w:p>
      <w:r>
        <w:t>· 운영사: 런투온라인 (대표 황인찬)</w:t>
      </w:r>
    </w:p>
    <w:p>
      <w:r>
        <w:t>· 문의: runtoonline@gmail.com · 010-5942-8014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