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데이터 분석 보고서 (취재 참고자료)</w:t>
      </w:r>
    </w:p>
    <w:p>
      <w:r>
        <w:rPr>
          <w:b/>
          <w:sz w:val="29"/>
        </w:rPr>
        <w:t>대전 선도지구 발표 후 열흘, 6개 단지 매물 40% 잠겼다</w:t>
      </w:r>
    </w:p>
    <w:p>
      <w:r>
        <w:rPr>
          <w:color w:val="64748B"/>
          <w:sz w:val="21"/>
        </w:rPr>
        <w:t>7월 15일 선정 발표 직후부터 매물이 매일 감소 · 같은 동네 비선정 단지는 –5~–9% · 대전 전체 –2% · 2026년 7월 24일 기준</w:t>
      </w:r>
    </w:p>
    <w:p>
      <w:r>
        <w:rPr>
          <w:b/>
          <w:sz w:val="23"/>
        </w:rPr>
        <w:t>■ 요약</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t>분석 대상</w:t>
            </w:r>
          </w:p>
        </w:tc>
        <w:tc>
          <w:tcPr>
            <w:tcW w:type="dxa" w:w="4320"/>
          </w:tcPr>
          <w:p>
            <w:pPr>
              <w:spacing w:after="40"/>
            </w:pPr>
            <w:r>
              <w:rPr>
                <w:sz w:val="18"/>
              </w:rPr>
              <w:t>대전 선도지구 6개 단지(크로바·목련·한가람·공작한양·보람·삼익소월) 7,797세대</w:t>
            </w:r>
          </w:p>
        </w:tc>
      </w:tr>
      <w:tr>
        <w:tc>
          <w:tcPr>
            <w:tcW w:type="dxa" w:w="4320"/>
          </w:tcPr>
          <w:p>
            <w:pPr>
              <w:spacing w:after="40"/>
            </w:pPr>
            <w:r>
              <w:rPr>
                <w:b/>
                <w:sz w:val="18"/>
              </w:rPr>
              <w:t>핵심 관측</w:t>
            </w:r>
          </w:p>
        </w:tc>
        <w:tc>
          <w:tcPr>
            <w:tcW w:type="dxa" w:w="4320"/>
          </w:tcPr>
          <w:p>
            <w:pPr>
              <w:spacing w:after="40"/>
            </w:pPr>
            <w:r>
              <w:rPr>
                <w:sz w:val="18"/>
              </w:rPr>
              <w:t>발표(7/15) 직후부터 매매 광고매물이 매일 줄어 227건 → 135건(–40.5%)</w:t>
            </w:r>
          </w:p>
        </w:tc>
      </w:tr>
      <w:tr>
        <w:tc>
          <w:tcPr>
            <w:tcW w:type="dxa" w:w="4320"/>
          </w:tcPr>
          <w:p>
            <w:pPr>
              <w:spacing w:after="40"/>
            </w:pPr>
            <w:r>
              <w:rPr>
                <w:b/>
                <w:sz w:val="18"/>
              </w:rPr>
              <w:t>대조군</w:t>
            </w:r>
          </w:p>
        </w:tc>
        <w:tc>
          <w:tcPr>
            <w:tcW w:type="dxa" w:w="4320"/>
          </w:tcPr>
          <w:p>
            <w:pPr>
              <w:spacing w:after="40"/>
            </w:pPr>
            <w:r>
              <w:rPr>
                <w:sz w:val="18"/>
              </w:rPr>
              <w:t>같은 동네 비선정 아파트 –5~–9%, 대전 전체 아파트 –2.3%</w:t>
            </w:r>
          </w:p>
        </w:tc>
      </w:tr>
      <w:tr>
        <w:tc>
          <w:tcPr>
            <w:tcW w:type="dxa" w:w="4320"/>
          </w:tcPr>
          <w:p>
            <w:pPr>
              <w:spacing w:after="40"/>
            </w:pPr>
            <w:r>
              <w:rPr>
                <w:b/>
                <w:sz w:val="18"/>
              </w:rPr>
              <w:t>잠김 경로</w:t>
            </w:r>
          </w:p>
        </w:tc>
        <w:tc>
          <w:tcPr>
            <w:tcW w:type="dxa" w:w="4320"/>
          </w:tcPr>
          <w:p>
            <w:pPr>
              <w:spacing w:after="40"/>
            </w:pPr>
            <w:r>
              <w:rPr>
                <w:sz w:val="18"/>
              </w:rPr>
              <w:t>신규 등록은 그대로(43→45건), 기존 매물의 회수가 감소를 이끔</w:t>
            </w:r>
          </w:p>
        </w:tc>
      </w:tr>
      <w:tr>
        <w:tc>
          <w:tcPr>
            <w:tcW w:type="dxa" w:w="4320"/>
          </w:tcPr>
          <w:p>
            <w:pPr>
              <w:spacing w:after="40"/>
            </w:pPr>
            <w:r>
              <w:rPr>
                <w:b/>
                <w:sz w:val="18"/>
              </w:rPr>
              <w:t>유의 사항</w:t>
            </w:r>
          </w:p>
        </w:tc>
        <w:tc>
          <w:tcPr>
            <w:tcW w:type="dxa" w:w="4320"/>
          </w:tcPr>
          <w:p>
            <w:pPr>
              <w:spacing w:after="40"/>
            </w:pPr>
            <w:r>
              <w:rPr>
                <w:sz w:val="18"/>
              </w:rPr>
              <w:t>실거래는 신고 30일 지연으로 발표 후 구간이 미완성 — 거래량·가격은 다음 달부터 확인</w:t>
            </w:r>
          </w:p>
        </w:tc>
      </w:tr>
    </w:tbl>
    <w:p>
      <w:pPr>
        <w:jc w:val="center"/>
      </w:pPr>
      <w:r>
        <w:drawing>
          <wp:inline xmlns:a="http://schemas.openxmlformats.org/drawingml/2006/main" xmlns:pic="http://schemas.openxmlformats.org/drawingml/2006/picture">
            <wp:extent cx="5976000" cy="2158000"/>
            <wp:docPr id="1" name="Picture 1"/>
            <wp:cNvGraphicFramePr>
              <a:graphicFrameLocks noChangeAspect="1"/>
            </wp:cNvGraphicFramePr>
            <a:graphic>
              <a:graphicData uri="http://schemas.openxmlformats.org/drawingml/2006/picture">
                <pic:pic>
                  <pic:nvPicPr>
                    <pic:cNvPr id="0" name="daejeon_seondo_chart.png"/>
                    <pic:cNvPicPr/>
                  </pic:nvPicPr>
                  <pic:blipFill>
                    <a:blip r:embed="rId9"/>
                    <a:stretch>
                      <a:fillRect/>
                    </a:stretch>
                  </pic:blipFill>
                  <pic:spPr>
                    <a:xfrm>
                      <a:off x="0" y="0"/>
                      <a:ext cx="5976000" cy="2158000"/>
                    </a:xfrm>
                    <a:prstGeom prst="rect"/>
                  </pic:spPr>
                </pic:pic>
              </a:graphicData>
            </a:graphic>
          </wp:inline>
        </w:drawing>
      </w:r>
    </w:p>
    <w:p>
      <w:pPr>
        <w:spacing w:before="160" w:after="80"/>
      </w:pPr>
      <w:r>
        <w:rPr>
          <w:b/>
          <w:sz w:val="23"/>
        </w:rPr>
        <w:t>■ 1. 무엇을 봤나</w:t>
      </w:r>
    </w:p>
    <w:p>
      <w:r>
        <w:t>2026년 7월 15일 대전 노후계획도시 정비 선도지구로 6개 단지가 선정됐습니다(둔산 13구역 목련·크로바, 14구역 한가람·공작한양, 송촌 6구역 보람·삼익소월, 총 7,797세대). 저희는 이 6개 단지의 일자별 매물수와 호가를 발표 전후로 추적했습니다. 매물 데이터는 저희가 매일 수집하는 것으로, 실거래(국토부 신고)보다 시장 반응이 즉각 드러납니다. 본 보고서는 관측된 사실과 그 한계를 정리한 것이며, 향후 가격 방향을 예측하지 않는다.</w:t>
      </w:r>
    </w:p>
    <w:p>
      <w:pPr>
        <w:spacing w:before="160" w:after="80"/>
      </w:pPr>
      <w:r>
        <w:rPr>
          <w:b/>
          <w:sz w:val="23"/>
        </w:rPr>
        <w:t>■ 2. 매물이 발표 직후부터 매일 줄었습니다</w:t>
      </w:r>
    </w:p>
    <w:p>
      <w:r>
        <w:t>6개 단지의 매매 광고매물은 발표 전날(7/14) 227건에서 7월 24일 135건으로 40.5% 줄었습니다. 같은 집을 여러 중개사무소가 올린 중복 광고를 걷어낸 실매물 기준으로도 144건에서 99건으로 31.3% 감소했습니다. 특징은 하락이 특정일에 몰린 게 아니라 발표일 이후 열흘간 거의 매일 이어졌다는 점입니다(227→220→206→195→191→187→176→169→158→142→135). 선정이 곧바로 매물을 거둬들이게 만든 것으로 보입니다.</w:t>
      </w:r>
    </w:p>
    <w:p>
      <w:pPr>
        <w:spacing w:before="160" w:after="80"/>
      </w:pPr>
      <w:r>
        <w:rPr>
          <w:b/>
          <w:sz w:val="23"/>
        </w:rPr>
        <w:t>■ 3. 같은 동네 비선정 단지와 비교하면 선명합니다</w:t>
      </w:r>
    </w:p>
    <w:p>
      <w:r>
        <w:t>매물 감소가 대전 전체의 흐름인지 확인하기 위해 같은 동(둔산동·탄방동·법동)의 선정되지 않은 아파트와 대전 전체 아파트를 대조군으로 놓았습니다. 선도지구가 –40.5%인 동안 비선정 단지는 둔산동 –4.9%, 탄방동 –9.5%, 법동은 오히려 +25.0%(모수가 작아 변동이 큼)였고, 대전 전체 아파트는 –2.3%에 그쳤습니다. 선도지구 6개 단지에서만 매물이 급격히 잠긴 것으로, 발표 외에 이 차이를 설명할 다른 요인은 관측되지 않았습니다.</w:t>
      </w:r>
    </w:p>
    <w:p>
      <w:pPr>
        <w:spacing w:before="160" w:after="80"/>
      </w:pPr>
      <w:r>
        <w:rPr>
          <w:b/>
          <w:sz w:val="23"/>
        </w:rPr>
        <w:t>■ 4. 새 매물이 안 나온 게 아니라, 있던 매물을 거둬들였습니다</w:t>
      </w:r>
    </w:p>
    <w:p>
      <w:r>
        <w:t>매물이 줄어드는 경로는 두 가지입니다 — 새 매물이 안 나오거나(신규 등록 감소), 나와 있던 매물을 거둬들이거나(회수)입니다. 발표 전후 각 열흘간 신규 등록 건수는 43건 → 45건으로 사실상 변화가 없었습니다. 즉 감소는 새 매물이 끊겨서가 아니라 기존 매물을 회수했기 때문입니다. 집주인들이 선정 뒤 값이 더 오를 것으로 보고 팔 물건을 거둔 것으로 해석할 여지가 있으나, 회수 사유 자체는 매물 데이터로 확인되지는 않습니다.</w:t>
      </w:r>
    </w:p>
    <w:p>
      <w:pPr>
        <w:spacing w:before="160" w:after="80"/>
      </w:pPr>
      <w:r>
        <w:rPr>
          <w:b/>
          <w:sz w:val="23"/>
        </w:rPr>
        <w:t>■ 5. 호가는 아직 뚜렷하게 움직이지 않았습니다</w:t>
      </w:r>
    </w:p>
    <w:p>
      <w:r>
        <w:t>매물이 잠기는 동안에도 6개 단지 평균 매매 호가는 7월 14일 7.68억원에서 7월 24일 7.61억원으로 큰 변화가 없었습니다. 단지별로는 목련이 13.26억→15.14억으로 올랐으나 이는 남은 매물이 대형 위주로 바뀐 구성효과가 섞여 있고(매물 15건→7건), 나머지 단지는 대체로 보합이었습니다. 매물이 줄어든 상태에서 산출된 평균이라 표본이 얇아진 점도 함께 감안해 주시기 바랍니다.</w:t>
      </w:r>
    </w:p>
    <w:p>
      <w:pPr>
        <w:spacing w:before="160" w:after="80"/>
      </w:pPr>
      <w:r>
        <w:rPr>
          <w:b/>
          <w:sz w:val="23"/>
        </w:rPr>
        <w:t>■ 6. 이 자료로 말할 수 있는 것과 없는 것</w:t>
      </w:r>
    </w:p>
    <w:p>
      <w:r>
        <w:t>말씀드릴 수 있는 것은 ‘발표 직후 선도지구 매물이 다른 지역보다 뚜렷하게 빠르게 잠겼다’ 하나입니다. 말씀드리기 어려운 것은 앞으로의 가격입니다. 실거래는 계약 후 30일 내 신고제라 발표 이후 계약분은 아직 대부분 신고되지 않았습니다(6개 단지 7월 신고 거래는 10건으로 미완성). 따라서 이번 발표가 실제 거래가격에 어떤 영향을 줬는지는 8월 이후에야 확인됩니다. 또한 관측 기간이 발표 후 열흘로 짧아, 이 매물 잠김이 일시적 관망인지 지속될 흐름인지는 더 지켜봐야 합니다.</w:t>
      </w:r>
    </w:p>
    <w:p>
      <w:r>
        <w:rPr>
          <w:b/>
          <w:sz w:val="23"/>
        </w:rPr>
        <w:t>■ 부록 — 단지별 매물·호가 (7/14 발표 전날 → 7/24 현재)</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after="40"/>
            </w:pPr>
            <w:r>
              <w:rPr>
                <w:b/>
                <w:sz w:val="16"/>
              </w:rPr>
              <w:t>단지</w:t>
            </w:r>
          </w:p>
        </w:tc>
        <w:tc>
          <w:tcPr>
            <w:tcW w:type="dxa" w:w="960"/>
          </w:tcPr>
          <w:p>
            <w:pPr>
              <w:spacing w:after="40"/>
            </w:pPr>
            <w:r>
              <w:rPr>
                <w:b/>
                <w:sz w:val="16"/>
              </w:rPr>
              <w:t>소재지</w:t>
            </w:r>
          </w:p>
        </w:tc>
        <w:tc>
          <w:tcPr>
            <w:tcW w:type="dxa" w:w="960"/>
          </w:tcPr>
          <w:p>
            <w:pPr>
              <w:spacing w:after="40"/>
            </w:pPr>
            <w:r>
              <w:rPr>
                <w:b/>
                <w:sz w:val="16"/>
              </w:rPr>
              <w:t>세대</w:t>
            </w:r>
          </w:p>
        </w:tc>
        <w:tc>
          <w:tcPr>
            <w:tcW w:type="dxa" w:w="960"/>
          </w:tcPr>
          <w:p>
            <w:pPr>
              <w:spacing w:after="40"/>
            </w:pPr>
            <w:r>
              <w:rPr>
                <w:b/>
                <w:sz w:val="16"/>
              </w:rPr>
              <w:t>광고매물</w:t>
              <w:br/>
              <w:t>7/14</w:t>
            </w:r>
          </w:p>
        </w:tc>
        <w:tc>
          <w:tcPr>
            <w:tcW w:type="dxa" w:w="960"/>
          </w:tcPr>
          <w:p>
            <w:pPr>
              <w:spacing w:after="40"/>
            </w:pPr>
            <w:r>
              <w:rPr>
                <w:b/>
                <w:sz w:val="16"/>
              </w:rPr>
              <w:t>광고매물</w:t>
              <w:br/>
              <w:t>7/24</w:t>
            </w:r>
          </w:p>
        </w:tc>
        <w:tc>
          <w:tcPr>
            <w:tcW w:type="dxa" w:w="960"/>
          </w:tcPr>
          <w:p>
            <w:pPr>
              <w:spacing w:after="40"/>
            </w:pPr>
            <w:r>
              <w:rPr>
                <w:b/>
                <w:sz w:val="16"/>
              </w:rPr>
              <w:t>실매물</w:t>
              <w:br/>
              <w:t>7/14</w:t>
            </w:r>
          </w:p>
        </w:tc>
        <w:tc>
          <w:tcPr>
            <w:tcW w:type="dxa" w:w="960"/>
          </w:tcPr>
          <w:p>
            <w:pPr>
              <w:spacing w:after="40"/>
            </w:pPr>
            <w:r>
              <w:rPr>
                <w:b/>
                <w:sz w:val="16"/>
              </w:rPr>
              <w:t>실매물</w:t>
              <w:br/>
              <w:t>7/24</w:t>
            </w:r>
          </w:p>
        </w:tc>
        <w:tc>
          <w:tcPr>
            <w:tcW w:type="dxa" w:w="960"/>
          </w:tcPr>
          <w:p>
            <w:pPr>
              <w:spacing w:after="40"/>
            </w:pPr>
            <w:r>
              <w:rPr>
                <w:b/>
                <w:sz w:val="16"/>
              </w:rPr>
              <w:t>평균호가</w:t>
              <w:br/>
              <w:t>7/14</w:t>
            </w:r>
          </w:p>
        </w:tc>
        <w:tc>
          <w:tcPr>
            <w:tcW w:type="dxa" w:w="960"/>
          </w:tcPr>
          <w:p>
            <w:pPr>
              <w:spacing w:after="40"/>
            </w:pPr>
            <w:r>
              <w:rPr>
                <w:b/>
                <w:sz w:val="16"/>
              </w:rPr>
              <w:t>평균호가</w:t>
              <w:br/>
              <w:t>7/24</w:t>
            </w:r>
          </w:p>
        </w:tc>
      </w:tr>
      <w:tr>
        <w:tc>
          <w:tcPr>
            <w:tcW w:type="dxa" w:w="960"/>
          </w:tcPr>
          <w:p>
            <w:pPr>
              <w:spacing w:after="40"/>
            </w:pPr>
            <w:r>
              <w:rPr>
                <w:sz w:val="16"/>
              </w:rPr>
              <w:t>크로바</w:t>
            </w:r>
          </w:p>
        </w:tc>
        <w:tc>
          <w:tcPr>
            <w:tcW w:type="dxa" w:w="960"/>
          </w:tcPr>
          <w:p>
            <w:pPr>
              <w:spacing w:after="40"/>
            </w:pPr>
            <w:r>
              <w:rPr>
                <w:sz w:val="16"/>
              </w:rPr>
              <w:t>서구 둔산동</w:t>
            </w:r>
          </w:p>
        </w:tc>
        <w:tc>
          <w:tcPr>
            <w:tcW w:type="dxa" w:w="960"/>
          </w:tcPr>
          <w:p>
            <w:pPr>
              <w:spacing w:after="40"/>
            </w:pPr>
            <w:r>
              <w:rPr>
                <w:sz w:val="16"/>
              </w:rPr>
              <w:t>1,632</w:t>
            </w:r>
          </w:p>
        </w:tc>
        <w:tc>
          <w:tcPr>
            <w:tcW w:type="dxa" w:w="960"/>
          </w:tcPr>
          <w:p>
            <w:pPr>
              <w:spacing w:after="40"/>
            </w:pPr>
            <w:r>
              <w:rPr>
                <w:sz w:val="16"/>
              </w:rPr>
              <w:t>54</w:t>
            </w:r>
          </w:p>
        </w:tc>
        <w:tc>
          <w:tcPr>
            <w:tcW w:type="dxa" w:w="960"/>
          </w:tcPr>
          <w:p>
            <w:pPr>
              <w:spacing w:after="40"/>
            </w:pPr>
            <w:r>
              <w:rPr>
                <w:sz w:val="16"/>
              </w:rPr>
              <w:t>31</w:t>
            </w:r>
          </w:p>
        </w:tc>
        <w:tc>
          <w:tcPr>
            <w:tcW w:type="dxa" w:w="960"/>
          </w:tcPr>
          <w:p>
            <w:pPr>
              <w:spacing w:after="40"/>
            </w:pPr>
            <w:r>
              <w:rPr>
                <w:sz w:val="16"/>
              </w:rPr>
              <w:t>28</w:t>
            </w:r>
          </w:p>
        </w:tc>
        <w:tc>
          <w:tcPr>
            <w:tcW w:type="dxa" w:w="960"/>
          </w:tcPr>
          <w:p>
            <w:pPr>
              <w:spacing w:after="40"/>
            </w:pPr>
            <w:r>
              <w:rPr>
                <w:sz w:val="16"/>
              </w:rPr>
              <w:t>21</w:t>
            </w:r>
          </w:p>
        </w:tc>
        <w:tc>
          <w:tcPr>
            <w:tcW w:type="dxa" w:w="960"/>
          </w:tcPr>
          <w:p>
            <w:pPr>
              <w:spacing w:after="40"/>
            </w:pPr>
            <w:r>
              <w:rPr>
                <w:sz w:val="16"/>
              </w:rPr>
              <w:t>17.6억</w:t>
            </w:r>
          </w:p>
        </w:tc>
        <w:tc>
          <w:tcPr>
            <w:tcW w:type="dxa" w:w="960"/>
          </w:tcPr>
          <w:p>
            <w:pPr>
              <w:spacing w:after="40"/>
            </w:pPr>
            <w:r>
              <w:rPr>
                <w:sz w:val="16"/>
              </w:rPr>
              <w:t>17.6억</w:t>
            </w:r>
          </w:p>
        </w:tc>
      </w:tr>
      <w:tr>
        <w:tc>
          <w:tcPr>
            <w:tcW w:type="dxa" w:w="960"/>
          </w:tcPr>
          <w:p>
            <w:pPr>
              <w:spacing w:after="40"/>
            </w:pPr>
            <w:r>
              <w:rPr>
                <w:sz w:val="16"/>
              </w:rPr>
              <w:t>공작한양</w:t>
            </w:r>
          </w:p>
        </w:tc>
        <w:tc>
          <w:tcPr>
            <w:tcW w:type="dxa" w:w="960"/>
          </w:tcPr>
          <w:p>
            <w:pPr>
              <w:spacing w:after="40"/>
            </w:pPr>
            <w:r>
              <w:rPr>
                <w:sz w:val="16"/>
              </w:rPr>
              <w:t>서구 탄방동</w:t>
            </w:r>
          </w:p>
        </w:tc>
        <w:tc>
          <w:tcPr>
            <w:tcW w:type="dxa" w:w="960"/>
          </w:tcPr>
          <w:p>
            <w:pPr>
              <w:spacing w:after="40"/>
            </w:pPr>
            <w:r>
              <w:rPr>
                <w:sz w:val="16"/>
              </w:rPr>
              <w:t>1,074</w:t>
            </w:r>
          </w:p>
        </w:tc>
        <w:tc>
          <w:tcPr>
            <w:tcW w:type="dxa" w:w="960"/>
          </w:tcPr>
          <w:p>
            <w:pPr>
              <w:spacing w:after="40"/>
            </w:pPr>
            <w:r>
              <w:rPr>
                <w:sz w:val="16"/>
              </w:rPr>
              <w:t>53</w:t>
            </w:r>
          </w:p>
        </w:tc>
        <w:tc>
          <w:tcPr>
            <w:tcW w:type="dxa" w:w="960"/>
          </w:tcPr>
          <w:p>
            <w:pPr>
              <w:spacing w:after="40"/>
            </w:pPr>
            <w:r>
              <w:rPr>
                <w:sz w:val="16"/>
              </w:rPr>
              <w:t>31</w:t>
            </w:r>
          </w:p>
        </w:tc>
        <w:tc>
          <w:tcPr>
            <w:tcW w:type="dxa" w:w="960"/>
          </w:tcPr>
          <w:p>
            <w:pPr>
              <w:spacing w:after="40"/>
            </w:pPr>
            <w:r>
              <w:rPr>
                <w:sz w:val="16"/>
              </w:rPr>
              <w:t>31</w:t>
            </w:r>
          </w:p>
        </w:tc>
        <w:tc>
          <w:tcPr>
            <w:tcW w:type="dxa" w:w="960"/>
          </w:tcPr>
          <w:p>
            <w:pPr>
              <w:spacing w:after="40"/>
            </w:pPr>
            <w:r>
              <w:rPr>
                <w:sz w:val="16"/>
              </w:rPr>
              <w:t>22</w:t>
            </w:r>
          </w:p>
        </w:tc>
        <w:tc>
          <w:tcPr>
            <w:tcW w:type="dxa" w:w="960"/>
          </w:tcPr>
          <w:p>
            <w:pPr>
              <w:spacing w:after="40"/>
            </w:pPr>
            <w:r>
              <w:rPr>
                <w:sz w:val="16"/>
              </w:rPr>
              <w:t>5.98억</w:t>
            </w:r>
          </w:p>
        </w:tc>
        <w:tc>
          <w:tcPr>
            <w:tcW w:type="dxa" w:w="960"/>
          </w:tcPr>
          <w:p>
            <w:pPr>
              <w:spacing w:after="40"/>
            </w:pPr>
            <w:r>
              <w:rPr>
                <w:sz w:val="16"/>
              </w:rPr>
              <w:t>6.08억</w:t>
            </w:r>
          </w:p>
        </w:tc>
      </w:tr>
      <w:tr>
        <w:tc>
          <w:tcPr>
            <w:tcW w:type="dxa" w:w="960"/>
          </w:tcPr>
          <w:p>
            <w:pPr>
              <w:spacing w:after="40"/>
            </w:pPr>
            <w:r>
              <w:rPr>
                <w:sz w:val="16"/>
              </w:rPr>
              <w:t>삼익소월</w:t>
            </w:r>
          </w:p>
        </w:tc>
        <w:tc>
          <w:tcPr>
            <w:tcW w:type="dxa" w:w="960"/>
          </w:tcPr>
          <w:p>
            <w:pPr>
              <w:spacing w:after="40"/>
            </w:pPr>
            <w:r>
              <w:rPr>
                <w:sz w:val="16"/>
              </w:rPr>
              <w:t>대덕구 법동</w:t>
            </w:r>
          </w:p>
        </w:tc>
        <w:tc>
          <w:tcPr>
            <w:tcW w:type="dxa" w:w="960"/>
          </w:tcPr>
          <w:p>
            <w:pPr>
              <w:spacing w:after="40"/>
            </w:pPr>
            <w:r>
              <w:rPr>
                <w:sz w:val="16"/>
              </w:rPr>
              <w:t>810</w:t>
            </w:r>
          </w:p>
        </w:tc>
        <w:tc>
          <w:tcPr>
            <w:tcW w:type="dxa" w:w="960"/>
          </w:tcPr>
          <w:p>
            <w:pPr>
              <w:spacing w:after="40"/>
            </w:pPr>
            <w:r>
              <w:rPr>
                <w:sz w:val="16"/>
              </w:rPr>
              <w:t>36</w:t>
            </w:r>
          </w:p>
        </w:tc>
        <w:tc>
          <w:tcPr>
            <w:tcW w:type="dxa" w:w="960"/>
          </w:tcPr>
          <w:p>
            <w:pPr>
              <w:spacing w:after="40"/>
            </w:pPr>
            <w:r>
              <w:rPr>
                <w:sz w:val="16"/>
              </w:rPr>
              <w:t>26</w:t>
            </w:r>
          </w:p>
        </w:tc>
        <w:tc>
          <w:tcPr>
            <w:tcW w:type="dxa" w:w="960"/>
          </w:tcPr>
          <w:p>
            <w:pPr>
              <w:spacing w:after="40"/>
            </w:pPr>
            <w:r>
              <w:rPr>
                <w:sz w:val="16"/>
              </w:rPr>
              <w:t>25</w:t>
            </w:r>
          </w:p>
        </w:tc>
        <w:tc>
          <w:tcPr>
            <w:tcW w:type="dxa" w:w="960"/>
          </w:tcPr>
          <w:p>
            <w:pPr>
              <w:spacing w:after="40"/>
            </w:pPr>
            <w:r>
              <w:rPr>
                <w:sz w:val="16"/>
              </w:rPr>
              <w:t>19</w:t>
            </w:r>
          </w:p>
        </w:tc>
        <w:tc>
          <w:tcPr>
            <w:tcW w:type="dxa" w:w="960"/>
          </w:tcPr>
          <w:p>
            <w:pPr>
              <w:spacing w:after="40"/>
            </w:pPr>
            <w:r>
              <w:rPr>
                <w:sz w:val="16"/>
              </w:rPr>
              <w:t>1.84억</w:t>
            </w:r>
          </w:p>
        </w:tc>
        <w:tc>
          <w:tcPr>
            <w:tcW w:type="dxa" w:w="960"/>
          </w:tcPr>
          <w:p>
            <w:pPr>
              <w:spacing w:after="40"/>
            </w:pPr>
            <w:r>
              <w:rPr>
                <w:sz w:val="16"/>
              </w:rPr>
              <w:t>1.84억</w:t>
            </w:r>
          </w:p>
        </w:tc>
      </w:tr>
      <w:tr>
        <w:tc>
          <w:tcPr>
            <w:tcW w:type="dxa" w:w="960"/>
          </w:tcPr>
          <w:p>
            <w:pPr>
              <w:spacing w:after="40"/>
            </w:pPr>
            <w:r>
              <w:rPr>
                <w:sz w:val="16"/>
              </w:rPr>
              <w:t>한가람</w:t>
            </w:r>
          </w:p>
        </w:tc>
        <w:tc>
          <w:tcPr>
            <w:tcW w:type="dxa" w:w="960"/>
          </w:tcPr>
          <w:p>
            <w:pPr>
              <w:spacing w:after="40"/>
            </w:pPr>
            <w:r>
              <w:rPr>
                <w:sz w:val="16"/>
              </w:rPr>
              <w:t>서구 탄방동</w:t>
            </w:r>
          </w:p>
        </w:tc>
        <w:tc>
          <w:tcPr>
            <w:tcW w:type="dxa" w:w="960"/>
          </w:tcPr>
          <w:p>
            <w:pPr>
              <w:spacing w:after="40"/>
            </w:pPr>
            <w:r>
              <w:rPr>
                <w:sz w:val="16"/>
              </w:rPr>
              <w:t>1,380</w:t>
            </w:r>
          </w:p>
        </w:tc>
        <w:tc>
          <w:tcPr>
            <w:tcW w:type="dxa" w:w="960"/>
          </w:tcPr>
          <w:p>
            <w:pPr>
              <w:spacing w:after="40"/>
            </w:pPr>
            <w:r>
              <w:rPr>
                <w:sz w:val="16"/>
              </w:rPr>
              <w:t>31</w:t>
            </w:r>
          </w:p>
        </w:tc>
        <w:tc>
          <w:tcPr>
            <w:tcW w:type="dxa" w:w="960"/>
          </w:tcPr>
          <w:p>
            <w:pPr>
              <w:spacing w:after="40"/>
            </w:pPr>
            <w:r>
              <w:rPr>
                <w:sz w:val="16"/>
              </w:rPr>
              <w:t>13</w:t>
            </w:r>
          </w:p>
        </w:tc>
        <w:tc>
          <w:tcPr>
            <w:tcW w:type="dxa" w:w="960"/>
          </w:tcPr>
          <w:p>
            <w:pPr>
              <w:spacing w:after="40"/>
            </w:pPr>
            <w:r>
              <w:rPr>
                <w:sz w:val="16"/>
              </w:rPr>
              <w:t>25</w:t>
            </w:r>
          </w:p>
        </w:tc>
        <w:tc>
          <w:tcPr>
            <w:tcW w:type="dxa" w:w="960"/>
          </w:tcPr>
          <w:p>
            <w:pPr>
              <w:spacing w:after="40"/>
            </w:pPr>
            <w:r>
              <w:rPr>
                <w:sz w:val="16"/>
              </w:rPr>
              <w:t>11</w:t>
            </w:r>
          </w:p>
        </w:tc>
        <w:tc>
          <w:tcPr>
            <w:tcW w:type="dxa" w:w="960"/>
          </w:tcPr>
          <w:p>
            <w:pPr>
              <w:spacing w:after="40"/>
            </w:pPr>
            <w:r>
              <w:rPr>
                <w:sz w:val="16"/>
              </w:rPr>
              <w:t>4.66억</w:t>
            </w:r>
          </w:p>
        </w:tc>
        <w:tc>
          <w:tcPr>
            <w:tcW w:type="dxa" w:w="960"/>
          </w:tcPr>
          <w:p>
            <w:pPr>
              <w:spacing w:after="40"/>
            </w:pPr>
            <w:r>
              <w:rPr>
                <w:sz w:val="16"/>
              </w:rPr>
              <w:t>4.50억</w:t>
            </w:r>
          </w:p>
        </w:tc>
      </w:tr>
      <w:tr>
        <w:tc>
          <w:tcPr>
            <w:tcW w:type="dxa" w:w="960"/>
          </w:tcPr>
          <w:p>
            <w:pPr>
              <w:spacing w:after="40"/>
            </w:pPr>
            <w:r>
              <w:rPr>
                <w:sz w:val="16"/>
              </w:rPr>
              <w:t>보람</w:t>
            </w:r>
          </w:p>
        </w:tc>
        <w:tc>
          <w:tcPr>
            <w:tcW w:type="dxa" w:w="960"/>
          </w:tcPr>
          <w:p>
            <w:pPr>
              <w:spacing w:after="40"/>
            </w:pPr>
            <w:r>
              <w:rPr>
                <w:sz w:val="16"/>
              </w:rPr>
              <w:t>대덕구 법동</w:t>
            </w:r>
          </w:p>
        </w:tc>
        <w:tc>
          <w:tcPr>
            <w:tcW w:type="dxa" w:w="960"/>
          </w:tcPr>
          <w:p>
            <w:pPr>
              <w:spacing w:after="40"/>
            </w:pPr>
            <w:r>
              <w:rPr>
                <w:sz w:val="16"/>
              </w:rPr>
              <w:t>1,735</w:t>
            </w:r>
          </w:p>
        </w:tc>
        <w:tc>
          <w:tcPr>
            <w:tcW w:type="dxa" w:w="960"/>
          </w:tcPr>
          <w:p>
            <w:pPr>
              <w:spacing w:after="40"/>
            </w:pPr>
            <w:r>
              <w:rPr>
                <w:sz w:val="16"/>
              </w:rPr>
              <w:t>30</w:t>
            </w:r>
          </w:p>
        </w:tc>
        <w:tc>
          <w:tcPr>
            <w:tcW w:type="dxa" w:w="960"/>
          </w:tcPr>
          <w:p>
            <w:pPr>
              <w:spacing w:after="40"/>
            </w:pPr>
            <w:r>
              <w:rPr>
                <w:sz w:val="16"/>
              </w:rPr>
              <w:t>27</w:t>
            </w:r>
          </w:p>
        </w:tc>
        <w:tc>
          <w:tcPr>
            <w:tcW w:type="dxa" w:w="960"/>
          </w:tcPr>
          <w:p>
            <w:pPr>
              <w:spacing w:after="40"/>
            </w:pPr>
            <w:r>
              <w:rPr>
                <w:sz w:val="16"/>
              </w:rPr>
              <w:t>20</w:t>
            </w:r>
          </w:p>
        </w:tc>
        <w:tc>
          <w:tcPr>
            <w:tcW w:type="dxa" w:w="960"/>
          </w:tcPr>
          <w:p>
            <w:pPr>
              <w:spacing w:after="40"/>
            </w:pPr>
            <w:r>
              <w:rPr>
                <w:sz w:val="16"/>
              </w:rPr>
              <w:t>19</w:t>
            </w:r>
          </w:p>
        </w:tc>
        <w:tc>
          <w:tcPr>
            <w:tcW w:type="dxa" w:w="960"/>
          </w:tcPr>
          <w:p>
            <w:pPr>
              <w:spacing w:after="40"/>
            </w:pPr>
            <w:r>
              <w:rPr>
                <w:sz w:val="16"/>
              </w:rPr>
              <w:t>3.34억</w:t>
            </w:r>
          </w:p>
        </w:tc>
        <w:tc>
          <w:tcPr>
            <w:tcW w:type="dxa" w:w="960"/>
          </w:tcPr>
          <w:p>
            <w:pPr>
              <w:spacing w:after="40"/>
            </w:pPr>
            <w:r>
              <w:rPr>
                <w:sz w:val="16"/>
              </w:rPr>
              <w:t>3.16억</w:t>
            </w:r>
          </w:p>
        </w:tc>
      </w:tr>
      <w:tr>
        <w:tc>
          <w:tcPr>
            <w:tcW w:type="dxa" w:w="960"/>
          </w:tcPr>
          <w:p>
            <w:pPr>
              <w:spacing w:after="40"/>
            </w:pPr>
            <w:r>
              <w:rPr>
                <w:sz w:val="16"/>
              </w:rPr>
              <w:t>목련</w:t>
            </w:r>
          </w:p>
        </w:tc>
        <w:tc>
          <w:tcPr>
            <w:tcW w:type="dxa" w:w="960"/>
          </w:tcPr>
          <w:p>
            <w:pPr>
              <w:spacing w:after="40"/>
            </w:pPr>
            <w:r>
              <w:rPr>
                <w:sz w:val="16"/>
              </w:rPr>
              <w:t>서구 둔산동</w:t>
            </w:r>
          </w:p>
        </w:tc>
        <w:tc>
          <w:tcPr>
            <w:tcW w:type="dxa" w:w="960"/>
          </w:tcPr>
          <w:p>
            <w:pPr>
              <w:spacing w:after="40"/>
            </w:pPr>
            <w:r>
              <w:rPr>
                <w:sz w:val="16"/>
              </w:rPr>
              <w:t>1,166</w:t>
            </w:r>
          </w:p>
        </w:tc>
        <w:tc>
          <w:tcPr>
            <w:tcW w:type="dxa" w:w="960"/>
          </w:tcPr>
          <w:p>
            <w:pPr>
              <w:spacing w:after="40"/>
            </w:pPr>
            <w:r>
              <w:rPr>
                <w:sz w:val="16"/>
              </w:rPr>
              <w:t>23</w:t>
            </w:r>
          </w:p>
        </w:tc>
        <w:tc>
          <w:tcPr>
            <w:tcW w:type="dxa" w:w="960"/>
          </w:tcPr>
          <w:p>
            <w:pPr>
              <w:spacing w:after="40"/>
            </w:pPr>
            <w:r>
              <w:rPr>
                <w:sz w:val="16"/>
              </w:rPr>
              <w:t>7</w:t>
            </w:r>
          </w:p>
        </w:tc>
        <w:tc>
          <w:tcPr>
            <w:tcW w:type="dxa" w:w="960"/>
          </w:tcPr>
          <w:p>
            <w:pPr>
              <w:spacing w:after="40"/>
            </w:pPr>
            <w:r>
              <w:rPr>
                <w:sz w:val="16"/>
              </w:rPr>
              <w:t>15</w:t>
            </w:r>
          </w:p>
        </w:tc>
        <w:tc>
          <w:tcPr>
            <w:tcW w:type="dxa" w:w="960"/>
          </w:tcPr>
          <w:p>
            <w:pPr>
              <w:spacing w:after="40"/>
            </w:pPr>
            <w:r>
              <w:rPr>
                <w:sz w:val="16"/>
              </w:rPr>
              <w:t>7</w:t>
            </w:r>
          </w:p>
        </w:tc>
        <w:tc>
          <w:tcPr>
            <w:tcW w:type="dxa" w:w="960"/>
          </w:tcPr>
          <w:p>
            <w:pPr>
              <w:spacing w:after="40"/>
            </w:pPr>
            <w:r>
              <w:rPr>
                <w:sz w:val="16"/>
              </w:rPr>
              <w:t>13.3억</w:t>
            </w:r>
          </w:p>
        </w:tc>
        <w:tc>
          <w:tcPr>
            <w:tcW w:type="dxa" w:w="960"/>
          </w:tcPr>
          <w:p>
            <w:pPr>
              <w:spacing w:after="40"/>
            </w:pPr>
            <w:r>
              <w:rPr>
                <w:sz w:val="16"/>
              </w:rPr>
              <w:t>15.1억</w:t>
            </w:r>
          </w:p>
        </w:tc>
      </w:tr>
    </w:tbl>
    <w:p>
      <w:r>
        <w:rPr>
          <w:color w:val="64748B"/>
          <w:sz w:val="17"/>
        </w:rPr>
        <w:t>작성 | 콕집(koczip.com) 데이터팀 · 런투온라인(대표 황인찬) · runtoonline@gmail.com · 010-5942-8014  모든 수치는 저희가 자체 구축한 DB에서 2026년 7월 24일 기준으로 집계했습니다. 매물수는 콕집 일별 수집 기준으로, 광고매물(포털 노출 광고 건수)과 실매물(같은 집의 중복 광고를 합친 수)을 구분해 표기했습니다. 선도지구 6개 단지는 국토부 선정 발표문 기준입니다. 실거래는 국토부 신고 자료(해제거래 제외)이며 신고 기한 30일로 최근 구간은 미완성입니다. 대조군은 같은 법정동의 선정되지 않은 아파트입니다. 분석 방법이나 원자료가 더 필요하시면 언제든 연락 주시기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