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7월 · 즉시 보도 가능    문의: 조용호 공동창업자 · albooooza@gmail.com · 010-4692-4946</w:t>
      </w:r>
    </w:p>
    <w:p>
      <w:pPr>
        <w:jc w:val="left"/>
      </w:pPr>
      <w:r>
        <w:rPr>
          <w:b/>
          <w:sz w:val="31"/>
        </w:rPr>
        <w:t>대전 선도지구 발표 엿새, 세종과 온도차 벌어졌다 — 콕집 DB로 본 충청권 매물 추이</w:t>
      </w:r>
    </w:p>
    <w:p>
      <w:r>
        <w:rPr>
          <w:b/>
          <w:color w:val="1268D3"/>
          <w:sz w:val="23"/>
        </w:rPr>
        <w:t>발표 전엔 나란히 늘던 매물, 대전만 -22.5%…세종은 -0.5% · 호가 상승률은 8배 차</w:t>
      </w:r>
    </w:p>
    <w:p>
      <w:r>
        <w:t>7월 15일 대전 노후계획도시 정비 선도지구 발표를 계기로 대전과 세종의 주택시장 온도차가 뚜렷해진 것으로 나타났다. 부동산 데이터 플랫폼 콕집(koczip.com)이 대전 선도지구 6개 단지와 세종시 정부청사 생활권 7개 동 103개 단지의 매물을 일자별로 전수 비교한 결과, 발표 전날인 7월 14일 대비 7월 20일 매매 광고매물은 대전이 227건에서 176건으로 22.5% 급감한 반면 세종은 15,385건에서 15,302건으로 0.5% 줄어드는 데 그쳤다. 주목할 점은 발표 직전까지 두 지역이 같은 방향으로 움직이고 있었다는 것이다. 발표 전 한 달간 매매 광고매물은 대전이 4.6%, 세종이 4.1% 늘어 증가율이 사실상 같았다. 온도차는 발표를 기점으로 벌어졌다.</w:t>
      </w:r>
    </w:p>
    <w:p>
      <w:pPr>
        <w:jc w:val="center"/>
      </w:pPr>
      <w:r>
        <w:drawing>
          <wp:inline xmlns:a="http://schemas.openxmlformats.org/drawingml/2006/main" xmlns:pic="http://schemas.openxmlformats.org/drawingml/2006/picture">
            <wp:extent cx="5832000" cy="2373488"/>
            <wp:docPr id="1" name="Picture 1"/>
            <wp:cNvGraphicFramePr>
              <a:graphicFrameLocks noChangeAspect="1"/>
            </wp:cNvGraphicFramePr>
            <a:graphic>
              <a:graphicData uri="http://schemas.openxmlformats.org/drawingml/2006/picture">
                <pic:pic>
                  <pic:nvPicPr>
                    <pic:cNvPr id="0" name="daejeon_sejong_chart.png"/>
                    <pic:cNvPicPr/>
                  </pic:nvPicPr>
                  <pic:blipFill>
                    <a:blip r:embed="rId9"/>
                    <a:stretch>
                      <a:fillRect/>
                    </a:stretch>
                  </pic:blipFill>
                  <pic:spPr>
                    <a:xfrm>
                      <a:off x="0" y="0"/>
                      <a:ext cx="5832000" cy="2373488"/>
                    </a:xfrm>
                    <a:prstGeom prst="rect"/>
                  </pic:spPr>
                </pic:pic>
              </a:graphicData>
            </a:graphic>
          </wp:inline>
        </w:drawing>
      </w:r>
    </w:p>
    <w:p>
      <w:r>
        <w:rPr>
          <w:b/>
          <w:sz w:val="23"/>
        </w:rPr>
        <w:t>■ 한눈에 보는 비교 (콕집 DB)</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t>항목</w:t>
            </w:r>
          </w:p>
        </w:tc>
        <w:tc>
          <w:tcPr>
            <w:tcW w:type="dxa" w:w="2880"/>
          </w:tcPr>
          <w:p>
            <w:pPr>
              <w:spacing w:after="40"/>
            </w:pPr>
            <w:r>
              <w:rPr>
                <w:b/>
                <w:sz w:val="18"/>
              </w:rPr>
              <w:t>대전 선도지구 (6단지)</w:t>
            </w:r>
          </w:p>
        </w:tc>
        <w:tc>
          <w:tcPr>
            <w:tcW w:type="dxa" w:w="2880"/>
          </w:tcPr>
          <w:p>
            <w:pPr>
              <w:spacing w:after="40"/>
            </w:pPr>
            <w:r>
              <w:rPr>
                <w:b/>
                <w:sz w:val="18"/>
              </w:rPr>
              <w:t>세종 청사권 (103단지)</w:t>
            </w:r>
          </w:p>
        </w:tc>
      </w:tr>
      <w:tr>
        <w:tc>
          <w:tcPr>
            <w:tcW w:type="dxa" w:w="2880"/>
          </w:tcPr>
          <w:p>
            <w:pPr>
              <w:spacing w:after="40"/>
            </w:pPr>
            <w:r>
              <w:rPr>
                <w:sz w:val="18"/>
              </w:rPr>
              <w:t>매매 광고매물 (7/14→7/20)</w:t>
            </w:r>
          </w:p>
        </w:tc>
        <w:tc>
          <w:tcPr>
            <w:tcW w:type="dxa" w:w="2880"/>
          </w:tcPr>
          <w:p>
            <w:pPr>
              <w:spacing w:after="40"/>
            </w:pPr>
            <w:r>
              <w:rPr>
                <w:sz w:val="18"/>
              </w:rPr>
              <w:t>227 → 176</w:t>
            </w:r>
          </w:p>
        </w:tc>
        <w:tc>
          <w:tcPr>
            <w:tcW w:type="dxa" w:w="2880"/>
          </w:tcPr>
          <w:p>
            <w:pPr>
              <w:spacing w:after="40"/>
            </w:pPr>
            <w:r>
              <w:rPr>
                <w:sz w:val="18"/>
              </w:rPr>
              <w:t>15,385 → 15,302</w:t>
            </w:r>
          </w:p>
        </w:tc>
      </w:tr>
      <w:tr>
        <w:tc>
          <w:tcPr>
            <w:tcW w:type="dxa" w:w="2880"/>
          </w:tcPr>
          <w:p>
            <w:pPr>
              <w:spacing w:after="40"/>
            </w:pPr>
            <w:r>
              <w:rPr>
                <w:sz w:val="18"/>
              </w:rPr>
              <w:t>증감률</w:t>
            </w:r>
          </w:p>
        </w:tc>
        <w:tc>
          <w:tcPr>
            <w:tcW w:type="dxa" w:w="2880"/>
          </w:tcPr>
          <w:p>
            <w:pPr>
              <w:spacing w:after="40"/>
            </w:pPr>
            <w:r>
              <w:rPr>
                <w:sz w:val="18"/>
              </w:rPr>
              <w:t>-22.5%</w:t>
            </w:r>
          </w:p>
        </w:tc>
        <w:tc>
          <w:tcPr>
            <w:tcW w:type="dxa" w:w="2880"/>
          </w:tcPr>
          <w:p>
            <w:pPr>
              <w:spacing w:after="40"/>
            </w:pPr>
            <w:r>
              <w:rPr>
                <w:sz w:val="18"/>
              </w:rPr>
              <w:t>-0.5%</w:t>
            </w:r>
          </w:p>
        </w:tc>
      </w:tr>
      <w:tr>
        <w:tc>
          <w:tcPr>
            <w:tcW w:type="dxa" w:w="2880"/>
          </w:tcPr>
          <w:p>
            <w:pPr>
              <w:spacing w:after="40"/>
            </w:pPr>
            <w:r>
              <w:rPr>
                <w:sz w:val="18"/>
              </w:rPr>
              <w:t>실매물 (중복 합침)</w:t>
            </w:r>
          </w:p>
        </w:tc>
        <w:tc>
          <w:tcPr>
            <w:tcW w:type="dxa" w:w="2880"/>
          </w:tcPr>
          <w:p>
            <w:pPr>
              <w:spacing w:after="40"/>
            </w:pPr>
            <w:r>
              <w:rPr>
                <w:sz w:val="18"/>
              </w:rPr>
              <w:t>144 → 117 (-18.8%)</w:t>
            </w:r>
          </w:p>
        </w:tc>
        <w:tc>
          <w:tcPr>
            <w:tcW w:type="dxa" w:w="2880"/>
          </w:tcPr>
          <w:p>
            <w:pPr>
              <w:spacing w:after="40"/>
            </w:pPr>
            <w:r>
              <w:rPr>
                <w:sz w:val="18"/>
              </w:rPr>
              <w:t>5,019 → 5,008 (-0.2%)</w:t>
            </w:r>
          </w:p>
        </w:tc>
      </w:tr>
      <w:tr>
        <w:tc>
          <w:tcPr>
            <w:tcW w:type="dxa" w:w="2880"/>
          </w:tcPr>
          <w:p>
            <w:pPr>
              <w:spacing w:after="40"/>
            </w:pPr>
            <w:r>
              <w:rPr>
                <w:sz w:val="18"/>
              </w:rPr>
              <w:t>평균 매매호가</w:t>
            </w:r>
          </w:p>
        </w:tc>
        <w:tc>
          <w:tcPr>
            <w:tcW w:type="dxa" w:w="2880"/>
          </w:tcPr>
          <w:p>
            <w:pPr>
              <w:spacing w:after="40"/>
            </w:pPr>
            <w:r>
              <w:rPr>
                <w:sz w:val="18"/>
              </w:rPr>
              <w:t>8억 3,108만 → 8억 4,439만 (+1.60%)</w:t>
            </w:r>
          </w:p>
        </w:tc>
        <w:tc>
          <w:tcPr>
            <w:tcW w:type="dxa" w:w="2880"/>
          </w:tcPr>
          <w:p>
            <w:pPr>
              <w:spacing w:after="40"/>
            </w:pPr>
            <w:r>
              <w:rPr>
                <w:sz w:val="18"/>
              </w:rPr>
              <w:t>6억 7,885만 → 6억 8,011만 (+0.19%)</w:t>
            </w:r>
          </w:p>
        </w:tc>
      </w:tr>
      <w:tr>
        <w:tc>
          <w:tcPr>
            <w:tcW w:type="dxa" w:w="2880"/>
          </w:tcPr>
          <w:p>
            <w:pPr>
              <w:spacing w:after="40"/>
            </w:pPr>
            <w:r>
              <w:rPr>
                <w:sz w:val="18"/>
              </w:rPr>
              <w:t>전세 매물</w:t>
            </w:r>
          </w:p>
        </w:tc>
        <w:tc>
          <w:tcPr>
            <w:tcW w:type="dxa" w:w="2880"/>
          </w:tcPr>
          <w:p>
            <w:pPr>
              <w:spacing w:after="40"/>
            </w:pPr>
            <w:r>
              <w:rPr>
                <w:sz w:val="18"/>
              </w:rPr>
              <w:t>46 → 54 (+17.4%)</w:t>
            </w:r>
          </w:p>
        </w:tc>
        <w:tc>
          <w:tcPr>
            <w:tcW w:type="dxa" w:w="2880"/>
          </w:tcPr>
          <w:p>
            <w:pPr>
              <w:spacing w:after="40"/>
            </w:pPr>
            <w:r>
              <w:rPr>
                <w:sz w:val="18"/>
              </w:rPr>
              <w:t>773 → 770 (-0.4%)</w:t>
            </w:r>
          </w:p>
        </w:tc>
      </w:tr>
      <w:tr>
        <w:tc>
          <w:tcPr>
            <w:tcW w:type="dxa" w:w="2880"/>
          </w:tcPr>
          <w:p>
            <w:pPr>
              <w:spacing w:after="40"/>
            </w:pPr>
            <w:r>
              <w:rPr>
                <w:sz w:val="18"/>
              </w:rPr>
              <w:t>발표 전 한 달 추세 (6/18→7/14)</w:t>
            </w:r>
          </w:p>
        </w:tc>
        <w:tc>
          <w:tcPr>
            <w:tcW w:type="dxa" w:w="2880"/>
          </w:tcPr>
          <w:p>
            <w:pPr>
              <w:spacing w:after="40"/>
            </w:pPr>
            <w:r>
              <w:rPr>
                <w:sz w:val="18"/>
              </w:rPr>
              <w:t>217 → 227 (+4.6%)</w:t>
            </w:r>
          </w:p>
        </w:tc>
        <w:tc>
          <w:tcPr>
            <w:tcW w:type="dxa" w:w="2880"/>
          </w:tcPr>
          <w:p>
            <w:pPr>
              <w:spacing w:after="40"/>
            </w:pPr>
            <w:r>
              <w:rPr>
                <w:sz w:val="18"/>
              </w:rPr>
              <w:t>14,786 → 15,385 (+4.1%)</w:t>
            </w:r>
          </w:p>
        </w:tc>
      </w:tr>
      <w:tr>
        <w:tc>
          <w:tcPr>
            <w:tcW w:type="dxa" w:w="2880"/>
          </w:tcPr>
          <w:p>
            <w:pPr>
              <w:spacing w:after="40"/>
            </w:pPr>
            <w:r>
              <w:rPr>
                <w:sz w:val="18"/>
              </w:rPr>
              <w:t>아파트 평균 실거래가 (25.8→26.6)</w:t>
            </w:r>
          </w:p>
        </w:tc>
        <w:tc>
          <w:tcPr>
            <w:tcW w:type="dxa" w:w="2880"/>
          </w:tcPr>
          <w:p>
            <w:pPr>
              <w:spacing w:after="40"/>
            </w:pPr>
            <w:r>
              <w:rPr>
                <w:sz w:val="18"/>
              </w:rPr>
              <w:t>3억 4,312만 → 3억 6,977만 (+7.8%)</w:t>
            </w:r>
          </w:p>
        </w:tc>
        <w:tc>
          <w:tcPr>
            <w:tcW w:type="dxa" w:w="2880"/>
          </w:tcPr>
          <w:p>
            <w:pPr>
              <w:spacing w:after="40"/>
            </w:pPr>
            <w:r>
              <w:rPr>
                <w:sz w:val="18"/>
              </w:rPr>
              <w:t>5억 631만 → 5억 698만 (+0.1%)</w:t>
            </w:r>
          </w:p>
        </w:tc>
      </w:tr>
      <w:tr>
        <w:tc>
          <w:tcPr>
            <w:tcW w:type="dxa" w:w="2880"/>
          </w:tcPr>
          <w:p>
            <w:pPr>
              <w:spacing w:after="40"/>
            </w:pPr>
            <w:r>
              <w:rPr>
                <w:sz w:val="18"/>
              </w:rPr>
              <w:t>월 매매 신고건수 (26.1→26.6)</w:t>
            </w:r>
          </w:p>
        </w:tc>
        <w:tc>
          <w:tcPr>
            <w:tcW w:type="dxa" w:w="2880"/>
          </w:tcPr>
          <w:p>
            <w:pPr>
              <w:spacing w:after="40"/>
            </w:pPr>
            <w:r>
              <w:rPr>
                <w:sz w:val="18"/>
              </w:rPr>
              <w:t>1,736 → 1,262 (-27.3%)</w:t>
            </w:r>
          </w:p>
        </w:tc>
        <w:tc>
          <w:tcPr>
            <w:tcW w:type="dxa" w:w="2880"/>
          </w:tcPr>
          <w:p>
            <w:pPr>
              <w:spacing w:after="40"/>
            </w:pPr>
            <w:r>
              <w:rPr>
                <w:sz w:val="18"/>
              </w:rPr>
              <w:t>589 → 356 (-39.6%)</w:t>
            </w:r>
          </w:p>
        </w:tc>
      </w:tr>
    </w:tbl>
    <w:p>
      <w:pPr>
        <w:spacing w:before="160" w:after="80"/>
      </w:pPr>
      <w:r>
        <w:rPr>
          <w:b/>
          <w:sz w:val="23"/>
        </w:rPr>
        <w:t>■ 온도차가 벌어진 시점은 발표 당일</w:t>
      </w:r>
    </w:p>
    <w:p>
      <w:r>
        <w:t>두 지역이 원래 다른 흐름이었던 것은 아니다. 발표 전 한 달간(6월 18일~7월 14일) 매매 광고매물은 세종 청사권이 14,786건에서 15,385건으로 4.1%, 대전 선도지구가 217건에서 227건으로 4.6% 늘어 증가율이 사실상 같았다. 갈라진 시점은 발표 당일이다. 대전은 7월 15일 220건을 기점으로 16일 206건, 17일 195건, 18일 191건, 19일 187건, 20일 176건으로 엿새 연속 줄었고, 같은 기간 세종은 15,513→15,302건 사이에서 오르내렸다. 재건축 기대가 실린 곳에서만 매도자가 물건을 거둬들이는 ‘매물 잠김’이 국지적으로 나타난 셈이다.</w:t>
      </w:r>
    </w:p>
    <w:p>
      <w:pPr>
        <w:spacing w:before="160" w:after="80"/>
      </w:pPr>
      <w:r>
        <w:rPr>
          <w:b/>
          <w:sz w:val="23"/>
        </w:rPr>
        <w:t>■ 세종은 동별로도 ±2% 안팎 — 평시 등락 범위</w:t>
      </w:r>
    </w:p>
    <w:p>
      <w:r>
        <w:t>세종 청사권을 동 단위로 쪼개 보면 편차는 크지 않다. 발표 전날 대비 7월 20일 매매 광고매물은 한솔동이 3,027건에서 2,955건으로 2.4% 줄어 감소 폭이 가장 컸고, 어진동 -1.1%, 종촌동 -1.0%, 다정동 -0.6%, 도담동 -0.1%였다. 반면 새롬동은 0.4%, 나성동은 1.8% 늘었다. 감소와 증가가 뒤섞인 ±2% 안팎의 등락으로, 평상시 하루 단위 변동 범위를 벗어나지 않는다.</w:t>
      </w:r>
    </w:p>
    <w:p>
      <w:pPr>
        <w:spacing w:before="160" w:after="80"/>
      </w:pPr>
      <w:r>
        <w:rPr>
          <w:b/>
          <w:sz w:val="23"/>
        </w:rPr>
        <w:t>■ 호가에서도 온도차 — 상승률 8배</w:t>
      </w:r>
    </w:p>
    <w:p>
      <w:r>
        <w:t>가격표에서도 온도차가 뚜렷하다. 같은 엿새 동안 단지 전체 평균 매매호가(매물수 가중)는 대전 선도지구가 8억 3,108만 원에서 8억 4,439만 원으로 1.60% 오른 반면, 세종 청사권은 6억 7,885만 원에서 6억 8,011만 원으로 0.19% 오르는 데 그쳤다. 상승률로 8배 차이다. 전세 매물은 대전이 46건에서 54건으로 17.4% 늘고 세종은 773건에서 770건으로 0.4% 줄어, 대전에서 잠긴 것은 매매뿐이라는 점도 확인된다.</w:t>
      </w:r>
    </w:p>
    <w:p>
      <w:pPr>
        <w:spacing w:before="160" w:after="80"/>
      </w:pPr>
      <w:r>
        <w:rPr>
          <w:b/>
          <w:sz w:val="23"/>
        </w:rPr>
        <w:t>■ 1년 시계로 보면 — 가격 상승률은 대전이 앞섰다</w:t>
      </w:r>
    </w:p>
    <w:p>
      <w:r>
        <w:t>시야를 1년으로 넓히면 두 도시의 아파트 평균 실거래가는 다른 폭으로 움직였다. 국토교통부 실거래 신고 기준 아파트 매매 평균가는 대전이 2025년 8월 3억 4,312만 원에서 2026년 6월 3억 6,977만 원으로 7.8% 오른 반면, 세종은 5억 631만 원에서 5억 698만 원으로 0.1% 움직이는 데 그쳤다. 거래량은 양쪽 모두 상반기 정점 이후 줄었다. 월별 매매 신고 건수는 2026년 1월 세종 589건·대전 1,736건으로 정점을 찍은 뒤 6월 세종 356건·대전 1,262건으로 각각 39.6%, 27.3% 감소했다.</w:t>
      </w:r>
    </w:p>
    <w:p>
      <w:pPr>
        <w:spacing w:before="160" w:after="80"/>
      </w:pPr>
      <w:r>
        <w:rPr>
          <w:b/>
          <w:sz w:val="23"/>
        </w:rPr>
        <w:t>■ 온도차를 만든 것은 재건축 기대</w:t>
      </w:r>
    </w:p>
    <w:p>
      <w:r>
        <w:t>이번 데이터가 보여주는 것은 두 지역이 서로 다른 국면에 들어섰다는 점이다. 대전 선도지구는 발표라는 분명한 계기에 엿새 만에 매물이 22.5% 줄고 호가가 1.60% 오르며 즉각 반응했다. 재건축 기대가 가격에 실리기 시작한 국면으로 읽힌다. 반면 세종 청사권은 같은 기간 매물 -0.5%, 호가 +0.19%로 움직임이 크지 않았다. 1년 시계에서도 아파트 평균 실거래가는 대전이 7.8% 오르는 동안 세종은 0.1% 변동에 그쳐, 두 도시의 가격 상승률 격차가 벌어지는 구간이라는 점이 확인된다.</w:t>
      </w:r>
    </w:p>
    <w:p>
      <w:pPr>
        <w:spacing w:before="160" w:after="80"/>
      </w:pPr>
      <w:r>
        <w:rPr>
          <w:b/>
          <w:sz w:val="23"/>
        </w:rPr>
        <w:t>■ 해석 시 유의점</w:t>
      </w:r>
    </w:p>
    <w:p>
      <w:r>
        <w:t>이번 수치는 발표 후 엿새간의 초기 반응이다. 매물 감소에는 호가를 다시 부르기 위한 회수와 실제 계약 성사가 섞여 있을 수 있다. 발표 이후 계약분의 실거래 신고는 신고 기한이 30일이어서 아직 집계에 반영되지 않았다. 월별 거래량 비교에서 최근 두 달이 적어 보이는 것도 같은 이유이며, 감소로 읽으면 오독이다. 세종 청사권은 동 단위로 묶은 광역 표본(103개 단지)이고 대전은 발표 대상 6개 단지여서 표본 성격이 다르다는 점도 함께 고려해야 한다.</w:t>
      </w:r>
    </w:p>
    <w:p>
      <w:pPr>
        <w:spacing w:before="160" w:after="80"/>
      </w:pPr>
      <w:r>
        <w:rPr>
          <w:b/>
          <w:sz w:val="23"/>
        </w:rPr>
        <w:t>■ 일자별 매물·호가, 누구나 단지 단위로 확인 가능</w:t>
      </w:r>
    </w:p>
    <w:p>
      <w:r>
        <w:t>콕집은 전국 아파트·오피스텔 6만 4천여 단지의 매물과 실거래를 매일 수집해 교차 분석하는 플랫폼으로, 이번 분석에 쓰인 일자별 매물수·실매물수·평균 호가 추이는 콕집 단지 상세의 ‘매물분석’ 메뉴에서 누구나 무료로 확인할 수 있다. 지역 비교, 급매 탐지, 단지별 신고가 등 분석 기능도 함께 제공한다.</w:t>
      </w:r>
    </w:p>
    <w:p>
      <w:r>
        <w:rPr>
          <w:i/>
        </w:rPr>
        <w:t>조용호 콕집 공동창업자는 “정비사업 발표가 시장에 만드는 파장은 지금까지 체감과 소문으로 이야기돼 왔다”며 “일자별 매물과 호가 데이터는 어느 지역이 언제, 얼마나 반응했는지를 숫자로 보여준다. 소비자와 시장이 각자 판단할 근거가 되도록 데이터를 계속 공개하겠다”고 말했다.</w:t>
      </w:r>
    </w:p>
    <w:p>
      <w:r>
        <w:rPr>
          <w:color w:val="64748B"/>
          <w:sz w:val="17"/>
        </w:rPr>
        <w:t>분석 방법 | 대상: ①대전 선도지구 3개 구역 6개 단지(한가람·공작한양·목련·크로바·보람·삼익소월) ②세종 정부청사 생활권 7개 동(어진·도담·종촌·다정·나성·새롬·한솔) 103개 단지. 기간: 2026-06-17~07-20 일자별. 광고매물=포털 노출 광고 건수, 실매물=동일 주택의 중복 광고를 합친 수, 평균 호가=매물수 가중평균. 실거래 건수·평균가는 국토교통부 실거래 신고 자료(해제거래 제외) 기준이며 신고 기한 30일로 최근 2개월은 미완성. 호가는 매도 희망가로 실거래 가격이 아님. 전 수치는 콕집 자체 구축 DB 실측(2026-07-20).</w:t>
      </w:r>
    </w:p>
    <w:p>
      <w:r>
        <w:rPr>
          <w:b/>
          <w:sz w:val="23"/>
        </w:rPr>
        <w:t>■ 서비스 개요</w:t>
      </w:r>
    </w:p>
    <w:p>
      <w:r>
        <w:t>· 서비스: 콕집 — 부동산 매물·실거래·중개사 분석 플랫폼 (koczip.com)</w:t>
      </w:r>
    </w:p>
    <w:p>
      <w:r>
        <w:t>· 운영사: 런투온라인 (대표 황인찬)</w:t>
      </w:r>
    </w:p>
    <w:p>
      <w:r>
        <w:t>· 문의: 조용호 공동창업자 · albooooza@gmail.com · 010-4692-4946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