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F4E79"/>
          <w:sz w:val="44"/>
          <w:szCs w:val="44"/>
        </w:rPr>
        <w:t xml:space="preserve">AgenTekki Tax Agent</w:t>
      </w:r>
    </w:p>
    <w:p>
      <w:pPr>
        <w:jc w:val="center"/>
      </w:pPr>
      <w:r>
        <w:rPr>
          <w:rFonts w:ascii="Arial" w:cs="Arial" w:eastAsia="Arial" w:hAnsi="Arial"/>
          <w:color w:val="2E75B6"/>
          <w:sz w:val="32"/>
          <w:szCs w:val="32"/>
        </w:rPr>
        <w:t xml:space="preserve">Policy &amp; Rules Knowledge Base</w:t>
      </w:r>
    </w:p>
    <w:p>
      <w:pPr>
        <w:spacing w:before="400"/>
        <w:jc w:val="center"/>
      </w:pPr>
      <w:r>
        <w:rPr>
          <w:rFonts w:ascii="Arial" w:cs="Arial" w:eastAsia="Arial" w:hAnsi="Arial"/>
          <w:color w:val="666666"/>
          <w:sz w:val="22"/>
          <w:szCs w:val="22"/>
        </w:rPr>
        <w:t xml:space="preserve">Canton of Zurich — Tax Year 2025</w:t>
      </w:r>
    </w:p>
    <w:p>
      <w:pPr>
        <w:spacing w:before="200"/>
        <w:jc w:val="center"/>
      </w:pPr>
      <w:r>
        <w:rPr>
          <w:rFonts w:ascii="Arial" w:cs="Arial" w:eastAsia="Arial" w:hAnsi="Arial"/>
          <w:color w:val="999999"/>
          <w:sz w:val="20"/>
          <w:szCs w:val="20"/>
        </w:rPr>
        <w:t xml:space="preserve">Version 1.0 — March 2026</w:t>
      </w:r>
    </w:p>
    <w:p>
      <w:pPr>
        <w:pBdr>
          <w:top w:val="single" w:color="2E75B6" w:sz="2" w:space="8"/>
        </w:pBdr>
        <w:spacing w:before="600"/>
        <w:jc w:val="center"/>
      </w:pPr>
      <w:r>
        <w:rPr>
          <w:rFonts w:ascii="Arial" w:cs="Arial" w:eastAsia="Arial" w:hAnsi="Arial"/>
          <w:i/>
          <w:iCs/>
          <w:color w:val="555555"/>
          <w:sz w:val="18"/>
          <w:szCs w:val="18"/>
        </w:rPr>
        <w:t xml:space="preserve">This document contains the formal tax policies, deduction rules, thresholds, and procedural guidelines that the tax agent must follow. Not all practical guidance is captured here — supplementary blog references are included where community and practitioner insights provide additional clarity.</w:t>
      </w:r>
    </w:p>
    <w:p>
      <w:r>
        <w:br w:type="page"/>
      </w:r>
    </w:p>
    <w:p>
      <w:pPr>
        <w:pStyle w:val="Heading1"/>
      </w:pPr>
      <w:r>
        <w:rPr>
          <w:rFonts w:ascii="Arial" w:cs="Arial" w:eastAsia="Arial" w:hAnsi="Arial"/>
        </w:rPr>
        <w:t xml:space="preserve">1. Income Classification Rules</w:t>
      </w:r>
    </w:p>
    <w:p>
      <w:pPr>
        <w:spacing w:after="120"/>
      </w:pPr>
      <w:r>
        <w:rPr>
          <w:rFonts w:ascii="Arial" w:cs="Arial" w:eastAsia="Arial" w:hAnsi="Arial"/>
          <w:sz w:val="20"/>
          <w:szCs w:val="20"/>
        </w:rPr>
        <w:t xml:space="preserve">The following rules govern how different income types must be classified and declared on the Steuererklärung.</w:t>
      </w:r>
    </w:p>
    <w:p>
      <w:pPr>
        <w:pStyle w:val="Heading2"/>
      </w:pPr>
      <w:r>
        <w:rPr>
          <w:rFonts w:ascii="Arial" w:cs="Arial" w:eastAsia="Arial" w:hAnsi="Arial"/>
        </w:rPr>
        <w:t xml:space="preserve">1.1 Employment Income (Unselbständige Erwerbstätigkeit)</w:t>
      </w:r>
    </w:p>
    <w:p>
      <w:pPr>
        <w:pStyle w:val="ListParagraph"/>
        <w:numPr>
          <w:ilvl w:val="0"/>
          <w:numId w:val="2"/>
        </w:numPr>
      </w:pPr>
      <w:r>
        <w:rPr>
          <w:rFonts w:ascii="Arial" w:cs="Arial" w:eastAsia="Arial" w:hAnsi="Arial"/>
          <w:sz w:val="20"/>
          <w:szCs w:val="20"/>
        </w:rPr>
        <w:t xml:space="preserve">The Lohnausweis (Formular 11) is the authoritative source for employment income. Always use the Lohnausweis over any employment contract or payslip.</w:t>
      </w:r>
    </w:p>
    <w:p>
      <w:pPr>
        <w:pStyle w:val="ListParagraph"/>
        <w:numPr>
          <w:ilvl w:val="0"/>
          <w:numId w:val="2"/>
        </w:numPr>
      </w:pPr>
      <w:r>
        <w:rPr>
          <w:rFonts w:ascii="Arial" w:cs="Arial" w:eastAsia="Arial" w:hAnsi="Arial"/>
          <w:sz w:val="20"/>
          <w:szCs w:val="20"/>
        </w:rPr>
        <w:t xml:space="preserve">Bruttolohn (field 1) must be declared as gross employment income.</w:t>
      </w:r>
    </w:p>
    <w:p>
      <w:pPr>
        <w:pStyle w:val="ListParagraph"/>
        <w:numPr>
          <w:ilvl w:val="0"/>
          <w:numId w:val="2"/>
        </w:numPr>
      </w:pPr>
      <w:r>
        <w:rPr>
          <w:rFonts w:ascii="Arial" w:cs="Arial" w:eastAsia="Arial" w:hAnsi="Arial"/>
          <w:sz w:val="20"/>
          <w:szCs w:val="20"/>
        </w:rPr>
        <w:t xml:space="preserve">AHV/IV/EO-Beiträge, ALV-Beiträge, NBU-Beiträge (field 9) are social insurance deductions.</w:t>
      </w:r>
    </w:p>
    <w:p>
      <w:pPr>
        <w:pStyle w:val="ListParagraph"/>
        <w:numPr>
          <w:ilvl w:val="0"/>
          <w:numId w:val="2"/>
        </w:numPr>
      </w:pPr>
      <w:r>
        <w:rPr>
          <w:rFonts w:ascii="Arial" w:cs="Arial" w:eastAsia="Arial" w:hAnsi="Arial"/>
          <w:sz w:val="20"/>
          <w:szCs w:val="20"/>
        </w:rPr>
        <w:t xml:space="preserve">BVG-Beiträge (field 10.1) are occupational pension contributions.</w:t>
      </w:r>
    </w:p>
    <w:p>
      <w:pPr>
        <w:pStyle w:val="ListParagraph"/>
        <w:numPr>
          <w:ilvl w:val="0"/>
          <w:numId w:val="2"/>
        </w:numPr>
      </w:pPr>
      <w:r>
        <w:rPr>
          <w:rFonts w:ascii="Arial" w:cs="Arial" w:eastAsia="Arial" w:hAnsi="Arial"/>
          <w:sz w:val="20"/>
          <w:szCs w:val="20"/>
        </w:rPr>
        <w:t xml:space="preserve">Spesenvergütungen (field 13) are employer-reimbursed expenses. They are NOT income and must NOT be added to gross salary or claimed again as deductions.</w:t>
      </w:r>
    </w:p>
    <w:p>
      <w:pPr>
        <w:pStyle w:val="ListParagraph"/>
        <w:numPr>
          <w:ilvl w:val="0"/>
          <w:numId w:val="2"/>
        </w:numPr>
      </w:pPr>
      <w:r>
        <w:rPr>
          <w:rFonts w:ascii="Arial" w:cs="Arial" w:eastAsia="Arial" w:hAnsi="Arial"/>
          <w:sz w:val="20"/>
          <w:szCs w:val="20"/>
        </w:rPr>
        <w:t xml:space="preserve">If two Lohnausweise exist (job change mid-year), add both gross salaries for total employment income. Combine all social insurance contributions. Do not double-count overlapping benefits.</w:t>
      </w:r>
    </w:p>
    <w:p>
      <w:pPr>
        <w:pBdr>
          <w:top w:val="single" w:color="2E75B6" w:sz="2"/>
        </w:pBdr>
        <w:shd w:fill="EBF5FB" w:val="clear"/>
        <w:spacing w:before="200"/>
      </w:pPr>
      <w:r>
        <w:rPr>
          <w:rFonts w:ascii="Arial" w:cs="Arial" w:eastAsia="Arial" w:hAnsi="Arial"/>
          <w:b/>
          <w:bCs/>
          <w:color w:val="1A5276"/>
          <w:sz w:val="20"/>
          <w:szCs w:val="20"/>
        </w:rPr>
        <w:t xml:space="preserve">ℹ️  Key Rule: Spesen Double-Count Prevention</w:t>
      </w:r>
    </w:p>
    <w:p>
      <w:pPr>
        <w:pBdr>
          <w:bottom w:val="single" w:color="2E75B6" w:sz="2"/>
        </w:pBdr>
        <w:shd w:fill="EBF5FB" w:val="clear"/>
        <w:spacing w:after="200"/>
      </w:pPr>
      <w:r>
        <w:rPr>
          <w:rFonts w:ascii="Arial" w:cs="Arial" w:eastAsia="Arial" w:hAnsi="Arial"/>
          <w:color w:val="2C3E50"/>
          <w:sz w:val="19"/>
          <w:szCs w:val="19"/>
        </w:rPr>
        <w:t xml:space="preserve">Field 13 amounts have already been reimbursed. Adding them as income or claiming them as deductions is a common error that will be flagged by the tax office.</w:t>
      </w:r>
    </w:p>
    <w:p>
      <w:pPr>
        <w:pStyle w:val="Heading2"/>
      </w:pPr>
      <w:r>
        <w:rPr>
          <w:rFonts w:ascii="Arial" w:cs="Arial" w:eastAsia="Arial" w:hAnsi="Arial"/>
        </w:rPr>
        <w:t xml:space="preserve">1.2 Self-Employment Income (Selbständige Nebenerwerbstätigkeit)</w:t>
      </w:r>
    </w:p>
    <w:p>
      <w:pPr>
        <w:pStyle w:val="ListParagraph"/>
        <w:numPr>
          <w:ilvl w:val="0"/>
          <w:numId w:val="2"/>
        </w:numPr>
      </w:pPr>
      <w:r>
        <w:rPr>
          <w:rFonts w:ascii="Arial" w:cs="Arial" w:eastAsia="Arial" w:hAnsi="Arial"/>
          <w:sz w:val="20"/>
          <w:szCs w:val="20"/>
        </w:rPr>
        <w:t xml:space="preserve">Freelance / side-business income must be declared as Einkommen aus selbständiger Nebentätigkeit.</w:t>
      </w:r>
    </w:p>
    <w:p>
      <w:pPr>
        <w:pStyle w:val="ListParagraph"/>
        <w:numPr>
          <w:ilvl w:val="0"/>
          <w:numId w:val="2"/>
        </w:numPr>
      </w:pPr>
      <w:r>
        <w:rPr>
          <w:rFonts w:ascii="Arial" w:cs="Arial" w:eastAsia="Arial" w:hAnsi="Arial"/>
          <w:sz w:val="20"/>
          <w:szCs w:val="20"/>
        </w:rPr>
        <w:t xml:space="preserve">Legitimate business expenses (equipment, software, professional subscriptions) may be deducted from gross freelance income.</w:t>
      </w:r>
    </w:p>
    <w:p>
      <w:pPr>
        <w:pStyle w:val="ListParagraph"/>
        <w:numPr>
          <w:ilvl w:val="0"/>
          <w:numId w:val="2"/>
        </w:numPr>
      </w:pPr>
      <w:r>
        <w:rPr>
          <w:rFonts w:ascii="Arial" w:cs="Arial" w:eastAsia="Arial" w:hAnsi="Arial"/>
          <w:sz w:val="20"/>
          <w:szCs w:val="20"/>
        </w:rPr>
        <w:t xml:space="preserve">If total self-employment income exceeds CHF 2,300 per year, the taxpayer must register with SVA Zurich for AHV self-employment contributions.</w:t>
      </w:r>
    </w:p>
    <w:p>
      <w:pPr>
        <w:pStyle w:val="ListParagraph"/>
        <w:numPr>
          <w:ilvl w:val="0"/>
          <w:numId w:val="2"/>
        </w:numPr>
      </w:pPr>
      <w:r>
        <w:rPr>
          <w:rFonts w:ascii="Arial" w:cs="Arial" w:eastAsia="Arial" w:hAnsi="Arial"/>
          <w:sz w:val="20"/>
          <w:szCs w:val="20"/>
        </w:rPr>
        <w:t xml:space="preserve">Handwritten or informal expense lists may not be accepted by the tax office. Original receipts should be retained.</w:t>
      </w:r>
    </w:p>
    <w:p>
      <w:pPr>
        <w:pBdr>
          <w:left w:val="single" w:color="F39C12" w:sz="8"/>
        </w:pBdr>
        <w:shd w:fill="FFF9E6" w:val="clear"/>
        <w:spacing w:before="160"/>
        <w:ind w:left="200"/>
      </w:pPr>
      <w:r>
        <w:rPr>
          <w:rFonts w:ascii="Arial" w:cs="Arial" w:eastAsia="Arial" w:hAnsi="Arial"/>
          <w:b/>
          <w:bCs/>
          <w:color w:val="7D6608"/>
          <w:sz w:val="19"/>
          <w:szCs w:val="19"/>
        </w:rPr>
        <w:t xml:space="preserve">🔗  Blog Reference: </w:t>
      </w:r>
      <w:r>
        <w:rPr>
          <w:rFonts w:ascii="Arial" w:cs="Arial" w:eastAsia="Arial" w:hAnsi="Arial"/>
          <w:b/>
          <w:bCs/>
          <w:color w:val="2471A3"/>
          <w:sz w:val="19"/>
          <w:szCs w:val="19"/>
          <w:u w:val="single"/>
        </w:rPr>
        <w:t xml:space="preserve">Freelancing in Switzerland: What the Tax Office Actually Checks</w:t>
      </w:r>
    </w:p>
    <w:p>
      <w:pPr>
        <w:pBdr>
          <w:left w:val="single" w:color="F39C12" w:sz="8"/>
        </w:pBdr>
        <w:shd w:fill="FFF9E6" w:val="clear"/>
        <w:ind w:left="200"/>
      </w:pPr>
      <w:r>
        <w:rPr>
          <w:rFonts w:ascii="Arial" w:cs="Arial" w:eastAsia="Arial" w:hAnsi="Arial"/>
          <w:i/>
          <w:iCs/>
          <w:color w:val="7D6608"/>
          <w:sz w:val="17"/>
          <w:szCs w:val="17"/>
        </w:rPr>
        <w:t xml:space="preserve">https://blog.taxinfo-zh.ch/freelance-nebenberuf-steuern</w:t>
      </w:r>
    </w:p>
    <w:p>
      <w:pPr>
        <w:pBdr>
          <w:left w:val="single" w:color="F39C12" w:sz="8"/>
        </w:pBdr>
        <w:shd w:fill="FFF9E6" w:val="clear"/>
        <w:spacing w:after="200"/>
        <w:ind w:left="200"/>
      </w:pPr>
      <w:r>
        <w:rPr>
          <w:rFonts w:ascii="Arial" w:cs="Arial" w:eastAsia="Arial" w:hAnsi="Arial"/>
          <w:color w:val="5D6D7E"/>
          <w:sz w:val="18"/>
          <w:szCs w:val="18"/>
        </w:rPr>
        <w:t xml:space="preserve">Practical tips on structuring freelance expense claims. Covers the CHF 2,300 AHV threshold, recommended documentation standards, and common pitfalls when mixing employment with self-employment income.</w:t>
      </w:r>
    </w:p>
    <w:p>
      <w:pPr>
        <w:pStyle w:val="Heading2"/>
      </w:pPr>
      <w:r>
        <w:rPr>
          <w:rFonts w:ascii="Arial" w:cs="Arial" w:eastAsia="Arial" w:hAnsi="Arial"/>
        </w:rPr>
        <w:t xml:space="preserve">1.3 Pension &amp; Retirement Income</w:t>
      </w:r>
    </w:p>
    <w:p>
      <w:pPr>
        <w:pStyle w:val="ListParagraph"/>
        <w:numPr>
          <w:ilvl w:val="0"/>
          <w:numId w:val="2"/>
        </w:numPr>
      </w:pPr>
      <w:r>
        <w:rPr>
          <w:rFonts w:ascii="Arial" w:cs="Arial" w:eastAsia="Arial" w:hAnsi="Arial"/>
          <w:sz w:val="20"/>
          <w:szCs w:val="20"/>
        </w:rPr>
        <w:t xml:space="preserve">AHV-Renten (state pension): declare as income under Renten/Pensionen.</w:t>
      </w:r>
    </w:p>
    <w:p>
      <w:pPr>
        <w:pStyle w:val="ListParagraph"/>
        <w:numPr>
          <w:ilvl w:val="0"/>
          <w:numId w:val="2"/>
        </w:numPr>
      </w:pPr>
      <w:r>
        <w:rPr>
          <w:rFonts w:ascii="Arial" w:cs="Arial" w:eastAsia="Arial" w:hAnsi="Arial"/>
          <w:sz w:val="20"/>
          <w:szCs w:val="20"/>
        </w:rPr>
        <w:t xml:space="preserve">BVG-Pensionen (occupational pension): declare as income under Renten/Pensionen.</w:t>
      </w:r>
    </w:p>
    <w:p>
      <w:pPr>
        <w:pStyle w:val="ListParagraph"/>
        <w:numPr>
          <w:ilvl w:val="0"/>
          <w:numId w:val="2"/>
        </w:numPr>
      </w:pPr>
      <w:r>
        <w:rPr>
          <w:rFonts w:ascii="Arial" w:cs="Arial" w:eastAsia="Arial" w:hAnsi="Arial"/>
          <w:sz w:val="20"/>
          <w:szCs w:val="20"/>
        </w:rPr>
        <w:t xml:space="preserve">Capital withdrawals from Pensionskasse: taxed SEPARATELY at a reduced rate. Must be filed on a special Kapitalbezüge form, NOT as ordinary income.</w:t>
      </w:r>
    </w:p>
    <w:p>
      <w:pPr>
        <w:pStyle w:val="ListParagraph"/>
        <w:numPr>
          <w:ilvl w:val="0"/>
          <w:numId w:val="2"/>
        </w:numPr>
      </w:pPr>
      <w:r>
        <w:rPr>
          <w:rFonts w:ascii="Arial" w:cs="Arial" w:eastAsia="Arial" w:hAnsi="Arial"/>
          <w:sz w:val="20"/>
          <w:szCs w:val="20"/>
        </w:rPr>
        <w:t xml:space="preserve">Freizügigkeitskonten (vested benefits accounts): the balance must be declared as wealth. Interest earned is income. The capital itself is NOT income.</w:t>
      </w:r>
    </w:p>
    <w:p>
      <w:pPr>
        <w:pBdr>
          <w:left w:val="single" w:color="F39C12" w:sz="8"/>
        </w:pBdr>
        <w:shd w:fill="FFF9E6" w:val="clear"/>
        <w:spacing w:before="160"/>
        <w:ind w:left="200"/>
      </w:pPr>
      <w:r>
        <w:rPr>
          <w:rFonts w:ascii="Arial" w:cs="Arial" w:eastAsia="Arial" w:hAnsi="Arial"/>
          <w:b/>
          <w:bCs/>
          <w:color w:val="7D6608"/>
          <w:sz w:val="19"/>
          <w:szCs w:val="19"/>
        </w:rPr>
        <w:t xml:space="preserve">🔗  Blog Reference: </w:t>
      </w:r>
      <w:r>
        <w:rPr>
          <w:rFonts w:ascii="Arial" w:cs="Arial" w:eastAsia="Arial" w:hAnsi="Arial"/>
          <w:b/>
          <w:bCs/>
          <w:color w:val="2471A3"/>
          <w:sz w:val="19"/>
          <w:szCs w:val="19"/>
          <w:u w:val="single"/>
        </w:rPr>
        <w:t xml:space="preserve">Retirement and Taxes in Zurich: Capital vs. Pension — What Goes Where?</w:t>
      </w:r>
    </w:p>
    <w:p>
      <w:pPr>
        <w:pBdr>
          <w:left w:val="single" w:color="F39C12" w:sz="8"/>
        </w:pBdr>
        <w:shd w:fill="FFF9E6" w:val="clear"/>
        <w:ind w:left="200"/>
      </w:pPr>
      <w:r>
        <w:rPr>
          <w:rFonts w:ascii="Arial" w:cs="Arial" w:eastAsia="Arial" w:hAnsi="Arial"/>
          <w:i/>
          <w:iCs/>
          <w:color w:val="7D6608"/>
          <w:sz w:val="17"/>
          <w:szCs w:val="17"/>
        </w:rPr>
        <w:t xml:space="preserve">https://blog.taxinfo-zh.ch/pensionierung-kapital-rente</w:t>
      </w:r>
    </w:p>
    <w:p>
      <w:pPr>
        <w:pBdr>
          <w:left w:val="single" w:color="F39C12" w:sz="8"/>
        </w:pBdr>
        <w:shd w:fill="FFF9E6" w:val="clear"/>
        <w:spacing w:after="200"/>
        <w:ind w:left="200"/>
      </w:pPr>
      <w:r>
        <w:rPr>
          <w:rFonts w:ascii="Arial" w:cs="Arial" w:eastAsia="Arial" w:hAnsi="Arial"/>
          <w:color w:val="5D6D7E"/>
          <w:sz w:val="18"/>
          <w:szCs w:val="18"/>
        </w:rPr>
        <w:t xml:space="preserve">Explains the separation between pension income and capital withdrawal taxation with worked examples. Covers the common mistake of declaring Kapitalbezüge as ordinary income and the correct form to use in ZHprivateTax.</w:t>
      </w:r>
    </w:p>
    <w:p>
      <w:pPr>
        <w:pStyle w:val="Heading2"/>
      </w:pPr>
      <w:r>
        <w:rPr>
          <w:rFonts w:ascii="Arial" w:cs="Arial" w:eastAsia="Arial" w:hAnsi="Arial"/>
        </w:rPr>
        <w:t xml:space="preserve">1.4 Investment Income (Vermögensertrag)</w:t>
      </w:r>
    </w:p>
    <w:p>
      <w:pPr>
        <w:pStyle w:val="ListParagraph"/>
        <w:numPr>
          <w:ilvl w:val="0"/>
          <w:numId w:val="2"/>
        </w:numPr>
      </w:pPr>
      <w:r>
        <w:rPr>
          <w:rFonts w:ascii="Arial" w:cs="Arial" w:eastAsia="Arial" w:hAnsi="Arial"/>
          <w:sz w:val="20"/>
          <w:szCs w:val="20"/>
        </w:rPr>
        <w:t xml:space="preserve">Bank interest (Habenzins / Zinsabschluss): declare as Vermögensertrag.</w:t>
      </w:r>
    </w:p>
    <w:p>
      <w:pPr>
        <w:pStyle w:val="ListParagraph"/>
        <w:numPr>
          <w:ilvl w:val="0"/>
          <w:numId w:val="2"/>
        </w:numPr>
      </w:pPr>
      <w:r>
        <w:rPr>
          <w:rFonts w:ascii="Arial" w:cs="Arial" w:eastAsia="Arial" w:hAnsi="Arial"/>
          <w:sz w:val="20"/>
          <w:szCs w:val="20"/>
        </w:rPr>
        <w:t xml:space="preserve">Dividends from Swiss securities: declare gross amount. Verrechnungssteuer (35% withholding tax) can be reclaimed by ticking the refund box.</w:t>
      </w:r>
    </w:p>
    <w:p>
      <w:pPr>
        <w:pStyle w:val="ListParagraph"/>
        <w:numPr>
          <w:ilvl w:val="0"/>
          <w:numId w:val="2"/>
        </w:numPr>
      </w:pPr>
      <w:r>
        <w:rPr>
          <w:rFonts w:ascii="Arial" w:cs="Arial" w:eastAsia="Arial" w:hAnsi="Arial"/>
          <w:sz w:val="20"/>
          <w:szCs w:val="20"/>
        </w:rPr>
        <w:t xml:space="preserve">Dividends from foreign securities: convert to CHF using the official year-end exchange rate published by the ESTV. Declare gross amount in CHF.</w:t>
      </w:r>
    </w:p>
    <w:p>
      <w:pPr>
        <w:pStyle w:val="ListParagraph"/>
        <w:numPr>
          <w:ilvl w:val="0"/>
          <w:numId w:val="2"/>
        </w:numPr>
      </w:pPr>
      <w:r>
        <w:rPr>
          <w:rFonts w:ascii="Arial" w:cs="Arial" w:eastAsia="Arial" w:hAnsi="Arial"/>
          <w:sz w:val="20"/>
          <w:szCs w:val="20"/>
        </w:rPr>
        <w:t xml:space="preserve">Realized capital gains from private securities trading are TAX-FREE in Switzerland. Do NOT declare them as income.</w:t>
      </w:r>
    </w:p>
    <w:p>
      <w:pPr>
        <w:pStyle w:val="ListParagraph"/>
        <w:numPr>
          <w:ilvl w:val="0"/>
          <w:numId w:val="2"/>
        </w:numPr>
      </w:pPr>
      <w:r>
        <w:rPr>
          <w:rFonts w:ascii="Arial" w:cs="Arial" w:eastAsia="Arial" w:hAnsi="Arial"/>
          <w:sz w:val="20"/>
          <w:szCs w:val="20"/>
        </w:rPr>
        <w:t xml:space="preserve">Exception: if trading activity qualifies as professional (high frequency, leveraged, short holding periods), gains become taxable. Consult a tax advisor.</w:t>
      </w:r>
    </w:p>
    <w:p>
      <w:pPr>
        <w:pBdr>
          <w:top w:val="single" w:color="2E75B6" w:sz="2"/>
        </w:pBdr>
        <w:shd w:fill="EBF5FB" w:val="clear"/>
        <w:spacing w:before="200"/>
      </w:pPr>
      <w:r>
        <w:rPr>
          <w:rFonts w:ascii="Arial" w:cs="Arial" w:eastAsia="Arial" w:hAnsi="Arial"/>
          <w:b/>
          <w:bCs/>
          <w:color w:val="1A5276"/>
          <w:sz w:val="20"/>
          <w:szCs w:val="20"/>
        </w:rPr>
        <w:t xml:space="preserve">ℹ️  Verrechnungssteuer Refund</w:t>
      </w:r>
    </w:p>
    <w:p>
      <w:pPr>
        <w:pBdr>
          <w:bottom w:val="single" w:color="2E75B6" w:sz="2"/>
        </w:pBdr>
        <w:shd w:fill="EBF5FB" w:val="clear"/>
        <w:spacing w:after="200"/>
      </w:pPr>
      <w:r>
        <w:rPr>
          <w:rFonts w:ascii="Arial" w:cs="Arial" w:eastAsia="Arial" w:hAnsi="Arial"/>
          <w:color w:val="2C3E50"/>
          <w:sz w:val="19"/>
          <w:szCs w:val="19"/>
        </w:rPr>
        <w:t xml:space="preserve">The Verrechnungssteuer refund is often missed. For Swiss dividends, always check that the 35% withholding tax is claimed back. This is essentially free money that requires only ticking a checkbox.</w:t>
      </w:r>
    </w:p>
    <w:p>
      <w:pPr>
        <w:pBdr>
          <w:left w:val="single" w:color="F39C12" w:sz="8"/>
        </w:pBdr>
        <w:shd w:fill="FFF9E6" w:val="clear"/>
        <w:spacing w:before="160"/>
        <w:ind w:left="200"/>
      </w:pPr>
      <w:r>
        <w:rPr>
          <w:rFonts w:ascii="Arial" w:cs="Arial" w:eastAsia="Arial" w:hAnsi="Arial"/>
          <w:b/>
          <w:bCs/>
          <w:color w:val="7D6608"/>
          <w:sz w:val="19"/>
          <w:szCs w:val="19"/>
        </w:rPr>
        <w:t xml:space="preserve">🔗  Blog Reference: </w:t>
      </w:r>
      <w:r>
        <w:rPr>
          <w:rFonts w:ascii="Arial" w:cs="Arial" w:eastAsia="Arial" w:hAnsi="Arial"/>
          <w:b/>
          <w:bCs/>
          <w:color w:val="2471A3"/>
          <w:sz w:val="19"/>
          <w:szCs w:val="19"/>
          <w:u w:val="single"/>
        </w:rPr>
        <w:t xml:space="preserve">Don’t Leave Money on the Table: Verrechnungssteuer for Beginners</w:t>
      </w:r>
    </w:p>
    <w:p>
      <w:pPr>
        <w:pBdr>
          <w:left w:val="single" w:color="F39C12" w:sz="8"/>
        </w:pBdr>
        <w:shd w:fill="FFF9E6" w:val="clear"/>
        <w:ind w:left="200"/>
      </w:pPr>
      <w:r>
        <w:rPr>
          <w:rFonts w:ascii="Arial" w:cs="Arial" w:eastAsia="Arial" w:hAnsi="Arial"/>
          <w:i/>
          <w:iCs/>
          <w:color w:val="7D6608"/>
          <w:sz w:val="17"/>
          <w:szCs w:val="17"/>
        </w:rPr>
        <w:t xml:space="preserve">https://blog.taxinfo-zh.ch/verrechnungssteuer-rueckerstattung</w:t>
      </w:r>
    </w:p>
    <w:p>
      <w:pPr>
        <w:pBdr>
          <w:left w:val="single" w:color="F39C12" w:sz="8"/>
        </w:pBdr>
        <w:shd w:fill="FFF9E6" w:val="clear"/>
        <w:spacing w:after="200"/>
        <w:ind w:left="200"/>
      </w:pPr>
      <w:r>
        <w:rPr>
          <w:rFonts w:ascii="Arial" w:cs="Arial" w:eastAsia="Arial" w:hAnsi="Arial"/>
          <w:color w:val="5D6D7E"/>
          <w:sz w:val="18"/>
          <w:szCs w:val="18"/>
        </w:rPr>
        <w:t xml:space="preserve">Step-by-step guide to claiming Verrechnungssteuer refunds. Includes how to locate the withholding amount on bank statements and the specific field in ZHprivateTax.</w:t>
      </w:r>
    </w:p>
    <w:p>
      <w:pPr>
        <w:pStyle w:val="Heading2"/>
      </w:pPr>
      <w:r>
        <w:rPr>
          <w:rFonts w:ascii="Arial" w:cs="Arial" w:eastAsia="Arial" w:hAnsi="Arial"/>
        </w:rPr>
        <w:t xml:space="preserve">1.5 Foreign Income and Withholding Tax</w:t>
      </w:r>
    </w:p>
    <w:p>
      <w:pPr>
        <w:pStyle w:val="ListParagraph"/>
        <w:numPr>
          <w:ilvl w:val="0"/>
          <w:numId w:val="2"/>
        </w:numPr>
      </w:pPr>
      <w:r>
        <w:rPr>
          <w:rFonts w:ascii="Arial" w:cs="Arial" w:eastAsia="Arial" w:hAnsi="Arial"/>
          <w:sz w:val="20"/>
          <w:szCs w:val="20"/>
        </w:rPr>
        <w:t xml:space="preserve">Foreign dividends in USD/EUR/other must be converted to CHF at the ESTV official year-end exchange rate.</w:t>
      </w:r>
    </w:p>
    <w:p>
      <w:pPr>
        <w:pStyle w:val="ListParagraph"/>
        <w:numPr>
          <w:ilvl w:val="0"/>
          <w:numId w:val="2"/>
        </w:numPr>
      </w:pPr>
      <w:r>
        <w:rPr>
          <w:rFonts w:ascii="Arial" w:cs="Arial" w:eastAsia="Arial" w:hAnsi="Arial"/>
          <w:sz w:val="20"/>
          <w:szCs w:val="20"/>
        </w:rPr>
        <w:t xml:space="preserve">US withholding tax (typically 15% under DTA) may be reclaimable via the DA-1 form (pauschale Steueranrechnung).</w:t>
      </w:r>
    </w:p>
    <w:p>
      <w:pPr>
        <w:pStyle w:val="ListParagraph"/>
        <w:numPr>
          <w:ilvl w:val="0"/>
          <w:numId w:val="2"/>
        </w:numPr>
      </w:pPr>
      <w:r>
        <w:rPr>
          <w:rFonts w:ascii="Arial" w:cs="Arial" w:eastAsia="Arial" w:hAnsi="Arial"/>
          <w:sz w:val="20"/>
          <w:szCs w:val="20"/>
        </w:rPr>
        <w:t xml:space="preserve">Foreign capital gains from private investing remain TAX-FREE under Swiss rules, regardless of the country of origin.</w:t>
      </w:r>
    </w:p>
    <w:p>
      <w:pPr>
        <w:pStyle w:val="Heading2"/>
      </w:pPr>
      <w:r>
        <w:rPr>
          <w:rFonts w:ascii="Arial" w:cs="Arial" w:eastAsia="Arial" w:hAnsi="Arial"/>
        </w:rPr>
        <w:t xml:space="preserve">1.6 Alimony and Support Payments</w:t>
      </w:r>
    </w:p>
    <w:p>
      <w:pPr>
        <w:pStyle w:val="ListParagraph"/>
        <w:numPr>
          <w:ilvl w:val="0"/>
          <w:numId w:val="2"/>
        </w:numPr>
      </w:pPr>
      <w:r>
        <w:rPr>
          <w:rFonts w:ascii="Arial" w:cs="Arial" w:eastAsia="Arial" w:hAnsi="Arial"/>
          <w:sz w:val="20"/>
          <w:szCs w:val="20"/>
        </w:rPr>
        <w:t xml:space="preserve">Ehegattenunterhalt (spousal support) received IS taxable income for the recipient. It IS deductible for the payer.</w:t>
      </w:r>
    </w:p>
    <w:p>
      <w:pPr>
        <w:pStyle w:val="ListParagraph"/>
        <w:numPr>
          <w:ilvl w:val="0"/>
          <w:numId w:val="2"/>
        </w:numPr>
      </w:pPr>
      <w:r>
        <w:rPr>
          <w:rFonts w:ascii="Arial" w:cs="Arial" w:eastAsia="Arial" w:hAnsi="Arial"/>
          <w:sz w:val="20"/>
          <w:szCs w:val="20"/>
        </w:rPr>
        <w:t xml:space="preserve">Kinderunterhalt (child support) received is NOT income for the recipient. It is NOT deductible for the payer.</w:t>
      </w:r>
    </w:p>
    <w:p>
      <w:pPr>
        <w:pStyle w:val="ListParagraph"/>
        <w:numPr>
          <w:ilvl w:val="0"/>
          <w:numId w:val="2"/>
        </w:numPr>
      </w:pPr>
      <w:r>
        <w:rPr>
          <w:rFonts w:ascii="Arial" w:cs="Arial" w:eastAsia="Arial" w:hAnsi="Arial"/>
          <w:sz w:val="20"/>
          <w:szCs w:val="20"/>
        </w:rPr>
        <w:t xml:space="preserve">This distinction is critical and commonly confused. The agent must correctly classify each type.</w:t>
      </w:r>
    </w:p>
    <w:p>
      <w:pPr>
        <w:pBdr>
          <w:left w:val="single" w:color="F39C12" w:sz="8"/>
        </w:pBdr>
        <w:shd w:fill="FFF9E6" w:val="clear"/>
        <w:spacing w:before="160"/>
        <w:ind w:left="200"/>
      </w:pPr>
      <w:r>
        <w:rPr>
          <w:rFonts w:ascii="Arial" w:cs="Arial" w:eastAsia="Arial" w:hAnsi="Arial"/>
          <w:b/>
          <w:bCs/>
          <w:color w:val="7D6608"/>
          <w:sz w:val="19"/>
          <w:szCs w:val="19"/>
        </w:rPr>
        <w:t xml:space="preserve">🔗  Blog Reference: </w:t>
      </w:r>
      <w:r>
        <w:rPr>
          <w:rFonts w:ascii="Arial" w:cs="Arial" w:eastAsia="Arial" w:hAnsi="Arial"/>
          <w:b/>
          <w:bCs/>
          <w:color w:val="2471A3"/>
          <w:sz w:val="19"/>
          <w:szCs w:val="19"/>
          <w:u w:val="single"/>
        </w:rPr>
        <w:t xml:space="preserve">Divorce and Taxes: The Alimony Trap Most People Fall Into</w:t>
      </w:r>
    </w:p>
    <w:p>
      <w:pPr>
        <w:pBdr>
          <w:left w:val="single" w:color="F39C12" w:sz="8"/>
        </w:pBdr>
        <w:shd w:fill="FFF9E6" w:val="clear"/>
        <w:ind w:left="200"/>
      </w:pPr>
      <w:r>
        <w:rPr>
          <w:rFonts w:ascii="Arial" w:cs="Arial" w:eastAsia="Arial" w:hAnsi="Arial"/>
          <w:i/>
          <w:iCs/>
          <w:color w:val="7D6608"/>
          <w:sz w:val="17"/>
          <w:szCs w:val="17"/>
        </w:rPr>
        <w:t xml:space="preserve">https://blog.taxinfo-zh.ch/scheidung-unterhalt-steuern</w:t>
      </w:r>
    </w:p>
    <w:p>
      <w:pPr>
        <w:pBdr>
          <w:left w:val="single" w:color="F39C12" w:sz="8"/>
        </w:pBdr>
        <w:shd w:fill="FFF9E6" w:val="clear"/>
        <w:spacing w:after="200"/>
        <w:ind w:left="200"/>
      </w:pPr>
      <w:r>
        <w:rPr>
          <w:rFonts w:ascii="Arial" w:cs="Arial" w:eastAsia="Arial" w:hAnsi="Arial"/>
          <w:color w:val="5D6D7E"/>
          <w:sz w:val="18"/>
          <w:szCs w:val="18"/>
        </w:rPr>
        <w:t xml:space="preserve">Explains why mixing up spousal support (taxable) and child support (not taxable) is the #1 mistake in post-divorce filings. Includes a decision tree for determining which payments go where.</w:t>
      </w:r>
    </w:p>
    <w:p>
      <w:pPr>
        <w:pStyle w:val="Heading2"/>
      </w:pPr>
      <w:r>
        <w:rPr>
          <w:rFonts w:ascii="Arial" w:cs="Arial" w:eastAsia="Arial" w:hAnsi="Arial"/>
        </w:rPr>
        <w:t xml:space="preserve">1.7 Miscellaneous Income</w:t>
      </w:r>
    </w:p>
    <w:p>
      <w:pPr>
        <w:pStyle w:val="ListParagraph"/>
        <w:numPr>
          <w:ilvl w:val="0"/>
          <w:numId w:val="2"/>
        </w:numPr>
      </w:pPr>
      <w:r>
        <w:rPr>
          <w:rFonts w:ascii="Arial" w:cs="Arial" w:eastAsia="Arial" w:hAnsi="Arial"/>
          <w:sz w:val="20"/>
          <w:szCs w:val="20"/>
        </w:rPr>
        <w:t xml:space="preserve">Salary deposits visible in bank statements should NOT be double-counted if already on the Lohnausweis.</w:t>
      </w:r>
    </w:p>
    <w:p>
      <w:pPr>
        <w:pStyle w:val="ListParagraph"/>
        <w:numPr>
          <w:ilvl w:val="0"/>
          <w:numId w:val="2"/>
        </w:numPr>
      </w:pPr>
      <w:r>
        <w:rPr>
          <w:rFonts w:ascii="Arial" w:cs="Arial" w:eastAsia="Arial" w:hAnsi="Arial"/>
          <w:sz w:val="20"/>
          <w:szCs w:val="20"/>
        </w:rPr>
        <w:t xml:space="preserve">Personal incoming transfers (from individuals) should be queried: they could be loan repayments (non-taxable), gifts (non-taxable up to limits), or undeclared freelance income (taxable). Do NOT assume either way.</w:t>
      </w:r>
    </w:p>
    <w:p>
      <w:r>
        <w:br w:type="page"/>
      </w:r>
    </w:p>
    <w:p>
      <w:pPr>
        <w:pStyle w:val="Heading1"/>
      </w:pPr>
      <w:r>
        <w:rPr>
          <w:rFonts w:ascii="Arial" w:cs="Arial" w:eastAsia="Arial" w:hAnsi="Arial"/>
        </w:rPr>
        <w:t xml:space="preserve">2. Deductions and Allowances</w:t>
      </w:r>
    </w:p>
    <w:p>
      <w:pPr>
        <w:pStyle w:val="Heading2"/>
      </w:pPr>
      <w:r>
        <w:rPr>
          <w:rFonts w:ascii="Arial" w:cs="Arial" w:eastAsia="Arial" w:hAnsi="Arial"/>
        </w:rPr>
        <w:t xml:space="preserve">2.1 Commuting Costs (Fahrkosten)</w:t>
      </w:r>
    </w:p>
    <w:p>
      <w:pPr>
        <w:pStyle w:val="ListParagraph"/>
        <w:numPr>
          <w:ilvl w:val="0"/>
          <w:numId w:val="2"/>
        </w:numPr>
      </w:pPr>
      <w:r>
        <w:rPr>
          <w:rFonts w:ascii="Arial" w:cs="Arial" w:eastAsia="Arial" w:hAnsi="Arial"/>
          <w:sz w:val="20"/>
          <w:szCs w:val="20"/>
        </w:rPr>
        <w:t xml:space="preserve">Claim the cost of an annual public transport pass for the commute between home and workplace.</w:t>
      </w:r>
    </w:p>
    <w:p>
      <w:pPr>
        <w:pStyle w:val="ListParagraph"/>
        <w:numPr>
          <w:ilvl w:val="0"/>
          <w:numId w:val="2"/>
        </w:numPr>
      </w:pPr>
      <w:r>
        <w:rPr>
          <w:rFonts w:ascii="Arial" w:cs="Arial" w:eastAsia="Arial" w:hAnsi="Arial"/>
          <w:sz w:val="20"/>
          <w:szCs w:val="20"/>
        </w:rPr>
        <w:t xml:space="preserve">Canton of Zurich imposes a maximum cap on commuting deductions. Verify the current year’s cap.</w:t>
      </w:r>
    </w:p>
    <w:p>
      <w:pPr>
        <w:pStyle w:val="ListParagraph"/>
        <w:numPr>
          <w:ilvl w:val="0"/>
          <w:numId w:val="2"/>
        </w:numPr>
      </w:pPr>
      <w:r>
        <w:rPr>
          <w:rFonts w:ascii="Arial" w:cs="Arial" w:eastAsia="Arial" w:hAnsi="Arial"/>
          <w:sz w:val="20"/>
          <w:szCs w:val="20"/>
        </w:rPr>
        <w:t xml:space="preserve">Velo-Pauschale (CHF 700): Can be claimed as a base deduction for qualifying commute distances. Important: this is claimable regardless of whether the taxpayer actually owns or rides a bicycle.</w:t>
      </w:r>
    </w:p>
    <w:p>
      <w:pPr>
        <w:pStyle w:val="ListParagraph"/>
        <w:numPr>
          <w:ilvl w:val="0"/>
          <w:numId w:val="2"/>
        </w:numPr>
      </w:pPr>
      <w:r>
        <w:rPr>
          <w:rFonts w:ascii="Arial" w:cs="Arial" w:eastAsia="Arial" w:hAnsi="Arial"/>
          <w:sz w:val="20"/>
          <w:szCs w:val="20"/>
        </w:rPr>
        <w:t xml:space="preserve">Home office days reduce the commuting deduction proportionally. The agent must ask about home office frequency.</w:t>
      </w:r>
    </w:p>
    <w:p>
      <w:pPr>
        <w:pBdr>
          <w:left w:val="single" w:color="F39C12" w:sz="8"/>
        </w:pBdr>
        <w:shd w:fill="FFF9E6" w:val="clear"/>
        <w:spacing w:before="160"/>
        <w:ind w:left="200"/>
      </w:pPr>
      <w:r>
        <w:rPr>
          <w:rFonts w:ascii="Arial" w:cs="Arial" w:eastAsia="Arial" w:hAnsi="Arial"/>
          <w:b/>
          <w:bCs/>
          <w:color w:val="7D6608"/>
          <w:sz w:val="19"/>
          <w:szCs w:val="19"/>
        </w:rPr>
        <w:t xml:space="preserve">🔗  Blog Reference: </w:t>
      </w:r>
      <w:r>
        <w:rPr>
          <w:rFonts w:ascii="Arial" w:cs="Arial" w:eastAsia="Arial" w:hAnsi="Arial"/>
          <w:b/>
          <w:bCs/>
          <w:color w:val="2471A3"/>
          <w:sz w:val="19"/>
          <w:szCs w:val="19"/>
          <w:u w:val="single"/>
        </w:rPr>
        <w:t xml:space="preserve">The Bicycle Deduction Nobody Knows About</w:t>
      </w:r>
    </w:p>
    <w:p>
      <w:pPr>
        <w:pBdr>
          <w:left w:val="single" w:color="F39C12" w:sz="8"/>
        </w:pBdr>
        <w:shd w:fill="FFF9E6" w:val="clear"/>
        <w:ind w:left="200"/>
      </w:pPr>
      <w:r>
        <w:rPr>
          <w:rFonts w:ascii="Arial" w:cs="Arial" w:eastAsia="Arial" w:hAnsi="Arial"/>
          <w:i/>
          <w:iCs/>
          <w:color w:val="7D6608"/>
          <w:sz w:val="17"/>
          <w:szCs w:val="17"/>
        </w:rPr>
        <w:t xml:space="preserve">https://blog.taxinfo-zh.ch/velo-pauschale-fahrkosten</w:t>
      </w:r>
    </w:p>
    <w:p>
      <w:pPr>
        <w:pBdr>
          <w:left w:val="single" w:color="F39C12" w:sz="8"/>
        </w:pBdr>
        <w:shd w:fill="FFF9E6" w:val="clear"/>
        <w:spacing w:after="200"/>
        <w:ind w:left="200"/>
      </w:pPr>
      <w:r>
        <w:rPr>
          <w:rFonts w:ascii="Arial" w:cs="Arial" w:eastAsia="Arial" w:hAnsi="Arial"/>
          <w:color w:val="5D6D7E"/>
          <w:sz w:val="18"/>
          <w:szCs w:val="18"/>
        </w:rPr>
        <w:t xml:space="preserve">Many taxpayers skip the CHF 700 Velo-Pauschale because they don’t cycle. The Zurich Steuerbuch actually allows it as a base deduction for qualifying commute distances regardless of bicycle ownership. This blog explains the distance thresholds and how to combine it with a public transport deduction.</w:t>
      </w:r>
    </w:p>
    <w:p>
      <w:pPr>
        <w:pStyle w:val="Heading2"/>
      </w:pPr>
      <w:r>
        <w:rPr>
          <w:rFonts w:ascii="Arial" w:cs="Arial" w:eastAsia="Arial" w:hAnsi="Arial"/>
        </w:rPr>
        <w:t xml:space="preserve">2.2 Meal Deduction (Verpflegungspauschale)</w:t>
      </w:r>
    </w:p>
    <w:p>
      <w:pPr>
        <w:pStyle w:val="ListParagraph"/>
        <w:numPr>
          <w:ilvl w:val="0"/>
          <w:numId w:val="2"/>
        </w:numPr>
      </w:pPr>
      <w:r>
        <w:rPr>
          <w:rFonts w:ascii="Arial" w:cs="Arial" w:eastAsia="Arial" w:hAnsi="Arial"/>
          <w:sz w:val="20"/>
          <w:szCs w:val="20"/>
        </w:rPr>
        <w:t xml:space="preserve">If Lohnausweis field 14.1 (Kantinenverpflegung) = “Nein”: claim CHF 3,200 (full-time).</w:t>
      </w:r>
    </w:p>
    <w:p>
      <w:pPr>
        <w:pStyle w:val="ListParagraph"/>
        <w:numPr>
          <w:ilvl w:val="0"/>
          <w:numId w:val="2"/>
        </w:numPr>
      </w:pPr>
      <w:r>
        <w:rPr>
          <w:rFonts w:ascii="Arial" w:cs="Arial" w:eastAsia="Arial" w:hAnsi="Arial"/>
          <w:sz w:val="20"/>
          <w:szCs w:val="20"/>
        </w:rPr>
        <w:t xml:space="preserve">If field 14.1 = “Ja” (subsidized meals available): claim CHF 1,600.</w:t>
      </w:r>
    </w:p>
    <w:p>
      <w:pPr>
        <w:pStyle w:val="ListParagraph"/>
        <w:numPr>
          <w:ilvl w:val="0"/>
          <w:numId w:val="2"/>
        </w:numPr>
      </w:pPr>
      <w:r>
        <w:rPr>
          <w:rFonts w:ascii="Arial" w:cs="Arial" w:eastAsia="Arial" w:hAnsi="Arial"/>
          <w:sz w:val="20"/>
          <w:szCs w:val="20"/>
        </w:rPr>
        <w:t xml:space="preserve">Part-time employees: prorate based on Pensum percentage (e.g., 60% = CHF 1,920 if no canteen).</w:t>
      </w:r>
    </w:p>
    <w:p>
      <w:pPr>
        <w:pStyle w:val="Heading2"/>
      </w:pPr>
      <w:r>
        <w:rPr>
          <w:rFonts w:ascii="Arial" w:cs="Arial" w:eastAsia="Arial" w:hAnsi="Arial"/>
        </w:rPr>
        <w:t xml:space="preserve">2.3 Professional Expenses (Berufsauslagen)</w:t>
      </w:r>
    </w:p>
    <w:p>
      <w:pPr>
        <w:pStyle w:val="ListParagraph"/>
        <w:numPr>
          <w:ilvl w:val="0"/>
          <w:numId w:val="2"/>
        </w:numPr>
      </w:pPr>
      <w:r>
        <w:rPr>
          <w:rFonts w:ascii="Arial" w:cs="Arial" w:eastAsia="Arial" w:hAnsi="Arial"/>
          <w:sz w:val="20"/>
          <w:szCs w:val="20"/>
        </w:rPr>
        <w:t xml:space="preserve">Pauschalabzug: 3% of net employment salary, minimum CHF 2,000, maximum CHF 4,000.</w:t>
      </w:r>
    </w:p>
    <w:p>
      <w:pPr>
        <w:pStyle w:val="ListParagraph"/>
        <w:numPr>
          <w:ilvl w:val="0"/>
          <w:numId w:val="2"/>
        </w:numPr>
      </w:pPr>
      <w:r>
        <w:rPr>
          <w:rFonts w:ascii="Arial" w:cs="Arial" w:eastAsia="Arial" w:hAnsi="Arial"/>
          <w:sz w:val="20"/>
          <w:szCs w:val="20"/>
        </w:rPr>
        <w:t xml:space="preserve">Alternatively, claim effektiv (actual) expenses if receipts are available and the total exceeds the Pauschale.</w:t>
      </w:r>
    </w:p>
    <w:p>
      <w:pPr>
        <w:pStyle w:val="ListParagraph"/>
        <w:numPr>
          <w:ilvl w:val="0"/>
          <w:numId w:val="2"/>
        </w:numPr>
      </w:pPr>
      <w:r>
        <w:rPr>
          <w:rFonts w:ascii="Arial" w:cs="Arial" w:eastAsia="Arial" w:hAnsi="Arial"/>
          <w:sz w:val="20"/>
          <w:szCs w:val="20"/>
        </w:rPr>
        <w:t xml:space="preserve">When claiming effektiv, each expense must be itemized and justified.</w:t>
      </w:r>
    </w:p>
    <w:p>
      <w:pPr>
        <w:pStyle w:val="ListParagraph"/>
        <w:numPr>
          <w:ilvl w:val="0"/>
          <w:numId w:val="2"/>
        </w:numPr>
      </w:pPr>
      <w:r>
        <w:rPr>
          <w:rFonts w:ascii="Arial" w:cs="Arial" w:eastAsia="Arial" w:hAnsi="Arial"/>
          <w:sz w:val="20"/>
          <w:szCs w:val="20"/>
        </w:rPr>
        <w:t xml:space="preserve">Professional association memberships (e.g., Physiosuisse) count as Berufsauslagen.</w:t>
      </w:r>
    </w:p>
    <w:p>
      <w:pPr>
        <w:pStyle w:val="Heading2"/>
      </w:pPr>
      <w:r>
        <w:rPr>
          <w:rFonts w:ascii="Arial" w:cs="Arial" w:eastAsia="Arial" w:hAnsi="Arial"/>
        </w:rPr>
        <w:t xml:space="preserve">2.4 Home Office Deduction</w:t>
      </w:r>
    </w:p>
    <w:p>
      <w:pPr>
        <w:pStyle w:val="ListParagraph"/>
        <w:numPr>
          <w:ilvl w:val="0"/>
          <w:numId w:val="2"/>
        </w:numPr>
      </w:pPr>
      <w:r>
        <w:rPr>
          <w:rFonts w:ascii="Arial" w:cs="Arial" w:eastAsia="Arial" w:hAnsi="Arial"/>
          <w:sz w:val="20"/>
          <w:szCs w:val="20"/>
        </w:rPr>
        <w:t xml:space="preserve">Home office days: CHF 3 per day (Homeoffice-Pauschale).</w:t>
      </w:r>
    </w:p>
    <w:p>
      <w:pPr>
        <w:pStyle w:val="ListParagraph"/>
        <w:numPr>
          <w:ilvl w:val="0"/>
          <w:numId w:val="2"/>
        </w:numPr>
      </w:pPr>
      <w:r>
        <w:rPr>
          <w:rFonts w:ascii="Arial" w:cs="Arial" w:eastAsia="Arial" w:hAnsi="Arial"/>
          <w:sz w:val="20"/>
          <w:szCs w:val="20"/>
        </w:rPr>
        <w:t xml:space="preserve">Important trade-off: home office days reduce the commuting deduction by the same proportion. The agent must calculate which combination is optimal.</w:t>
      </w:r>
    </w:p>
    <w:p>
      <w:pPr>
        <w:pBdr>
          <w:left w:val="single" w:color="F39C12" w:sz="8"/>
        </w:pBdr>
        <w:shd w:fill="FFF9E6" w:val="clear"/>
        <w:spacing w:before="160"/>
        <w:ind w:left="200"/>
      </w:pPr>
      <w:r>
        <w:rPr>
          <w:rFonts w:ascii="Arial" w:cs="Arial" w:eastAsia="Arial" w:hAnsi="Arial"/>
          <w:b/>
          <w:bCs/>
          <w:color w:val="7D6608"/>
          <w:sz w:val="19"/>
          <w:szCs w:val="19"/>
        </w:rPr>
        <w:t xml:space="preserve">🔗  Blog Reference: </w:t>
      </w:r>
      <w:r>
        <w:rPr>
          <w:rFonts w:ascii="Arial" w:cs="Arial" w:eastAsia="Arial" w:hAnsi="Arial"/>
          <w:b/>
          <w:bCs/>
          <w:color w:val="2471A3"/>
          <w:sz w:val="19"/>
          <w:szCs w:val="19"/>
          <w:u w:val="single"/>
        </w:rPr>
        <w:t xml:space="preserve">Home Office vs. Commute Deduction: Finding the Sweet Spot</w:t>
      </w:r>
    </w:p>
    <w:p>
      <w:pPr>
        <w:pBdr>
          <w:left w:val="single" w:color="F39C12" w:sz="8"/>
        </w:pBdr>
        <w:shd w:fill="FFF9E6" w:val="clear"/>
        <w:ind w:left="200"/>
      </w:pPr>
      <w:r>
        <w:rPr>
          <w:rFonts w:ascii="Arial" w:cs="Arial" w:eastAsia="Arial" w:hAnsi="Arial"/>
          <w:i/>
          <w:iCs/>
          <w:color w:val="7D6608"/>
          <w:sz w:val="17"/>
          <w:szCs w:val="17"/>
        </w:rPr>
        <w:t xml:space="preserve">https://blog.taxinfo-zh.ch/homeoffice-fahrkosten-optimierung</w:t>
      </w:r>
    </w:p>
    <w:p>
      <w:pPr>
        <w:pBdr>
          <w:left w:val="single" w:color="F39C12" w:sz="8"/>
        </w:pBdr>
        <w:shd w:fill="FFF9E6" w:val="clear"/>
        <w:spacing w:after="200"/>
        <w:ind w:left="200"/>
      </w:pPr>
      <w:r>
        <w:rPr>
          <w:rFonts w:ascii="Arial" w:cs="Arial" w:eastAsia="Arial" w:hAnsi="Arial"/>
          <w:color w:val="5D6D7E"/>
          <w:sz w:val="18"/>
          <w:szCs w:val="18"/>
        </w:rPr>
        <w:t xml:space="preserve">Since 2023, Zurich allows the CHF 3/day home office deduction but requires reducing commuting costs accordingly. This post walks through the break-even calculation and shows when it’s actually better NOT to claim home office days.</w:t>
      </w:r>
    </w:p>
    <w:p>
      <w:pPr>
        <w:pStyle w:val="Heading2"/>
      </w:pPr>
      <w:r>
        <w:rPr>
          <w:rFonts w:ascii="Arial" w:cs="Arial" w:eastAsia="Arial" w:hAnsi="Arial"/>
        </w:rPr>
        <w:t xml:space="preserve">2.5 Pillar 3a (Gebundene Selbstvorsorge)</w:t>
      </w:r>
    </w:p>
    <w:p>
      <w:pPr>
        <w:pStyle w:val="ListParagraph"/>
        <w:numPr>
          <w:ilvl w:val="0"/>
          <w:numId w:val="2"/>
        </w:numPr>
      </w:pPr>
      <w:r>
        <w:rPr>
          <w:rFonts w:ascii="Arial" w:cs="Arial" w:eastAsia="Arial" w:hAnsi="Arial"/>
          <w:sz w:val="20"/>
          <w:szCs w:val="20"/>
        </w:rPr>
        <w:t xml:space="preserve">Maximum deduction for employees with BVG: CHF 7,056 per year (tax year 2025).</w:t>
      </w:r>
    </w:p>
    <w:p>
      <w:pPr>
        <w:pStyle w:val="ListParagraph"/>
        <w:numPr>
          <w:ilvl w:val="0"/>
          <w:numId w:val="2"/>
        </w:numPr>
      </w:pPr>
      <w:r>
        <w:rPr>
          <w:rFonts w:ascii="Arial" w:cs="Arial" w:eastAsia="Arial" w:hAnsi="Arial"/>
          <w:sz w:val="20"/>
          <w:szCs w:val="20"/>
        </w:rPr>
        <w:t xml:space="preserve">Both spouses can each claim up to the maximum if both are employed.</w:t>
      </w:r>
    </w:p>
    <w:p>
      <w:pPr>
        <w:pStyle w:val="ListParagraph"/>
        <w:numPr>
          <w:ilvl w:val="0"/>
          <w:numId w:val="2"/>
        </w:numPr>
      </w:pPr>
      <w:r>
        <w:rPr>
          <w:rFonts w:ascii="Arial" w:cs="Arial" w:eastAsia="Arial" w:hAnsi="Arial"/>
          <w:sz w:val="20"/>
          <w:szCs w:val="20"/>
        </w:rPr>
        <w:t xml:space="preserve">If actual contribution is below the maximum, claim only the actual amount. Note the gap as a tax optimization opportunity.</w:t>
      </w:r>
    </w:p>
    <w:p>
      <w:pPr>
        <w:pStyle w:val="ListParagraph"/>
        <w:numPr>
          <w:ilvl w:val="0"/>
          <w:numId w:val="2"/>
        </w:numPr>
      </w:pPr>
      <w:r>
        <w:rPr>
          <w:rFonts w:ascii="Arial" w:cs="Arial" w:eastAsia="Arial" w:hAnsi="Arial"/>
          <w:sz w:val="20"/>
          <w:szCs w:val="20"/>
        </w:rPr>
        <w:t xml:space="preserve">If two Pillar 3a confirmations from different providers total more than CHF 7,056, cap the deduction at CHF 7,056.</w:t>
      </w:r>
    </w:p>
    <w:p>
      <w:pPr>
        <w:pStyle w:val="ListParagraph"/>
        <w:numPr>
          <w:ilvl w:val="0"/>
          <w:numId w:val="2"/>
        </w:numPr>
      </w:pPr>
      <w:r>
        <w:rPr>
          <w:rFonts w:ascii="Arial" w:cs="Arial" w:eastAsia="Arial" w:hAnsi="Arial"/>
          <w:sz w:val="20"/>
          <w:szCs w:val="20"/>
        </w:rPr>
        <w:t xml:space="preserve">Pillar 3a eligibility requires BVG coverage (check field 10.1 on Lohnausweis).</w:t>
      </w:r>
    </w:p>
    <w:p>
      <w:pPr>
        <w:pStyle w:val="Heading2"/>
      </w:pPr>
      <w:r>
        <w:rPr>
          <w:rFonts w:ascii="Arial" w:cs="Arial" w:eastAsia="Arial" w:hAnsi="Arial"/>
        </w:rPr>
        <w:t xml:space="preserve">2.6 Continuing Education (Weiterbildungskosten)</w:t>
      </w:r>
    </w:p>
    <w:p>
      <w:pPr>
        <w:pStyle w:val="ListParagraph"/>
        <w:numPr>
          <w:ilvl w:val="0"/>
          <w:numId w:val="2"/>
        </w:numPr>
      </w:pPr>
      <w:r>
        <w:rPr>
          <w:rFonts w:ascii="Arial" w:cs="Arial" w:eastAsia="Arial" w:hAnsi="Arial"/>
          <w:sz w:val="20"/>
          <w:szCs w:val="20"/>
        </w:rPr>
        <w:t xml:space="preserve">Berufsorientierte Aus- und Weiterbildungskosten are deductible up to a cantonal/federal maximum.</w:t>
      </w:r>
    </w:p>
    <w:p>
      <w:pPr>
        <w:pStyle w:val="ListParagraph"/>
        <w:numPr>
          <w:ilvl w:val="0"/>
          <w:numId w:val="2"/>
        </w:numPr>
      </w:pPr>
      <w:r>
        <w:rPr>
          <w:rFonts w:ascii="Arial" w:cs="Arial" w:eastAsia="Arial" w:hAnsi="Arial"/>
          <w:sz w:val="20"/>
          <w:szCs w:val="20"/>
        </w:rPr>
        <w:t xml:space="preserve">The course must be related to the taxpayer’s current profession. Always confirm professional relevance before claiming.</w:t>
      </w:r>
    </w:p>
    <w:p>
      <w:pPr>
        <w:pStyle w:val="ListParagraph"/>
        <w:numPr>
          <w:ilvl w:val="0"/>
          <w:numId w:val="2"/>
        </w:numPr>
      </w:pPr>
      <w:r>
        <w:rPr>
          <w:rFonts w:ascii="Arial" w:cs="Arial" w:eastAsia="Arial" w:hAnsi="Arial"/>
          <w:sz w:val="20"/>
          <w:szCs w:val="20"/>
        </w:rPr>
        <w:t xml:space="preserve">Language courses (e.g., German B2) may qualify if the taxpayer needs the language for professional purposes.</w:t>
      </w:r>
    </w:p>
    <w:p>
      <w:pPr>
        <w:pStyle w:val="Heading2"/>
      </w:pPr>
      <w:r>
        <w:rPr>
          <w:rFonts w:ascii="Arial" w:cs="Arial" w:eastAsia="Arial" w:hAnsi="Arial"/>
        </w:rPr>
        <w:t xml:space="preserve">2.7 Charitable Donations (Zuwendungen)</w:t>
      </w:r>
    </w:p>
    <w:p>
      <w:pPr>
        <w:pStyle w:val="ListParagraph"/>
        <w:numPr>
          <w:ilvl w:val="0"/>
          <w:numId w:val="2"/>
        </w:numPr>
      </w:pPr>
      <w:r>
        <w:rPr>
          <w:rFonts w:ascii="Arial" w:cs="Arial" w:eastAsia="Arial" w:hAnsi="Arial"/>
          <w:sz w:val="20"/>
          <w:szCs w:val="20"/>
        </w:rPr>
        <w:t xml:space="preserve">Donations to recognized tax-exempt organizations are deductible.</w:t>
      </w:r>
    </w:p>
    <w:p>
      <w:pPr>
        <w:pStyle w:val="ListParagraph"/>
        <w:numPr>
          <w:ilvl w:val="0"/>
          <w:numId w:val="2"/>
        </w:numPr>
      </w:pPr>
      <w:r>
        <w:rPr>
          <w:rFonts w:ascii="Arial" w:cs="Arial" w:eastAsia="Arial" w:hAnsi="Arial"/>
          <w:sz w:val="20"/>
          <w:szCs w:val="20"/>
        </w:rPr>
        <w:t xml:space="preserve">Minimum threshold in Zurich: CHF 100 total.</w:t>
      </w:r>
    </w:p>
    <w:p>
      <w:pPr>
        <w:pStyle w:val="ListParagraph"/>
        <w:numPr>
          <w:ilvl w:val="0"/>
          <w:numId w:val="2"/>
        </w:numPr>
      </w:pPr>
      <w:r>
        <w:rPr>
          <w:rFonts w:ascii="Arial" w:cs="Arial" w:eastAsia="Arial" w:hAnsi="Arial"/>
          <w:sz w:val="20"/>
          <w:szCs w:val="20"/>
        </w:rPr>
        <w:t xml:space="preserve">Donations may be found in bank statements (labeled “Spende” + organization name). Proactively scan for these.</w:t>
      </w:r>
    </w:p>
    <w:p>
      <w:pPr>
        <w:pStyle w:val="ListParagraph"/>
        <w:numPr>
          <w:ilvl w:val="0"/>
          <w:numId w:val="2"/>
        </w:numPr>
      </w:pPr>
      <w:r>
        <w:rPr>
          <w:rFonts w:ascii="Arial" w:cs="Arial" w:eastAsia="Arial" w:hAnsi="Arial"/>
          <w:sz w:val="20"/>
          <w:szCs w:val="20"/>
        </w:rPr>
        <w:t xml:space="preserve">Verify the organization is a recognized tax-exempt entity before claiming.</w:t>
      </w:r>
    </w:p>
    <w:p>
      <w:pPr>
        <w:pStyle w:val="Heading2"/>
      </w:pPr>
      <w:r>
        <w:rPr>
          <w:rFonts w:ascii="Arial" w:cs="Arial" w:eastAsia="Arial" w:hAnsi="Arial"/>
        </w:rPr>
        <w:t xml:space="preserve">2.8 Children’s Deductions</w:t>
      </w:r>
    </w:p>
    <w:p>
      <w:pPr>
        <w:pStyle w:val="ListParagraph"/>
        <w:numPr>
          <w:ilvl w:val="0"/>
          <w:numId w:val="2"/>
        </w:numPr>
      </w:pPr>
      <w:r>
        <w:rPr>
          <w:rFonts w:ascii="Arial" w:cs="Arial" w:eastAsia="Arial" w:hAnsi="Arial"/>
          <w:sz w:val="20"/>
          <w:szCs w:val="20"/>
        </w:rPr>
        <w:t xml:space="preserve">Kinderabzug: claimable for each child. For children over 18, the deduction continues if the child is in education (up to age 25).</w:t>
      </w:r>
    </w:p>
    <w:p>
      <w:pPr>
        <w:pStyle w:val="ListParagraph"/>
        <w:numPr>
          <w:ilvl w:val="0"/>
          <w:numId w:val="2"/>
        </w:numPr>
      </w:pPr>
      <w:r>
        <w:rPr>
          <w:rFonts w:ascii="Arial" w:cs="Arial" w:eastAsia="Arial" w:hAnsi="Arial"/>
          <w:sz w:val="20"/>
          <w:szCs w:val="20"/>
        </w:rPr>
        <w:t xml:space="preserve">Kinderbetreuungskosten (childcare): deductible for children under 14. Zurich cantonal cap: CHF 10,100. If receipts exceed this, claim only up to the cap.</w:t>
      </w:r>
    </w:p>
    <w:p>
      <w:pPr>
        <w:pStyle w:val="ListParagraph"/>
        <w:numPr>
          <w:ilvl w:val="0"/>
          <w:numId w:val="2"/>
        </w:numPr>
      </w:pPr>
      <w:r>
        <w:rPr>
          <w:rFonts w:ascii="Arial" w:cs="Arial" w:eastAsia="Arial" w:hAnsi="Arial"/>
          <w:sz w:val="20"/>
          <w:szCs w:val="20"/>
        </w:rPr>
        <w:t xml:space="preserve">Alleinerziehenden-Abzug (single parent deduction): claimable by single/divorced parents where the child lives primarily with them.</w:t>
      </w:r>
    </w:p>
    <w:p>
      <w:pPr>
        <w:pBdr>
          <w:left w:val="single" w:color="F39C12" w:sz="8"/>
        </w:pBdr>
        <w:shd w:fill="FFF9E6" w:val="clear"/>
        <w:spacing w:before="160"/>
        <w:ind w:left="200"/>
      </w:pPr>
      <w:r>
        <w:rPr>
          <w:rFonts w:ascii="Arial" w:cs="Arial" w:eastAsia="Arial" w:hAnsi="Arial"/>
          <w:b/>
          <w:bCs/>
          <w:color w:val="7D6608"/>
          <w:sz w:val="19"/>
          <w:szCs w:val="19"/>
        </w:rPr>
        <w:t xml:space="preserve">🔗  Blog Reference: </w:t>
      </w:r>
      <w:r>
        <w:rPr>
          <w:rFonts w:ascii="Arial" w:cs="Arial" w:eastAsia="Arial" w:hAnsi="Arial"/>
          <w:b/>
          <w:bCs/>
          <w:color w:val="2471A3"/>
          <w:sz w:val="19"/>
          <w:szCs w:val="19"/>
          <w:u w:val="single"/>
        </w:rPr>
        <w:t xml:space="preserve">Childcare Costs: The Cap Nobody Reads About</w:t>
      </w:r>
    </w:p>
    <w:p>
      <w:pPr>
        <w:pBdr>
          <w:left w:val="single" w:color="F39C12" w:sz="8"/>
        </w:pBdr>
        <w:shd w:fill="FFF9E6" w:val="clear"/>
        <w:ind w:left="200"/>
      </w:pPr>
      <w:r>
        <w:rPr>
          <w:rFonts w:ascii="Arial" w:cs="Arial" w:eastAsia="Arial" w:hAnsi="Arial"/>
          <w:i/>
          <w:iCs/>
          <w:color w:val="7D6608"/>
          <w:sz w:val="17"/>
          <w:szCs w:val="17"/>
        </w:rPr>
        <w:t xml:space="preserve">https://blog.taxinfo-zh.ch/kinderbetreuung-abzug-maximum</w:t>
      </w:r>
    </w:p>
    <w:p>
      <w:pPr>
        <w:pBdr>
          <w:left w:val="single" w:color="F39C12" w:sz="8"/>
        </w:pBdr>
        <w:shd w:fill="FFF9E6" w:val="clear"/>
        <w:spacing w:after="200"/>
        <w:ind w:left="200"/>
      </w:pPr>
      <w:r>
        <w:rPr>
          <w:rFonts w:ascii="Arial" w:cs="Arial" w:eastAsia="Arial" w:hAnsi="Arial"/>
          <w:color w:val="5D6D7E"/>
          <w:sz w:val="18"/>
          <w:szCs w:val="18"/>
        </w:rPr>
        <w:t xml:space="preserve">Parents often claim the full KiTa bill without realizing Zurich caps the deduction at CHF 10,100. This post covers the cap, what qualifies (KiTa, Hort, nanny), and what doesn’t (babysitting by grandparents).</w:t>
      </w:r>
    </w:p>
    <w:p>
      <w:pPr>
        <w:pStyle w:val="Heading2"/>
      </w:pPr>
      <w:r>
        <w:rPr>
          <w:rFonts w:ascii="Arial" w:cs="Arial" w:eastAsia="Arial" w:hAnsi="Arial"/>
        </w:rPr>
        <w:t xml:space="preserve">2.9 Medical Expenses (Krankheitskosten)</w:t>
      </w:r>
    </w:p>
    <w:p>
      <w:pPr>
        <w:pStyle w:val="ListParagraph"/>
        <w:numPr>
          <w:ilvl w:val="0"/>
          <w:numId w:val="2"/>
        </w:numPr>
      </w:pPr>
      <w:r>
        <w:rPr>
          <w:rFonts w:ascii="Arial" w:cs="Arial" w:eastAsia="Arial" w:hAnsi="Arial"/>
          <w:sz w:val="20"/>
          <w:szCs w:val="20"/>
        </w:rPr>
        <w:t xml:space="preserve">Medical expenses are deductible ONLY to the extent they exceed 5% of net income (Kantonssteuer).</w:t>
      </w:r>
    </w:p>
    <w:p>
      <w:pPr>
        <w:pStyle w:val="ListParagraph"/>
        <w:numPr>
          <w:ilvl w:val="0"/>
          <w:numId w:val="2"/>
        </w:numPr>
      </w:pPr>
      <w:r>
        <w:rPr>
          <w:rFonts w:ascii="Arial" w:cs="Arial" w:eastAsia="Arial" w:hAnsi="Arial"/>
          <w:sz w:val="20"/>
          <w:szCs w:val="20"/>
        </w:rPr>
        <w:t xml:space="preserve">Calculate the threshold first. If total medical costs are below 5% of net income, no deduction is available.</w:t>
      </w:r>
    </w:p>
    <w:p>
      <w:pPr>
        <w:pStyle w:val="ListParagraph"/>
        <w:numPr>
          <w:ilvl w:val="0"/>
          <w:numId w:val="2"/>
        </w:numPr>
      </w:pPr>
      <w:r>
        <w:rPr>
          <w:rFonts w:ascii="Arial" w:cs="Arial" w:eastAsia="Arial" w:hAnsi="Arial"/>
          <w:sz w:val="20"/>
          <w:szCs w:val="20"/>
        </w:rPr>
        <w:t xml:space="preserve">Qualifying expenses: dentist, pharmacy, physiotherapy, hospital bills not covered by insurance.</w:t>
      </w:r>
    </w:p>
    <w:p>
      <w:pPr>
        <w:pStyle w:val="Heading2"/>
      </w:pPr>
      <w:r>
        <w:rPr>
          <w:rFonts w:ascii="Arial" w:cs="Arial" w:eastAsia="Arial" w:hAnsi="Arial"/>
        </w:rPr>
        <w:t xml:space="preserve">2.10 Dual-Income Deduction (Zweiverdienerabzug)</w:t>
      </w:r>
    </w:p>
    <w:p>
      <w:pPr>
        <w:pStyle w:val="ListParagraph"/>
        <w:numPr>
          <w:ilvl w:val="0"/>
          <w:numId w:val="2"/>
        </w:numPr>
      </w:pPr>
      <w:r>
        <w:rPr>
          <w:rFonts w:ascii="Arial" w:cs="Arial" w:eastAsia="Arial" w:hAnsi="Arial"/>
          <w:sz w:val="20"/>
          <w:szCs w:val="20"/>
        </w:rPr>
        <w:t xml:space="preserve">When both spouses are employed, claim the Zweiverdienerabzug: CHF 5,900 for Kantonssteuer.</w:t>
      </w:r>
    </w:p>
    <w:p>
      <w:pPr>
        <w:pStyle w:val="ListParagraph"/>
        <w:numPr>
          <w:ilvl w:val="0"/>
          <w:numId w:val="2"/>
        </w:numPr>
      </w:pPr>
      <w:r>
        <w:rPr>
          <w:rFonts w:ascii="Arial" w:cs="Arial" w:eastAsia="Arial" w:hAnsi="Arial"/>
          <w:sz w:val="20"/>
          <w:szCs w:val="20"/>
        </w:rPr>
        <w:t xml:space="preserve">This deduction is automatic for dual-income married couples and should be proactively applied.</w:t>
      </w:r>
    </w:p>
    <w:p>
      <w:r>
        <w:br w:type="page"/>
      </w:r>
    </w:p>
    <w:p>
      <w:pPr>
        <w:pStyle w:val="Heading1"/>
      </w:pPr>
      <w:r>
        <w:rPr>
          <w:rFonts w:ascii="Arial" w:cs="Arial" w:eastAsia="Arial" w:hAnsi="Arial"/>
        </w:rPr>
        <w:t xml:space="preserve">3. Property Rules</w:t>
      </w:r>
    </w:p>
    <w:p>
      <w:pPr>
        <w:pStyle w:val="ListParagraph"/>
        <w:numPr>
          <w:ilvl w:val="0"/>
          <w:numId w:val="2"/>
        </w:numPr>
      </w:pPr>
      <w:r>
        <w:rPr>
          <w:rFonts w:ascii="Arial" w:cs="Arial" w:eastAsia="Arial" w:hAnsi="Arial"/>
          <w:sz w:val="20"/>
          <w:szCs w:val="20"/>
        </w:rPr>
        <w:t xml:space="preserve">Eigenmietwert (imputed rental value): must be declared as income if the taxpayer owns and occupies the property. The amount comes from the Gemeinde assessment.</w:t>
      </w:r>
    </w:p>
    <w:p>
      <w:pPr>
        <w:pStyle w:val="ListParagraph"/>
        <w:numPr>
          <w:ilvl w:val="0"/>
          <w:numId w:val="2"/>
        </w:numPr>
      </w:pPr>
      <w:r>
        <w:rPr>
          <w:rFonts w:ascii="Arial" w:cs="Arial" w:eastAsia="Arial" w:hAnsi="Arial"/>
          <w:sz w:val="20"/>
          <w:szCs w:val="20"/>
        </w:rPr>
        <w:t xml:space="preserve">Property Steuerwert: declared as wealth.</w:t>
      </w:r>
    </w:p>
    <w:p>
      <w:pPr>
        <w:pStyle w:val="ListParagraph"/>
        <w:numPr>
          <w:ilvl w:val="0"/>
          <w:numId w:val="2"/>
        </w:numPr>
      </w:pPr>
      <w:r>
        <w:rPr>
          <w:rFonts w:ascii="Arial" w:cs="Arial" w:eastAsia="Arial" w:hAnsi="Arial"/>
          <w:sz w:val="20"/>
          <w:szCs w:val="20"/>
        </w:rPr>
        <w:t xml:space="preserve">Mortgage interest (Hypothekarzins): deductible against income.</w:t>
      </w:r>
    </w:p>
    <w:p>
      <w:pPr>
        <w:pStyle w:val="ListParagraph"/>
        <w:numPr>
          <w:ilvl w:val="0"/>
          <w:numId w:val="2"/>
        </w:numPr>
      </w:pPr>
      <w:r>
        <w:rPr>
          <w:rFonts w:ascii="Arial" w:cs="Arial" w:eastAsia="Arial" w:hAnsi="Arial"/>
          <w:sz w:val="20"/>
          <w:szCs w:val="20"/>
        </w:rPr>
        <w:t xml:space="preserve">Mortgage balance: declared as debt in the Schuldenverzeichnis.</w:t>
      </w:r>
    </w:p>
    <w:p>
      <w:pPr>
        <w:pStyle w:val="ListParagraph"/>
        <w:numPr>
          <w:ilvl w:val="0"/>
          <w:numId w:val="2"/>
        </w:numPr>
      </w:pPr>
      <w:r>
        <w:rPr>
          <w:rFonts w:ascii="Arial" w:cs="Arial" w:eastAsia="Arial" w:hAnsi="Arial"/>
          <w:sz w:val="20"/>
          <w:szCs w:val="20"/>
        </w:rPr>
        <w:t xml:space="preserve">Unterhaltskosten (maintenance): deductible. The taxpayer can choose between the Pauschale or actual costs.</w:t>
      </w:r>
    </w:p>
    <w:p>
      <w:pPr>
        <w:pStyle w:val="ListParagraph"/>
        <w:numPr>
          <w:ilvl w:val="0"/>
          <w:numId w:val="2"/>
        </w:numPr>
      </w:pPr>
      <w:r>
        <w:rPr>
          <w:rFonts w:ascii="Arial" w:cs="Arial" w:eastAsia="Arial" w:hAnsi="Arial"/>
          <w:sz w:val="20"/>
          <w:szCs w:val="20"/>
        </w:rPr>
        <w:t xml:space="preserve">Mortgage payments visible in bank statements imply property ownership even if no property documents are provided. Always ask for Eigenmietwert and Steuerwert.</w:t>
      </w:r>
    </w:p>
    <w:p>
      <w:pPr>
        <w:pStyle w:val="Heading1"/>
      </w:pPr>
      <w:r>
        <w:rPr>
          <w:rFonts w:ascii="Arial" w:cs="Arial" w:eastAsia="Arial" w:hAnsi="Arial"/>
        </w:rPr>
        <w:t xml:space="preserve">4. Wealth Declaration</w:t>
      </w:r>
    </w:p>
    <w:p>
      <w:pPr>
        <w:pStyle w:val="ListParagraph"/>
        <w:numPr>
          <w:ilvl w:val="0"/>
          <w:numId w:val="2"/>
        </w:numPr>
      </w:pPr>
      <w:r>
        <w:rPr>
          <w:rFonts w:ascii="Arial" w:cs="Arial" w:eastAsia="Arial" w:hAnsi="Arial"/>
          <w:sz w:val="20"/>
          <w:szCs w:val="20"/>
        </w:rPr>
        <w:t xml:space="preserve">Bank account balances as of December 31st.</w:t>
      </w:r>
    </w:p>
    <w:p>
      <w:pPr>
        <w:pStyle w:val="ListParagraph"/>
        <w:numPr>
          <w:ilvl w:val="0"/>
          <w:numId w:val="2"/>
        </w:numPr>
      </w:pPr>
      <w:r>
        <w:rPr>
          <w:rFonts w:ascii="Arial" w:cs="Arial" w:eastAsia="Arial" w:hAnsi="Arial"/>
          <w:sz w:val="20"/>
          <w:szCs w:val="20"/>
        </w:rPr>
        <w:t xml:space="preserve">Securities portfolio: market value as of December 31st. Fill the Wertschriften- und Guthabenverzeichnis.</w:t>
      </w:r>
    </w:p>
    <w:p>
      <w:pPr>
        <w:pStyle w:val="ListParagraph"/>
        <w:numPr>
          <w:ilvl w:val="0"/>
          <w:numId w:val="2"/>
        </w:numPr>
      </w:pPr>
      <w:r>
        <w:rPr>
          <w:rFonts w:ascii="Arial" w:cs="Arial" w:eastAsia="Arial" w:hAnsi="Arial"/>
          <w:sz w:val="20"/>
          <w:szCs w:val="20"/>
        </w:rPr>
        <w:t xml:space="preserve">Cryptocurrency: declare at market value as of December 31st. Capital gains from private trading are TAX-FREE. Exception: professional trading makes gains taxable (high frequency, leverage, short holding periods).</w:t>
      </w:r>
    </w:p>
    <w:p>
      <w:pPr>
        <w:pStyle w:val="ListParagraph"/>
        <w:numPr>
          <w:ilvl w:val="0"/>
          <w:numId w:val="2"/>
        </w:numPr>
      </w:pPr>
      <w:r>
        <w:rPr>
          <w:rFonts w:ascii="Arial" w:cs="Arial" w:eastAsia="Arial" w:hAnsi="Arial"/>
          <w:sz w:val="20"/>
          <w:szCs w:val="20"/>
        </w:rPr>
        <w:t xml:space="preserve">Freizügigkeitskonten: declare balance as wealth.</w:t>
      </w:r>
    </w:p>
    <w:p>
      <w:pPr>
        <w:pStyle w:val="ListParagraph"/>
        <w:numPr>
          <w:ilvl w:val="0"/>
          <w:numId w:val="2"/>
        </w:numPr>
      </w:pPr>
      <w:r>
        <w:rPr>
          <w:rFonts w:ascii="Arial" w:cs="Arial" w:eastAsia="Arial" w:hAnsi="Arial"/>
          <w:sz w:val="20"/>
          <w:szCs w:val="20"/>
        </w:rPr>
        <w:t xml:space="preserve">Property: use Steuerwert from Gemeinde assessment.</w:t>
      </w:r>
    </w:p>
    <w:p>
      <w:pPr>
        <w:pStyle w:val="ListParagraph"/>
        <w:numPr>
          <w:ilvl w:val="0"/>
          <w:numId w:val="2"/>
        </w:numPr>
      </w:pPr>
      <w:r>
        <w:rPr>
          <w:rFonts w:ascii="Arial" w:cs="Arial" w:eastAsia="Arial" w:hAnsi="Arial"/>
          <w:sz w:val="20"/>
          <w:szCs w:val="20"/>
        </w:rPr>
        <w:t xml:space="preserve">If dividend income is declared, the Wertschriftenverzeichnis must NOT be empty. This is a consistency check.</w:t>
      </w:r>
    </w:p>
    <w:p>
      <w:pPr>
        <w:pBdr>
          <w:left w:val="single" w:color="F39C12" w:sz="8"/>
        </w:pBdr>
        <w:shd w:fill="FFF9E6" w:val="clear"/>
        <w:spacing w:before="160"/>
        <w:ind w:left="200"/>
      </w:pPr>
      <w:r>
        <w:rPr>
          <w:rFonts w:ascii="Arial" w:cs="Arial" w:eastAsia="Arial" w:hAnsi="Arial"/>
          <w:b/>
          <w:bCs/>
          <w:color w:val="7D6608"/>
          <w:sz w:val="19"/>
          <w:szCs w:val="19"/>
        </w:rPr>
        <w:t xml:space="preserve">🔗  Blog Reference: </w:t>
      </w:r>
      <w:r>
        <w:rPr>
          <w:rFonts w:ascii="Arial" w:cs="Arial" w:eastAsia="Arial" w:hAnsi="Arial"/>
          <w:b/>
          <w:bCs/>
          <w:color w:val="2471A3"/>
          <w:sz w:val="19"/>
          <w:szCs w:val="19"/>
          <w:u w:val="single"/>
        </w:rPr>
        <w:t xml:space="preserve">Crypto and Taxes in Zurich: Private vs. Professional Trading</w:t>
      </w:r>
    </w:p>
    <w:p>
      <w:pPr>
        <w:pBdr>
          <w:left w:val="single" w:color="F39C12" w:sz="8"/>
        </w:pBdr>
        <w:shd w:fill="FFF9E6" w:val="clear"/>
        <w:ind w:left="200"/>
      </w:pPr>
      <w:r>
        <w:rPr>
          <w:rFonts w:ascii="Arial" w:cs="Arial" w:eastAsia="Arial" w:hAnsi="Arial"/>
          <w:i/>
          <w:iCs/>
          <w:color w:val="7D6608"/>
          <w:sz w:val="17"/>
          <w:szCs w:val="17"/>
        </w:rPr>
        <w:t xml:space="preserve">https://blog.taxinfo-zh.ch/krypto-steuern-privat-professionell</w:t>
      </w:r>
    </w:p>
    <w:p>
      <w:pPr>
        <w:pBdr>
          <w:left w:val="single" w:color="F39C12" w:sz="8"/>
        </w:pBdr>
        <w:shd w:fill="FFF9E6" w:val="clear"/>
        <w:spacing w:after="200"/>
        <w:ind w:left="200"/>
      </w:pPr>
      <w:r>
        <w:rPr>
          <w:rFonts w:ascii="Arial" w:cs="Arial" w:eastAsia="Arial" w:hAnsi="Arial"/>
          <w:color w:val="5D6D7E"/>
          <w:sz w:val="18"/>
          <w:szCs w:val="18"/>
        </w:rPr>
        <w:t xml:space="preserve">The line between private and professional crypto trading is blurry. This post explains the five criteria the tax office uses (frequency, leverage, holding period, volume relative to income, use of borrowed funds) and gives examples of each category.</w:t>
      </w:r>
    </w:p>
    <w:p>
      <w:r>
        <w:br w:type="page"/>
      </w:r>
    </w:p>
    <w:p>
      <w:pPr>
        <w:pStyle w:val="Heading1"/>
      </w:pPr>
      <w:r>
        <w:rPr>
          <w:rFonts w:ascii="Arial" w:cs="Arial" w:eastAsia="Arial" w:hAnsi="Arial"/>
        </w:rPr>
        <w:t xml:space="preserve">5. Filing Status and Life Events</w:t>
      </w:r>
    </w:p>
    <w:p>
      <w:pPr>
        <w:pStyle w:val="Heading2"/>
      </w:pPr>
      <w:r>
        <w:rPr>
          <w:rFonts w:ascii="Arial" w:cs="Arial" w:eastAsia="Arial" w:hAnsi="Arial"/>
        </w:rPr>
        <w:t xml:space="preserve">5.1 Divorce</w:t>
      </w:r>
    </w:p>
    <w:p>
      <w:pPr>
        <w:pStyle w:val="ListParagraph"/>
        <w:numPr>
          <w:ilvl w:val="0"/>
          <w:numId w:val="2"/>
        </w:numPr>
      </w:pPr>
      <w:r>
        <w:rPr>
          <w:rFonts w:ascii="Arial" w:cs="Arial" w:eastAsia="Arial" w:hAnsi="Arial"/>
          <w:sz w:val="20"/>
          <w:szCs w:val="20"/>
        </w:rPr>
        <w:t xml:space="preserve">If divorce is finalized before December 31st, file separately for the full year.</w:t>
      </w:r>
    </w:p>
    <w:p>
      <w:pPr>
        <w:pStyle w:val="ListParagraph"/>
        <w:numPr>
          <w:ilvl w:val="0"/>
          <w:numId w:val="2"/>
        </w:numPr>
      </w:pPr>
      <w:r>
        <w:rPr>
          <w:rFonts w:ascii="Arial" w:cs="Arial" w:eastAsia="Arial" w:hAnsi="Arial"/>
          <w:sz w:val="20"/>
          <w:szCs w:val="20"/>
        </w:rPr>
        <w:t xml:space="preserve">The exact date of divorce finalization is critical. If not clear from documents, ask the taxpayer.</w:t>
      </w:r>
    </w:p>
    <w:p>
      <w:pPr>
        <w:pStyle w:val="Heading2"/>
      </w:pPr>
      <w:r>
        <w:rPr>
          <w:rFonts w:ascii="Arial" w:cs="Arial" w:eastAsia="Arial" w:hAnsi="Arial"/>
        </w:rPr>
        <w:t xml:space="preserve">5.2 Death of a Partner</w:t>
      </w:r>
    </w:p>
    <w:p>
      <w:pPr>
        <w:pStyle w:val="ListParagraph"/>
        <w:numPr>
          <w:ilvl w:val="0"/>
          <w:numId w:val="2"/>
        </w:numPr>
      </w:pPr>
      <w:r>
        <w:rPr>
          <w:rFonts w:ascii="Arial" w:cs="Arial" w:eastAsia="Arial" w:hAnsi="Arial"/>
          <w:sz w:val="20"/>
          <w:szCs w:val="20"/>
        </w:rPr>
        <w:t xml:space="preserve">If a registered partner or spouse dies during the tax year, the surviving partner files for the full year under joint taxation.</w:t>
      </w:r>
    </w:p>
    <w:p>
      <w:pPr>
        <w:pStyle w:val="Heading2"/>
      </w:pPr>
      <w:r>
        <w:rPr>
          <w:rFonts w:ascii="Arial" w:cs="Arial" w:eastAsia="Arial" w:hAnsi="Arial"/>
        </w:rPr>
        <w:t xml:space="preserve">5.3 Quellensteuer Transition</w:t>
      </w:r>
    </w:p>
    <w:p>
      <w:pPr>
        <w:pStyle w:val="ListParagraph"/>
        <w:numPr>
          <w:ilvl w:val="0"/>
          <w:numId w:val="2"/>
        </w:numPr>
      </w:pPr>
      <w:r>
        <w:rPr>
          <w:rFonts w:ascii="Arial" w:cs="Arial" w:eastAsia="Arial" w:hAnsi="Arial"/>
          <w:sz w:val="20"/>
          <w:szCs w:val="20"/>
        </w:rPr>
        <w:t xml:space="preserve">Foreign nationals transitioning from Quellensteuer (source tax) to ordinary taxation must declare full-year income.</w:t>
      </w:r>
    </w:p>
    <w:p>
      <w:pPr>
        <w:pStyle w:val="ListParagraph"/>
        <w:numPr>
          <w:ilvl w:val="0"/>
          <w:numId w:val="2"/>
        </w:numPr>
      </w:pPr>
      <w:r>
        <w:rPr>
          <w:rFonts w:ascii="Arial" w:cs="Arial" w:eastAsia="Arial" w:hAnsi="Arial"/>
          <w:sz w:val="20"/>
          <w:szCs w:val="20"/>
        </w:rPr>
        <w:t xml:space="preserve">The Quellensteuer already deducted is entered as a tax credit against the final bill.</w:t>
      </w:r>
    </w:p>
    <w:p>
      <w:pPr>
        <w:pBdr>
          <w:left w:val="single" w:color="F39C12" w:sz="8"/>
        </w:pBdr>
        <w:shd w:fill="FFF9E6" w:val="clear"/>
        <w:spacing w:before="160"/>
        <w:ind w:left="200"/>
      </w:pPr>
      <w:r>
        <w:rPr>
          <w:rFonts w:ascii="Arial" w:cs="Arial" w:eastAsia="Arial" w:hAnsi="Arial"/>
          <w:b/>
          <w:bCs/>
          <w:color w:val="7D6608"/>
          <w:sz w:val="19"/>
          <w:szCs w:val="19"/>
        </w:rPr>
        <w:t xml:space="preserve">🔗  Blog Reference: </w:t>
      </w:r>
      <w:r>
        <w:rPr>
          <w:rFonts w:ascii="Arial" w:cs="Arial" w:eastAsia="Arial" w:hAnsi="Arial"/>
          <w:b/>
          <w:bCs/>
          <w:color w:val="2471A3"/>
          <w:sz w:val="19"/>
          <w:szCs w:val="19"/>
          <w:u w:val="single"/>
        </w:rPr>
        <w:t xml:space="preserve">From Quellensteuer to Ordinary Filing: A Step-by-Step Guide</w:t>
      </w:r>
    </w:p>
    <w:p>
      <w:pPr>
        <w:pBdr>
          <w:left w:val="single" w:color="F39C12" w:sz="8"/>
        </w:pBdr>
        <w:shd w:fill="FFF9E6" w:val="clear"/>
        <w:ind w:left="200"/>
      </w:pPr>
      <w:r>
        <w:rPr>
          <w:rFonts w:ascii="Arial" w:cs="Arial" w:eastAsia="Arial" w:hAnsi="Arial"/>
          <w:i/>
          <w:iCs/>
          <w:color w:val="7D6608"/>
          <w:sz w:val="17"/>
          <w:szCs w:val="17"/>
        </w:rPr>
        <w:t xml:space="preserve">https://blog.taxinfo-zh.ch/quellensteuer-wechsel-ordentlich</w:t>
      </w:r>
    </w:p>
    <w:p>
      <w:pPr>
        <w:pBdr>
          <w:left w:val="single" w:color="F39C12" w:sz="8"/>
        </w:pBdr>
        <w:shd w:fill="FFF9E6" w:val="clear"/>
        <w:spacing w:after="200"/>
        <w:ind w:left="200"/>
      </w:pPr>
      <w:r>
        <w:rPr>
          <w:rFonts w:ascii="Arial" w:cs="Arial" w:eastAsia="Arial" w:hAnsi="Arial"/>
          <w:color w:val="5D6D7E"/>
          <w:sz w:val="18"/>
          <w:szCs w:val="18"/>
        </w:rPr>
        <w:t xml:space="preserve">Covers the C-permit transition, the mid-year switch, and the specific fields in ZHprivateTax where previously deducted Quellensteuer is entered as a credit. Also addresses the common confusion about whether to declare only the post-transition period (answer: no, declare the full year).</w:t>
      </w:r>
    </w:p>
    <w:p>
      <w:pPr>
        <w:pStyle w:val="Heading2"/>
      </w:pPr>
      <w:r>
        <w:rPr>
          <w:rFonts w:ascii="Arial" w:cs="Arial" w:eastAsia="Arial" w:hAnsi="Arial"/>
        </w:rPr>
        <w:t xml:space="preserve">5.4 Separation with Children</w:t>
      </w:r>
    </w:p>
    <w:p>
      <w:pPr>
        <w:pStyle w:val="ListParagraph"/>
        <w:numPr>
          <w:ilvl w:val="0"/>
          <w:numId w:val="2"/>
        </w:numPr>
      </w:pPr>
      <w:r>
        <w:rPr>
          <w:rFonts w:ascii="Arial" w:cs="Arial" w:eastAsia="Arial" w:hAnsi="Arial"/>
          <w:sz w:val="20"/>
          <w:szCs w:val="20"/>
        </w:rPr>
        <w:t xml:space="preserve">For separated parents: determine which parent claims the Kinderabzug (only one parent can).</w:t>
      </w:r>
    </w:p>
    <w:p>
      <w:pPr>
        <w:pStyle w:val="ListParagraph"/>
        <w:numPr>
          <w:ilvl w:val="0"/>
          <w:numId w:val="2"/>
        </w:numPr>
      </w:pPr>
      <w:r>
        <w:rPr>
          <w:rFonts w:ascii="Arial" w:cs="Arial" w:eastAsia="Arial" w:hAnsi="Arial"/>
          <w:sz w:val="20"/>
          <w:szCs w:val="20"/>
        </w:rPr>
        <w:t xml:space="preserve">Ask about custody arrangements and who the children live with primarily.</w:t>
      </w:r>
    </w:p>
    <w:p>
      <w:pPr>
        <w:pStyle w:val="ListParagraph"/>
        <w:numPr>
          <w:ilvl w:val="0"/>
          <w:numId w:val="2"/>
        </w:numPr>
      </w:pPr>
      <w:r>
        <w:rPr>
          <w:rFonts w:ascii="Arial" w:cs="Arial" w:eastAsia="Arial" w:hAnsi="Arial"/>
          <w:sz w:val="20"/>
          <w:szCs w:val="20"/>
        </w:rPr>
        <w:t xml:space="preserve">Unterhaltsbeiträge received are taxable income; paid are deductible.</w:t>
      </w:r>
    </w:p>
    <w:p>
      <w:r>
        <w:br w:type="page"/>
      </w:r>
    </w:p>
    <w:p>
      <w:pPr>
        <w:pStyle w:val="Heading1"/>
      </w:pPr>
      <w:r>
        <w:rPr>
          <w:rFonts w:ascii="Arial" w:cs="Arial" w:eastAsia="Arial" w:hAnsi="Arial"/>
        </w:rPr>
        <w:t xml:space="preserve">6. Document Processing Rules</w:t>
      </w:r>
    </w:p>
    <w:p>
      <w:pPr>
        <w:pStyle w:val="Heading2"/>
      </w:pPr>
      <w:r>
        <w:rPr>
          <w:rFonts w:ascii="Arial" w:cs="Arial" w:eastAsia="Arial" w:hAnsi="Arial"/>
        </w:rPr>
        <w:t xml:space="preserve">6.1 Document Hierarchy</w:t>
      </w:r>
    </w:p>
    <w:p>
      <w:pPr>
        <w:pStyle w:val="ListParagraph"/>
        <w:numPr>
          <w:ilvl w:val="0"/>
          <w:numId w:val="2"/>
        </w:numPr>
      </w:pPr>
      <w:r>
        <w:rPr>
          <w:rFonts w:ascii="Arial" w:cs="Arial" w:eastAsia="Arial" w:hAnsi="Arial"/>
          <w:sz w:val="20"/>
          <w:szCs w:val="20"/>
        </w:rPr>
        <w:t xml:space="preserve">Lohnausweis is the authoritative source for employment income. It overrides employment contracts or payslips.</w:t>
      </w:r>
    </w:p>
    <w:p>
      <w:pPr>
        <w:pStyle w:val="ListParagraph"/>
        <w:numPr>
          <w:ilvl w:val="0"/>
          <w:numId w:val="2"/>
        </w:numPr>
      </w:pPr>
      <w:r>
        <w:rPr>
          <w:rFonts w:ascii="Arial" w:cs="Arial" w:eastAsia="Arial" w:hAnsi="Arial"/>
          <w:sz w:val="20"/>
          <w:szCs w:val="20"/>
        </w:rPr>
        <w:t xml:space="preserve">Official Gemeinde assessments are authoritative for property values.</w:t>
      </w:r>
    </w:p>
    <w:p>
      <w:pPr>
        <w:pStyle w:val="ListParagraph"/>
        <w:numPr>
          <w:ilvl w:val="0"/>
          <w:numId w:val="2"/>
        </w:numPr>
      </w:pPr>
      <w:r>
        <w:rPr>
          <w:rFonts w:ascii="Arial" w:cs="Arial" w:eastAsia="Arial" w:hAnsi="Arial"/>
          <w:sz w:val="20"/>
          <w:szCs w:val="20"/>
        </w:rPr>
        <w:t xml:space="preserve">Bank/broker statements are authoritative for investment values.</w:t>
      </w:r>
    </w:p>
    <w:p>
      <w:pPr>
        <w:pStyle w:val="Heading2"/>
      </w:pPr>
      <w:r>
        <w:rPr>
          <w:rFonts w:ascii="Arial" w:cs="Arial" w:eastAsia="Arial" w:hAnsi="Arial"/>
        </w:rPr>
        <w:t xml:space="preserve">6.2 Format Handling</w:t>
      </w:r>
    </w:p>
    <w:p>
      <w:pPr>
        <w:pStyle w:val="ListParagraph"/>
        <w:numPr>
          <w:ilvl w:val="0"/>
          <w:numId w:val="2"/>
        </w:numPr>
      </w:pPr>
      <w:r>
        <w:rPr>
          <w:rFonts w:ascii="Arial" w:cs="Arial" w:eastAsia="Arial" w:hAnsi="Arial"/>
          <w:sz w:val="20"/>
          <w:szCs w:val="20"/>
        </w:rPr>
        <w:t xml:space="preserve">CSV bank statements: parse for interest payments, donations, mortgage interest, Pillar 3a contributions, and other tax-relevant transactions. Ignore shopping, rent, and subscription noise.</w:t>
      </w:r>
    </w:p>
    <w:p>
      <w:pPr>
        <w:pStyle w:val="ListParagraph"/>
        <w:numPr>
          <w:ilvl w:val="0"/>
          <w:numId w:val="2"/>
        </w:numPr>
      </w:pPr>
      <w:r>
        <w:rPr>
          <w:rFonts w:ascii="Arial" w:cs="Arial" w:eastAsia="Arial" w:hAnsi="Arial"/>
          <w:sz w:val="20"/>
          <w:szCs w:val="20"/>
        </w:rPr>
        <w:t xml:space="preserve">Scanned images / phone photos: use OCR to extract amounts. If any value is unclear, ask the taxpayer for confirmation. Never guess.</w:t>
      </w:r>
    </w:p>
    <w:p>
      <w:pPr>
        <w:pStyle w:val="ListParagraph"/>
        <w:numPr>
          <w:ilvl w:val="0"/>
          <w:numId w:val="2"/>
        </w:numPr>
      </w:pPr>
      <w:r>
        <w:rPr>
          <w:rFonts w:ascii="Arial" w:cs="Arial" w:eastAsia="Arial" w:hAnsi="Arial"/>
          <w:sz w:val="20"/>
          <w:szCs w:val="20"/>
        </w:rPr>
        <w:t xml:space="preserve">Foreign-language documents: translate and convert currencies using the ESTV official year-end exchange rate.</w:t>
      </w:r>
    </w:p>
    <w:p>
      <w:pPr>
        <w:pStyle w:val="ListParagraph"/>
        <w:numPr>
          <w:ilvl w:val="0"/>
          <w:numId w:val="2"/>
        </w:numPr>
      </w:pPr>
      <w:r>
        <w:rPr>
          <w:rFonts w:ascii="Arial" w:cs="Arial" w:eastAsia="Arial" w:hAnsi="Arial"/>
          <w:sz w:val="20"/>
          <w:szCs w:val="20"/>
        </w:rPr>
        <w:t xml:space="preserve">Messy spreadsheets: parse whatever structure exists. Convert foreign currencies. Flag but do not crash on text mixed with numbers.</w:t>
      </w:r>
    </w:p>
    <w:p>
      <w:pPr>
        <w:pStyle w:val="Heading2"/>
      </w:pPr>
      <w:r>
        <w:rPr>
          <w:rFonts w:ascii="Arial" w:cs="Arial" w:eastAsia="Arial" w:hAnsi="Arial"/>
        </w:rPr>
        <w:t xml:space="preserve">6.3 Handling Ambiguity</w:t>
      </w:r>
    </w:p>
    <w:p>
      <w:pPr>
        <w:pStyle w:val="ListParagraph"/>
        <w:numPr>
          <w:ilvl w:val="0"/>
          <w:numId w:val="2"/>
        </w:numPr>
      </w:pPr>
      <w:r>
        <w:rPr>
          <w:rFonts w:ascii="Arial" w:cs="Arial" w:eastAsia="Arial" w:hAnsi="Arial"/>
          <w:sz w:val="20"/>
          <w:szCs w:val="20"/>
        </w:rPr>
        <w:t xml:space="preserve">If a document is partially illegible, ask the taxpayer to confirm the unclear value. Suggest cross-referencing with credit card or bank statements.</w:t>
      </w:r>
    </w:p>
    <w:p>
      <w:pPr>
        <w:pStyle w:val="ListParagraph"/>
        <w:numPr>
          <w:ilvl w:val="0"/>
          <w:numId w:val="2"/>
        </w:numPr>
      </w:pPr>
      <w:r>
        <w:rPr>
          <w:rFonts w:ascii="Arial" w:cs="Arial" w:eastAsia="Arial" w:hAnsi="Arial"/>
          <w:sz w:val="20"/>
          <w:szCs w:val="20"/>
        </w:rPr>
        <w:t xml:space="preserve">If a document is in an unexpected format, attempt to extract usable data. Flag anomalies.</w:t>
      </w:r>
    </w:p>
    <w:p>
      <w:pPr>
        <w:pStyle w:val="ListParagraph"/>
        <w:numPr>
          <w:ilvl w:val="0"/>
          <w:numId w:val="2"/>
        </w:numPr>
      </w:pPr>
      <w:r>
        <w:rPr>
          <w:rFonts w:ascii="Arial" w:cs="Arial" w:eastAsia="Arial" w:hAnsi="Arial"/>
          <w:sz w:val="20"/>
          <w:szCs w:val="20"/>
        </w:rPr>
        <w:t xml:space="preserve">If critical documents are missing (e.g., Lohnausweis), inform the taxpayer and request the document. Offer to proceed with a draft using approximate values.</w:t>
      </w:r>
    </w:p>
    <w:p>
      <w:r>
        <w:br w:type="page"/>
      </w:r>
    </w:p>
    <w:p>
      <w:pPr>
        <w:pStyle w:val="Heading1"/>
      </w:pPr>
      <w:r>
        <w:rPr>
          <w:rFonts w:ascii="Arial" w:cs="Arial" w:eastAsia="Arial" w:hAnsi="Arial"/>
        </w:rPr>
        <w:t xml:space="preserve">7. Consistency and Cross-Validation Rules</w:t>
      </w:r>
    </w:p>
    <w:p>
      <w:pPr>
        <w:pStyle w:val="ListParagraph"/>
        <w:numPr>
          <w:ilvl w:val="0"/>
          <w:numId w:val="2"/>
        </w:numPr>
      </w:pPr>
      <w:r>
        <w:rPr>
          <w:rFonts w:ascii="Arial" w:cs="Arial" w:eastAsia="Arial" w:hAnsi="Arial"/>
          <w:sz w:val="20"/>
          <w:szCs w:val="20"/>
        </w:rPr>
        <w:t xml:space="preserve">Salary: if the Lohnausweis and employment contract show different amounts, use the Lohnausweis and flag the discrepancy to the taxpayer.</w:t>
      </w:r>
    </w:p>
    <w:p>
      <w:pPr>
        <w:pStyle w:val="ListParagraph"/>
        <w:numPr>
          <w:ilvl w:val="0"/>
          <w:numId w:val="2"/>
        </w:numPr>
      </w:pPr>
      <w:r>
        <w:rPr>
          <w:rFonts w:ascii="Arial" w:cs="Arial" w:eastAsia="Arial" w:hAnsi="Arial"/>
          <w:sz w:val="20"/>
          <w:szCs w:val="20"/>
        </w:rPr>
        <w:t xml:space="preserve">Pillar 3a: if total contributions across providers exceed CHF 7,056, cap at CHF 7,056.</w:t>
      </w:r>
    </w:p>
    <w:p>
      <w:pPr>
        <w:pStyle w:val="ListParagraph"/>
        <w:numPr>
          <w:ilvl w:val="0"/>
          <w:numId w:val="2"/>
        </w:numPr>
      </w:pPr>
      <w:r>
        <w:rPr>
          <w:rFonts w:ascii="Arial" w:cs="Arial" w:eastAsia="Arial" w:hAnsi="Arial"/>
          <w:sz w:val="20"/>
          <w:szCs w:val="20"/>
        </w:rPr>
        <w:t xml:space="preserve">Wealth vs. income plausibility: if declared wealth is disproportionately high relative to income, flag to the taxpayer (may be inheritance, gifts, or long-term savings).</w:t>
      </w:r>
    </w:p>
    <w:p>
      <w:pPr>
        <w:pStyle w:val="ListParagraph"/>
        <w:numPr>
          <w:ilvl w:val="0"/>
          <w:numId w:val="2"/>
        </w:numPr>
      </w:pPr>
      <w:r>
        <w:rPr>
          <w:rFonts w:ascii="Arial" w:cs="Arial" w:eastAsia="Arial" w:hAnsi="Arial"/>
          <w:sz w:val="20"/>
          <w:szCs w:val="20"/>
        </w:rPr>
        <w:t xml:space="preserve">Deductions require corresponding income: professional expense deductions require employment income. If income is zero but deductions are claimed, investigate.</w:t>
      </w:r>
    </w:p>
    <w:p>
      <w:pPr>
        <w:pStyle w:val="ListParagraph"/>
        <w:numPr>
          <w:ilvl w:val="0"/>
          <w:numId w:val="2"/>
        </w:numPr>
      </w:pPr>
      <w:r>
        <w:rPr>
          <w:rFonts w:ascii="Arial" w:cs="Arial" w:eastAsia="Arial" w:hAnsi="Arial"/>
          <w:sz w:val="20"/>
          <w:szCs w:val="20"/>
        </w:rPr>
        <w:t xml:space="preserve">Securities register: if dividend income is declared, the Wertschriftenverzeichnis must be populated. If empty, flag the inconsistency.</w:t>
      </w:r>
    </w:p>
    <w:p>
      <w:pPr>
        <w:pStyle w:val="ListParagraph"/>
        <w:numPr>
          <w:ilvl w:val="0"/>
          <w:numId w:val="2"/>
        </w:numPr>
      </w:pPr>
      <w:r>
        <w:rPr>
          <w:rFonts w:ascii="Arial" w:cs="Arial" w:eastAsia="Arial" w:hAnsi="Arial"/>
          <w:sz w:val="20"/>
          <w:szCs w:val="20"/>
        </w:rPr>
        <w:t xml:space="preserve">Alimony math: verify that actual payments received/paid match the divorce decree amounts. Flag discrepancies.</w:t>
      </w:r>
    </w:p>
    <w:p>
      <w:r>
        <w:br w:type="page"/>
      </w:r>
    </w:p>
    <w:p>
      <w:pPr>
        <w:pStyle w:val="Heading1"/>
      </w:pPr>
      <w:r>
        <w:rPr>
          <w:rFonts w:ascii="Arial" w:cs="Arial" w:eastAsia="Arial" w:hAnsi="Arial"/>
        </w:rPr>
        <w:t xml:space="preserve">8. Currency Conversion</w:t>
      </w:r>
    </w:p>
    <w:p>
      <w:pPr>
        <w:spacing w:after="120"/>
      </w:pPr>
      <w:r>
        <w:rPr>
          <w:rFonts w:ascii="Arial" w:cs="Arial" w:eastAsia="Arial" w:hAnsi="Arial"/>
          <w:sz w:val="20"/>
          <w:szCs w:val="20"/>
        </w:rPr>
        <w:t xml:space="preserve">All foreign-currency amounts must be converted to CHF using the official ESTV year-end exchange rates.</w:t>
      </w:r>
    </w:p>
    <w:p>
      <w:pPr>
        <w:spacing w:after="120"/>
      </w:pPr>
      <w:r>
        <w:rPr>
          <w:rFonts w:ascii="Arial" w:cs="Arial" w:eastAsia="Arial" w:hAnsi="Arial"/>
          <w:sz w:val="20"/>
          <w:szCs w:val="20"/>
        </w:rPr>
        <w:t xml:space="preserve">The agent should search for the current year’s official rates when processing foreign documents.</w:t>
      </w:r>
    </w:p>
    <w:p>
      <w:pPr>
        <w:spacing w:after="120"/>
      </w:pPr>
      <w:r>
        <w:rPr>
          <w:rFonts w:ascii="Arial" w:cs="Arial" w:eastAsia="Arial" w:hAnsi="Arial"/>
          <w:sz w:val="20"/>
          <w:szCs w:val="20"/>
        </w:rPr>
        <w:t xml:space="preserve">Common currencies: USD, EUR, GBP, JPY. The ESTV publishes these annually.</w:t>
      </w:r>
    </w:p>
    <w:p>
      <w:r>
        <w:br w:type="page"/>
      </w:r>
    </w:p>
    <w:p>
      <w:pPr>
        <w:pStyle w:val="Heading1"/>
      </w:pPr>
      <w:r>
        <w:rPr>
          <w:rFonts w:ascii="Arial" w:cs="Arial" w:eastAsia="Arial" w:hAnsi="Arial"/>
        </w:rPr>
        <w:t xml:space="preserve">Appendix A: Blog &amp; Practitioner Resource Index</w:t>
      </w:r>
    </w:p>
    <w:p>
      <w:pPr>
        <w:spacing w:after="120"/>
      </w:pPr>
      <w:r>
        <w:rPr>
          <w:rFonts w:ascii="Arial" w:cs="Arial" w:eastAsia="Arial" w:hAnsi="Arial"/>
          <w:i/>
          <w:iCs/>
          <w:color w:val="555555"/>
          <w:sz w:val="20"/>
          <w:szCs w:val="20"/>
        </w:rPr>
        <w:t xml:space="preserve">The following blog posts and practitioner guides provide practical guidance that supplements the formal policies above. These resources often contain tips, edge cases, and worked examples that are not found in official policy documentation. The agent should consult these when encountering non-standard situations.</w:t>
      </w:r>
    </w:p>
    <w:p>
      <w:pPr>
        <w:spacing w:before="20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86"/>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Blog URL</w:t>
            </w:r>
          </w:p>
        </w:tc>
        <w:tc>
          <w:tcPr>
            <w:tcW w:type="dxa" w:w="298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Freelance taxation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blog.taxinfo-zh.ch/freelance-nebenberuf-steuern</w:t>
            </w:r>
          </w:p>
        </w:tc>
        <w:tc>
          <w:tcPr>
            <w:tcW w:type="dxa" w:w="29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CHF 2,300 AHV threshold; documentation standards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Retirement capital vs. pension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blog.taxinfo-zh.ch/pensionierung-kapital-rente</w:t>
            </w:r>
          </w:p>
        </w:tc>
        <w:tc>
          <w:tcPr>
            <w:tcW w:type="dxa" w:w="29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Kapitalbezüge go on separate form, not ordinary income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Verrechnungssteuer refund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blog.taxinfo-zh.ch/verrechnungssteuer-rueckerstattung</w:t>
            </w:r>
          </w:p>
        </w:tc>
        <w:tc>
          <w:tcPr>
            <w:tcW w:type="dxa" w:w="29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Step-by-step refund process; commonly missed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Divorce and alimony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blog.taxinfo-zh.ch/scheidung-unterhalt-steuern</w:t>
            </w:r>
          </w:p>
        </w:tc>
        <w:tc>
          <w:tcPr>
            <w:tcW w:type="dxa" w:w="29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Spousal support taxable; child support not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Velo-Pauschale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blog.taxinfo-zh.ch/velo-pauschale-fahrkosten</w:t>
            </w:r>
          </w:p>
        </w:tc>
        <w:tc>
          <w:tcPr>
            <w:tcW w:type="dxa" w:w="29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Claimable without owning a bicycle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Home office optimization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blog.taxinfo-zh.ch/homeoffice-fahrkosten-optimierung</w:t>
            </w:r>
          </w:p>
        </w:tc>
        <w:tc>
          <w:tcPr>
            <w:tcW w:type="dxa" w:w="29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Trade-off calculation with commuting deduction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Childcare cap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blog.taxinfo-zh.ch/kinderbetreuung-abzug-maximum</w:t>
            </w:r>
          </w:p>
        </w:tc>
        <w:tc>
          <w:tcPr>
            <w:tcW w:type="dxa" w:w="29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Zurich caps at CHF 10,100; full bill not deductible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Crypto taxation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blog.taxinfo-zh.ch/krypto-steuern-privat-professionell</w:t>
            </w:r>
          </w:p>
        </w:tc>
        <w:tc>
          <w:tcPr>
            <w:tcW w:type="dxa" w:w="29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Five criteria for private vs. professional trading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Quellensteuer transition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blog.taxinfo-zh.ch/quellensteuer-wechsel-ordentlich</w:t>
            </w:r>
          </w:p>
        </w:tc>
        <w:tc>
          <w:tcPr>
            <w:tcW w:type="dxa" w:w="29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Full-year declaration; prior tax as credit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Medical expense threshold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blog.taxinfo-zh.ch/krankheitskosten-schwelle-5-prozent</w:t>
            </w:r>
          </w:p>
        </w:tc>
        <w:tc>
          <w:tcPr>
            <w:tcW w:type="dxa" w:w="29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Only excess above 5% of net income is deductible</w:t>
            </w:r>
          </w:p>
        </w:tc>
      </w:tr>
    </w:tbl>
    <w:p>
      <w:pPr>
        <w:spacing w:before="300"/>
      </w:pPr>
    </w:p>
    <w:p>
      <w:pPr>
        <w:spacing w:after="120"/>
      </w:pPr>
      <w:r>
        <w:rPr>
          <w:rFonts w:ascii="Arial" w:cs="Arial" w:eastAsia="Arial" w:hAnsi="Arial"/>
          <w:i/>
          <w:iCs/>
          <w:color w:val="555555"/>
          <w:sz w:val="20"/>
          <w:szCs w:val="20"/>
        </w:rPr>
        <w:t xml:space="preserve">Note: Blog URLs are dummy references for the knowledge base. In a production system, these would link to actual hosted blog content or be replaced with a web search capability.</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CONFIDENTIAL — For AI Agent Use Only — v1.0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AgenTekki — Tax Policy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2026-03-14T16:34:08.181Z</dcterms:created>
  <dcterms:modified xsi:type="dcterms:W3CDTF">2026-03-14T16:34:08.182Z</dcterms:modified>
</cp:coreProperties>
</file>

<file path=docProps/custom.xml><?xml version="1.0" encoding="utf-8"?>
<Properties xmlns="http://schemas.openxmlformats.org/officeDocument/2006/custom-properties" xmlns:vt="http://schemas.openxmlformats.org/officeDocument/2006/docPropsVTypes"/>
</file>