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5496"/>
          <w:sz w:val="32"/>
          <w:szCs w:val="32"/>
        </w:rPr>
        <w:t xml:space="preserve">Ethan Sukhyun Hong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San Mateo, CA (Bay Area)  |  (424) 384-8445  |  sukhyun9673@gmail.com</w:t>
      </w:r>
    </w:p>
    <w:p>
      <w:pPr>
        <w:spacing w:after="40"/>
        <w:jc w:val="center"/>
      </w:pPr>
      <w:hyperlink w:history="1" r:id="rIdju6pksm_bwz1pcdiyio0b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linkedin.com/in/sukhyun-hong-ethan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qkltwfgqma4l4yhkfxgko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github.com/ethHong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 MANAGER  —  CONVERSATIONAL AI / AI AGENTS</w:t>
      </w:r>
    </w:p>
    <w:p>
      <w:pPr>
        <w:pBdr>
          <w:bottom w:val="single" w:color="2F5496" w:sz="6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2F5496"/>
          <w:sz w:val="20"/>
          <w:szCs w:val="20"/>
        </w:rPr>
        <w:t xml:space="preserve">SUMMARY</w:t>
      </w:r>
    </w:p>
    <w:p>
      <w:pPr>
        <w:spacing w:after="40" w:line="240"/>
      </w:pPr>
      <w:r>
        <w:rPr>
          <w:rFonts w:ascii="Calibri" w:cs="Calibri" w:eastAsia="Calibri" w:hAnsi="Calibri"/>
          <w:sz w:val="20"/>
          <w:szCs w:val="20"/>
        </w:rPr>
        <w:t xml:space="preserve">AI Product Manager with 6+ years across product management, data science, and analytics, currently building Sendbird's customer-support AI agent product (Delight.ai) from 0→1 — generative conversational AI resolving 80–90% of support conversations end-to-end, on par with human agents. Shipped production speech-to-speech LLM experiences, multi-agent orchestration across support channels, and pricing for enterprise SaaS. Deep hands-on background in Generative AI / LLM workflows, A/B testing, experimentation, and taking technical products from conception to launch.</w:t>
      </w:r>
    </w:p>
    <w:p>
      <w:pPr>
        <w:pBdr>
          <w:bottom w:val="single" w:color="2F5496" w:sz="6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2F5496"/>
          <w:sz w:val="20"/>
          <w:szCs w:val="20"/>
        </w:rPr>
        <w:t xml:space="preserve">PROFESSIONAL EXPERIENCE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SENDBIRD — Delight.ai</w:t>
      </w:r>
      <w:r>
        <w:rPr>
          <w:rFonts w:ascii="Calibri" w:cs="Calibri" w:eastAsia="Calibri" w:hAnsi="Calibri"/>
          <w:sz w:val="20"/>
          <w:szCs w:val="20"/>
        </w:rPr>
        <w:t xml:space="preserve">	San Mateo, CA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Product Manager, Voice AI Agents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Mar 2026 – Present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Own Sendbird's conversational AI agent product for customer support end-to-end as the sole voice PM, partnering with 8 engineers; built the product and team capabilities from scratch to 5 live enterprise customers with 4 active prospects in pipeline.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Sustained 80–90% AI resolution rates — on par with human support agents — while scaling toward deployments of ~9M support calls per year across Korea and Japan (4,000–5,000 concurrent calls); gated every release on a 100%-pass automated conversation-QA suite.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Drove production adoption of speech-to-speech (audio-to-audio) LLMs, cutting end-to-end voice response latency ~50% (4s → 2s, end of user utterance to agent speech) to make automated support conversations natural and human-like.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Closed competitive gaps in conversational naturalness by leading a hackathon that reduced interruption-pause latency 3s → 1s and shipped semantic interruption detection.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Protected two six-figure pipeline deals from a higher-quality competitor: ran demo-based user research across the support journey showing buyers prioritize human-like, low-latency conversation over raw accuracy, then introduced a new model and multi-stack architecture in response.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Led Steward, a multi-party agent orchestration capability (context-passing sub-agents usable as tools across support channels) surfaced from B2B customer discovery and announced publicly at conference; won proof-of-value engagement for a seven-figure deal.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Shipped a new pricing plan informed by unit-cost and usage analysis, improving price margin ~30%.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 CLIPPERS</w:t>
      </w:r>
      <w:r>
        <w:rPr>
          <w:rFonts w:ascii="Calibri" w:cs="Calibri" w:eastAsia="Calibri" w:hAnsi="Calibri"/>
          <w:sz w:val="20"/>
          <w:szCs w:val="20"/>
        </w:rPr>
        <w:t xml:space="preserve">	Los Angeles, CA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Business Insights Analyst (Graduate Internship)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Jun 2025 – Dec 2025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Identified a customer segment with ~20% higher purchase conversion through purchase-prediction and causal-inference modeling in Python, SQL, and PySpark.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Recommended operations strategy improving retail throughput ~15% using IoT log data analytics.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MATCH GROUP — Hyperconnect</w:t>
      </w:r>
      <w:r>
        <w:rPr>
          <w:rFonts w:ascii="Calibri" w:cs="Calibri" w:eastAsia="Calibri" w:hAnsi="Calibri"/>
          <w:sz w:val="20"/>
          <w:szCs w:val="20"/>
        </w:rPr>
        <w:t xml:space="preserve">	Seoul, South Korea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Product Manager, AI &amp; Trust and Safety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Apr 2022 – Jul 2024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Increased active users ~30% by running A/B tests on UI and recommendation logic across the consumer user journey using Firebase, SQL, and Tableau.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Led a Scrum squad to ~20% engagement growth; owned KPIs and roadmap in Jira and Confluence.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Built Trust and Safety moderation pipelines for live streaming, video, and chat — keeping consumer experiences safe and trusted — reducing downtime ~10%.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Formed a cross-functional new-business task force; defined MVP and UX, and pitched to secure budget for 10+ headcount.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FLITTO</w:t>
      </w:r>
      <w:r>
        <w:rPr>
          <w:rFonts w:ascii="Calibri" w:cs="Calibri" w:eastAsia="Calibri" w:hAnsi="Calibri"/>
          <w:sz w:val="20"/>
          <w:szCs w:val="20"/>
        </w:rPr>
        <w:t xml:space="preserve">	Seoul, South Korea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Oct 2021 – Apr 2022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Halved data-delivery lead time (~50%) by building an internal text-annotation product with Python and NLP APIs.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Delivered a $350K B2B solution on time by standardizing PRDs, UX, and Agile rituals across Jira, Confluence, and Figma.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AMAZON WEB SERVICES (AWS)</w:t>
      </w:r>
      <w:r>
        <w:rPr>
          <w:rFonts w:ascii="Calibri" w:cs="Calibri" w:eastAsia="Calibri" w:hAnsi="Calibri"/>
          <w:sz w:val="20"/>
          <w:szCs w:val="20"/>
        </w:rPr>
        <w:t xml:space="preserve">	Seoul, South Korea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Data Analyst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Jul 2019 – Jan 2020</w:t>
      </w:r>
    </w:p>
    <w:p>
      <w:pPr>
        <w:pStyle w:val="ListParagraph"/>
        <w:numPr>
          <w:ilvl w:val="0"/>
          <w:numId w:val="2"/>
        </w:numPr>
        <w:spacing w:after="20" w:line="240"/>
      </w:pPr>
      <w:r>
        <w:rPr>
          <w:rFonts w:ascii="Calibri" w:cs="Calibri" w:eastAsia="Calibri" w:hAnsi="Calibri"/>
          <w:sz w:val="20"/>
          <w:szCs w:val="20"/>
        </w:rPr>
        <w:t xml:space="preserve">Lifted a monthly cloud-usage metric ~15% with a predictive regression model in Python; built evaluation metrics and dashboards for sales and solutions architects.</w:t>
      </w:r>
    </w:p>
    <w:p>
      <w:pPr>
        <w:pBdr>
          <w:bottom w:val="single" w:color="2F5496" w:sz="6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2F5496"/>
          <w:sz w:val="20"/>
          <w:szCs w:val="20"/>
        </w:rPr>
        <w:t xml:space="preserve">EDUCATION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UCLA ANDERSON SCHOOL OF MANAGEMENT</w:t>
      </w:r>
      <w:r>
        <w:rPr>
          <w:rFonts w:ascii="Calibri" w:cs="Calibri" w:eastAsia="Calibri" w:hAnsi="Calibri"/>
          <w:sz w:val="20"/>
          <w:szCs w:val="20"/>
        </w:rPr>
        <w:t xml:space="preserve">	Los Angeles, CA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M.S. in Business Analytics — UCLA Merit Fellowship; Graduate Student Researcher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Dec 2025</w:t>
      </w:r>
    </w:p>
    <w:p>
      <w:pPr>
        <w:tabs>
          <w:tab w:val="right" w:pos="1100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YONSEI UNIVERSITY, UNDERWOOD INTERNATIONAL COLLEGE</w:t>
      </w:r>
      <w:r>
        <w:rPr>
          <w:rFonts w:ascii="Calibri" w:cs="Calibri" w:eastAsia="Calibri" w:hAnsi="Calibri"/>
          <w:sz w:val="20"/>
          <w:szCs w:val="20"/>
        </w:rPr>
        <w:t xml:space="preserve">	Seoul, South Korea</w:t>
      </w:r>
    </w:p>
    <w:p>
      <w:pPr>
        <w:tabs>
          <w:tab w:val="right" w:pos="11000"/>
        </w:tabs>
        <w:spacing w:after="2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B.S. in Creative Technology Management; B.A. in Quantitative Risk Management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	Feb 2022</w:t>
      </w:r>
    </w:p>
    <w:p>
      <w:pPr>
        <w:pBdr>
          <w:bottom w:val="single" w:color="2F5496" w:sz="6" w:space="1"/>
        </w:pBdr>
        <w:spacing w:after="40" w:before="140"/>
      </w:pPr>
      <w:r>
        <w:rPr>
          <w:rFonts w:ascii="Calibri" w:cs="Calibri" w:eastAsia="Calibri" w:hAnsi="Calibri"/>
          <w:b/>
          <w:bCs/>
          <w:color w:val="2F5496"/>
          <w:sz w:val="20"/>
          <w:szCs w:val="20"/>
        </w:rPr>
        <w:t xml:space="preserve">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Management: </w:t>
      </w:r>
      <w:r>
        <w:rPr>
          <w:rFonts w:ascii="Calibri" w:cs="Calibri" w:eastAsia="Calibri" w:hAnsi="Calibri"/>
          <w:sz w:val="20"/>
          <w:szCs w:val="20"/>
        </w:rPr>
        <w:t xml:space="preserve">Product Strategy, Roadmapping, PRDs, A/B Testing, Experimentation, User Journey Optimization, Agile/Scrum, Go-to-Market (GTM), Pricing, Enterprise B2B SaaS, Jira, Confluence, Figma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/ LLM: </w:t>
      </w:r>
      <w:r>
        <w:rPr>
          <w:rFonts w:ascii="Calibri" w:cs="Calibri" w:eastAsia="Calibri" w:hAnsi="Calibri"/>
          <w:sz w:val="20"/>
          <w:szCs w:val="20"/>
        </w:rPr>
        <w:t xml:space="preserve">Conversational AI, Generative AI, Voice AI, Speech-to-Speech Models, LLM Agents, Multi-Agent Orchestration, AI Customer Support, RAG, LangChain, Prompt Engineering, Model Evaluation, Natural Language Processing (NLP), n8n</w:t>
      </w:r>
    </w:p>
    <w:p>
      <w:pPr>
        <w:spacing w:after="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&amp; Programming: </w:t>
      </w:r>
      <w:r>
        <w:rPr>
          <w:rFonts w:ascii="Calibri" w:cs="Calibri" w:eastAsia="Calibri" w:hAnsi="Calibri"/>
          <w:sz w:val="20"/>
          <w:szCs w:val="20"/>
        </w:rPr>
        <w:t xml:space="preserve">Python (Pandas, PySpark, Scikit-Learn), SQL, Tableau, Power BI, Snowflake, PostgreSQL, AWS, ETL, Firebase</w:t>
      </w:r>
    </w:p>
    <w:sectPr>
      <w:pgSz w:w="12240" w:h="15840" w:orient="portrait"/>
      <w:pgMar w:top="56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u6pksm_bwz1pcdiyio0b" Type="http://schemas.openxmlformats.org/officeDocument/2006/relationships/hyperlink" Target="https://linkedin.com/in/sukhyun-hong-ethan" TargetMode="External"/><Relationship Id="rIdqkltwfgqma4l4yhkfxgko" Type="http://schemas.openxmlformats.org/officeDocument/2006/relationships/hyperlink" Target="https://github.com/ethHong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2026-07-25T19:09:18.710Z</dcterms:created>
  <dcterms:modified xsi:type="dcterms:W3CDTF">2026-07-25T19:09:18.712Z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