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成本数据看板产品需求与设计方案</w:t>
      </w:r>
    </w:p>
    <w:p>
      <w:r>
        <w:t>版本 V3.0　日期 2026-10-16　适用对象 经营负责人 CEO 老板</w:t>
      </w:r>
    </w:p>
    <w:p>
      <w:r>
        <w:t>本版将成本看板定位为经营管理工具。使用者先了解费用规模与变化，再找到主要城市、费用类别和支出对象，最后追溯原单据。设计结合 Microsoft Power BI、Dynamics 365、SAP Concur、合思 BI 的官方分析模式，以及本系统当前已有的成本、报销和销售数据。业务继续在原模块录入，看板读取并计算。</w:t>
      </w:r>
    </w:p>
    <w:p>
      <w:pPr>
        <w:pStyle w:val="Heading1"/>
        <w:pageBreakBefore w:val="0"/>
      </w:pPr>
      <w:r>
        <w:t>01 面向管理层的设计目标</w:t>
      </w:r>
    </w:p>
    <w:p>
      <w:r>
        <w:t>主使用者已明确为经营负责人、CEO 和老板。首页服务于经营例会和日常查看，财务处理、来源诊断和录入不占据首页主要位置。金额大小只表示支出规模，不能直接推导费用合理性、城市经营好坏或可节约金额。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98"/>
        <w:gridCol w:w="3458"/>
        <w:gridCol w:w="4309"/>
      </w:tblGrid>
      <w:tr>
        <w:trPr>
          <w:cantSplit/>
          <w:tblHeader/>
        </w:trPr>
        <w:tc>
          <w:tcPr>
            <w:tcW w:type="dxa" w:w="2098"/>
            <w:shd w:fill="E8EE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8"/>
              </w:rPr>
              <w:t>管理层问题</w:t>
            </w:r>
          </w:p>
        </w:tc>
        <w:tc>
          <w:tcPr>
            <w:tcW w:type="dxa" w:w="3458"/>
            <w:shd w:fill="E8EE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8"/>
              </w:rPr>
              <w:t>本版回答方式</w:t>
            </w:r>
          </w:p>
        </w:tc>
        <w:tc>
          <w:tcPr>
            <w:tcW w:type="dxa" w:w="4309"/>
            <w:shd w:fill="E8EE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8"/>
              </w:rPr>
              <w:t>下一步动作</w:t>
            </w:r>
          </w:p>
        </w:tc>
      </w:tr>
      <w:tr>
        <w:trPr>
          <w:cantSplit/>
        </w:trPr>
        <w:tc>
          <w:tcPr>
            <w:tcW w:type="dxa" w:w="2098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费用规模有多大</w:t>
            </w:r>
          </w:p>
        </w:tc>
        <w:tc>
          <w:tcPr>
            <w:tcW w:type="dxa" w:w="3458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经营费用 商品采购 商品损耗分开显示</w:t>
            </w:r>
          </w:p>
        </w:tc>
        <w:tc>
          <w:tcPr>
            <w:tcW w:type="dxa" w:w="4309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切换所需范围，下面全部分析同步变化</w:t>
            </w:r>
          </w:p>
        </w:tc>
      </w:tr>
      <w:tr>
        <w:trPr>
          <w:cantSplit/>
        </w:trPr>
        <w:tc>
          <w:tcPr>
            <w:tcW w:type="dxa" w:w="209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与上期相比发生什么变化</w:t>
            </w:r>
          </w:p>
        </w:tc>
        <w:tc>
          <w:tcPr>
            <w:tcW w:type="dxa" w:w="345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同期对比、变化金额与瀑布拆解</w:t>
            </w:r>
          </w:p>
        </w:tc>
        <w:tc>
          <w:tcPr>
            <w:tcW w:type="dxa" w:w="430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查看增减最大的类别或城市</w:t>
            </w:r>
          </w:p>
        </w:tc>
      </w:tr>
      <w:tr>
        <w:trPr>
          <w:cantSplit/>
        </w:trPr>
        <w:tc>
          <w:tcPr>
            <w:tcW w:type="dxa" w:w="2098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钱集中花在哪里</w:t>
            </w:r>
          </w:p>
        </w:tc>
        <w:tc>
          <w:tcPr>
            <w:tcW w:type="dxa" w:w="3458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类别金额、占比及前若干项集中度</w:t>
            </w:r>
          </w:p>
        </w:tc>
        <w:tc>
          <w:tcPr>
            <w:tcW w:type="dxa" w:w="4309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类别到城市，再到原单据</w:t>
            </w:r>
          </w:p>
        </w:tc>
      </w:tr>
      <w:tr>
        <w:trPr>
          <w:cantSplit/>
        </w:trPr>
        <w:tc>
          <w:tcPr>
            <w:tcW w:type="dxa" w:w="209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哪些城市值得进一步看</w:t>
            </w:r>
          </w:p>
        </w:tc>
        <w:tc>
          <w:tcPr>
            <w:tcW w:type="dxa" w:w="345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城市和费用交叉矩阵、同尺度对比</w:t>
            </w:r>
          </w:p>
        </w:tc>
        <w:tc>
          <w:tcPr>
            <w:tcW w:type="dxa" w:w="430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查看某城某项费用及其支出记录</w:t>
            </w:r>
          </w:p>
        </w:tc>
      </w:tr>
      <w:tr>
        <w:trPr>
          <w:cantSplit/>
        </w:trPr>
        <w:tc>
          <w:tcPr>
            <w:tcW w:type="dxa" w:w="2098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城市规模差异如何理解</w:t>
            </w:r>
          </w:p>
        </w:tc>
        <w:tc>
          <w:tcPr>
            <w:tcW w:type="dxa" w:w="3458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已登记费用与同期交易额参照</w:t>
            </w:r>
          </w:p>
        </w:tc>
        <w:tc>
          <w:tcPr>
            <w:tcW w:type="dxa" w:w="4309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回看费用集合及销售数据范围</w:t>
            </w:r>
          </w:p>
        </w:tc>
      </w:tr>
      <w:tr>
        <w:trPr>
          <w:cantSplit/>
        </w:trPr>
        <w:tc>
          <w:tcPr>
            <w:tcW w:type="dxa" w:w="209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具体花在什么事项上</w:t>
            </w:r>
          </w:p>
        </w:tc>
        <w:tc>
          <w:tcPr>
            <w:tcW w:type="dxa" w:w="345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七类成本专题中的对象排行</w:t>
            </w:r>
          </w:p>
        </w:tc>
        <w:tc>
          <w:tcPr>
            <w:tcW w:type="dxa" w:w="430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查看承运方 场地 渠道 供应商 员工等</w:t>
            </w:r>
          </w:p>
        </w:tc>
      </w:tr>
    </w:tbl>
    <w:p>
      <w:pPr>
        <w:spacing w:after="20"/>
      </w:pPr>
    </w:p>
    <w:p>
      <w:r>
        <w:t>设计判断：V2 完成了基本金额与占比展示，但对管理层而言，缺少清晰的变化解释、城市与类别交叉分析，以及现有业务对象的进一步拆解。V3 调整信息层级与分析路径，保留现有双层导航、深色看板、蓝绿配色和期间筛选习惯。</w:t>
      </w:r>
    </w:p>
    <w:p>
      <w:r>
        <w:t>范围包括新版需求、原型和实现方案。正式入口继续使用数据看板中的成本入口，保留 /supply-chain/bi/city-cost 与 supply.bi.city-cost。V1 和 V2 保留作历史参考，后续展示设计以本版为准。</w:t>
      </w:r>
    </w:p>
    <w:p>
      <w:pPr>
        <w:pStyle w:val="Heading1"/>
        <w:pageBreakBefore/>
      </w:pPr>
      <w:r>
        <w:t>02 成熟产品参考与取舍</w:t>
      </w:r>
    </w:p>
    <w:p>
      <w:r>
        <w:t>调研日期为 2026-10-16。以下为官方文档明确描述的功能模式，非产品排名、市场份额或购买建议；未登录厂商付费系统做实际采购评测。借鉴分析逻辑，视觉继续遵循本系统。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98"/>
        <w:gridCol w:w="3458"/>
        <w:gridCol w:w="4309"/>
      </w:tblGrid>
      <w:tr>
        <w:trPr>
          <w:cantSplit/>
          <w:tblHeader/>
        </w:trPr>
        <w:tc>
          <w:tcPr>
            <w:tcW w:type="dxa" w:w="2098"/>
            <w:shd w:fill="E8EE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8"/>
              </w:rPr>
              <w:t>官方参考</w:t>
            </w:r>
          </w:p>
        </w:tc>
        <w:tc>
          <w:tcPr>
            <w:tcW w:type="dxa" w:w="3458"/>
            <w:shd w:fill="E8EE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8"/>
              </w:rPr>
              <w:t>已核实的分析模式</w:t>
            </w:r>
          </w:p>
        </w:tc>
        <w:tc>
          <w:tcPr>
            <w:tcW w:type="dxa" w:w="4309"/>
            <w:shd w:fill="E8EE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8"/>
              </w:rPr>
              <w:t>本系统采用及限制</w:t>
            </w:r>
          </w:p>
        </w:tc>
      </w:tr>
      <w:tr>
        <w:trPr>
          <w:cantSplit/>
        </w:trPr>
        <w:tc>
          <w:tcPr>
            <w:tcW w:type="dxa" w:w="2098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Microsoft Power BI Procurement Analysis</w:t>
            </w:r>
          </w:p>
        </w:tc>
        <w:tc>
          <w:tcPr>
            <w:tcW w:type="dxa" w:w="3458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费用按类别、地点、供应商层级展开；选择地区后联动类别并进一步钻取</w:t>
            </w:r>
          </w:p>
        </w:tc>
        <w:tc>
          <w:tcPr>
            <w:tcW w:type="dxa" w:w="4309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采用城市 类别 单据联动；没有折扣事实，不复制折扣分析</w:t>
            </w:r>
          </w:p>
        </w:tc>
      </w:tr>
      <w:tr>
        <w:trPr>
          <w:cantSplit/>
        </w:trPr>
        <w:tc>
          <w:tcPr>
            <w:tcW w:type="dxa" w:w="209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Dynamics 365 Purchase spend analysis</w:t>
            </w:r>
          </w:p>
        </w:tc>
        <w:tc>
          <w:tcPr>
            <w:tcW w:type="dxa" w:w="345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供应商 商品 期间 地区分主题；期间变化瀑布图；采购集中度</w:t>
            </w:r>
          </w:p>
        </w:tc>
        <w:tc>
          <w:tcPr>
            <w:tcW w:type="dxa" w:w="430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采用成本专题、增减桥接和集中度；采购金额使用本系统成本台账，不能换成订单额</w:t>
            </w:r>
          </w:p>
        </w:tc>
      </w:tr>
      <w:tr>
        <w:trPr>
          <w:cantSplit/>
        </w:trPr>
        <w:tc>
          <w:tcPr>
            <w:tcW w:type="dxa" w:w="2098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SAP Concur Analytics</w:t>
            </w:r>
          </w:p>
        </w:tc>
        <w:tc>
          <w:tcPr>
            <w:tcW w:type="dxa" w:w="3458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总览比较期间费用，费用分析查主要类型，报表供明细筛选与导出；权限决定可见范围</w:t>
            </w:r>
          </w:p>
        </w:tc>
        <w:tc>
          <w:tcPr>
            <w:tcW w:type="dxa" w:w="4309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采用总览到专题到单据的层次；不复制缺少数据的审批积压、发票账龄或政策违规指标</w:t>
            </w:r>
          </w:p>
        </w:tc>
      </w:tr>
      <w:tr>
        <w:trPr>
          <w:cantSplit/>
        </w:trPr>
        <w:tc>
          <w:tcPr>
            <w:tcW w:type="dxa" w:w="209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合思 BI</w:t>
            </w:r>
          </w:p>
        </w:tc>
        <w:tc>
          <w:tcPr>
            <w:tcW w:type="dxa" w:w="345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按公司 部门 费用类型 时间分析费用；支持图表钻取和联动</w:t>
            </w:r>
          </w:p>
        </w:tc>
        <w:tc>
          <w:tcPr>
            <w:tcW w:type="dxa" w:w="430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采用多维分析及报销部门维度；不将多来源接入、预算和全链路审批照搬进本期</w:t>
            </w:r>
          </w:p>
        </w:tc>
      </w:tr>
    </w:tbl>
    <w:p>
      <w:pPr>
        <w:spacing w:after="20"/>
      </w:pPr>
    </w:p>
    <w:p>
      <w:r>
        <w:t>本版落地的不是“大屏图表集合”，而是明确的分析路径：发现规模与变化 → 定位类别和城市 → 定位业务对象 → 查看单据。每个视图应能支持一个具体问题，重复的排行榜和金额表不占据首页。</w:t>
      </w:r>
    </w:p>
    <w:p>
      <w:r>
        <w:t>官方来源：</w:t>
      </w:r>
    </w:p>
    <w:p>
      <w:r/>
      <w:hyperlink r:id="rId10">
        <w:r>
          <w:rPr>
            <w:color w:val="31689A"/>
          </w:rPr>
          <w:t>Microsoft Power BI 采购分析示例</w:t>
        </w:r>
      </w:hyperlink>
      <w:r/>
    </w:p>
    <w:p>
      <w:r/>
      <w:hyperlink r:id="rId11">
        <w:r>
          <w:rPr>
            <w:color w:val="31689A"/>
          </w:rPr>
          <w:t>Dynamics 365 采购支出分析</w:t>
        </w:r>
      </w:hyperlink>
      <w:r/>
    </w:p>
    <w:p>
      <w:r/>
      <w:hyperlink r:id="rId12">
        <w:r>
          <w:rPr>
            <w:color w:val="31689A"/>
          </w:rPr>
          <w:t>SAP Concur Analytics 官方使用说明</w:t>
        </w:r>
      </w:hyperlink>
      <w:r/>
    </w:p>
    <w:p>
      <w:r/>
      <w:hyperlink r:id="rId13">
        <w:r>
          <w:rPr>
            <w:color w:val="31689A"/>
          </w:rPr>
          <w:t>合思 BI 官方产品说明</w:t>
        </w:r>
      </w:hyperlink>
      <w:r/>
    </w:p>
    <w:p>
      <w:pPr>
        <w:pStyle w:val="Heading1"/>
        <w:pageBreakBefore/>
      </w:pPr>
      <w:r>
        <w:t>03 当前系统能够提供的数据</w:t>
      </w:r>
    </w:p>
    <w:p>
      <w:r>
        <w:t>下表依据当前源码字段核实，表示数据模型和功能具备相应能力，不等于所有真实记录都已经填全，也不等于 BI 成本接口已经完成接入。缺失字段保留未记录分组，不能丢掉对应金额。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98"/>
        <w:gridCol w:w="3458"/>
        <w:gridCol w:w="4309"/>
      </w:tblGrid>
      <w:tr>
        <w:trPr>
          <w:cantSplit/>
          <w:tblHeader/>
        </w:trPr>
        <w:tc>
          <w:tcPr>
            <w:tcW w:type="dxa" w:w="2098"/>
            <w:shd w:fill="E8EE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8"/>
              </w:rPr>
              <w:t>已有模块与来源</w:t>
            </w:r>
          </w:p>
        </w:tc>
        <w:tc>
          <w:tcPr>
            <w:tcW w:type="dxa" w:w="3458"/>
            <w:shd w:fill="E8EE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8"/>
              </w:rPr>
              <w:t>已有事实或字段</w:t>
            </w:r>
          </w:p>
        </w:tc>
        <w:tc>
          <w:tcPr>
            <w:tcW w:type="dxa" w:w="4309"/>
            <w:shd w:fill="E8EE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8"/>
              </w:rPr>
              <w:t>本版使用</w:t>
            </w:r>
          </w:p>
        </w:tc>
      </w:tr>
      <w:tr>
        <w:trPr>
          <w:cantSplit/>
        </w:trPr>
        <w:tc>
          <w:tcPr>
            <w:tcW w:type="dxa" w:w="2098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ERP 商品采购 erp_cost_entry PURCHASE</w:t>
            </w:r>
          </w:p>
        </w:tc>
        <w:tc>
          <w:tcPr>
            <w:tcW w:type="dxa" w:w="3458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金额 日期 城市 状态；goods.productId variantId supplierId supplierName productName specification unit quantity unitPrice</w:t>
            </w:r>
          </w:p>
        </w:tc>
        <w:tc>
          <w:tcPr>
            <w:tcW w:type="dxa" w:w="4309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采购规模 供应商及商品规格分布 原单追溯</w:t>
            </w:r>
          </w:p>
        </w:tc>
      </w:tr>
      <w:tr>
        <w:trPr>
          <w:cantSplit/>
        </w:trPr>
        <w:tc>
          <w:tcPr>
            <w:tcW w:type="dxa" w:w="209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ERP 商品损耗 同表 LOSS</w:t>
            </w:r>
          </w:p>
        </w:tc>
        <w:tc>
          <w:tcPr>
            <w:tcW w:type="dxa" w:w="345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金额 日期 城市；商品规格 仓库 location lossReason amountReason</w:t>
            </w:r>
          </w:p>
        </w:tc>
        <w:tc>
          <w:tcPr>
            <w:tcW w:type="dxa" w:w="430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损耗金额 商品及原因分布，不推算损耗率</w:t>
            </w:r>
          </w:p>
        </w:tc>
      </w:tr>
      <w:tr>
        <w:trPr>
          <w:cantSplit/>
        </w:trPr>
        <w:tc>
          <w:tcPr>
            <w:tcW w:type="dxa" w:w="2098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ERP 场地 同表 RENTAL</w:t>
            </w:r>
          </w:p>
        </w:tc>
        <w:tc>
          <w:tcPr>
            <w:tcW w:type="dxa" w:w="3458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premises_type；rental.warehouseId premisesName area contractNo leaseFrom leaseTo deposit landlordName</w:t>
            </w:r>
          </w:p>
        </w:tc>
        <w:tc>
          <w:tcPr>
            <w:tcW w:type="dxa" w:w="4309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仓储及办公费用 城市 场地分析，押金单列</w:t>
            </w:r>
          </w:p>
        </w:tc>
      </w:tr>
      <w:tr>
        <w:trPr>
          <w:cantSplit/>
        </w:trPr>
        <w:tc>
          <w:tcPr>
            <w:tcW w:type="dxa" w:w="209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ERP 营销 同表 MARKETING</w:t>
            </w:r>
          </w:p>
        </w:tc>
        <w:tc>
          <w:tcPr>
            <w:tcW w:type="dxa" w:w="345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typeCode ownerEmployeeCode departmentId payeeName；marketing.channelName serviceFrom serviceTo</w:t>
            </w:r>
          </w:p>
        </w:tc>
        <w:tc>
          <w:tcPr>
            <w:tcW w:type="dxa" w:w="430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类型 渠道 经办员工分析，不推算营销收益</w:t>
            </w:r>
          </w:p>
        </w:tc>
      </w:tr>
      <w:tr>
        <w:trPr>
          <w:cantSplit/>
        </w:trPr>
        <w:tc>
          <w:tcPr>
            <w:tcW w:type="dxa" w:w="2098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Order order_logistics_cost</w:t>
            </w:r>
          </w:p>
        </w:tc>
        <w:tc>
          <w:tcPr>
            <w:tcW w:type="dxa" w:w="3458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amount cost_date city_code payer_code；legCode carrierName transportMethodCode sourceIds deliveryStops</w:t>
            </w:r>
          </w:p>
        </w:tc>
        <w:tc>
          <w:tcPr>
            <w:tcW w:type="dxa" w:w="4309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三段运费 承运方 运输方式及单据分析</w:t>
            </w:r>
          </w:p>
        </w:tc>
      </w:tr>
      <w:tr>
        <w:trPr>
          <w:cantSplit/>
        </w:trPr>
        <w:tc>
          <w:tcPr>
            <w:tcW w:type="dxa" w:w="209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HR hr_expense</w:t>
            </w:r>
          </w:p>
        </w:tc>
        <w:tc>
          <w:tcPr>
            <w:tcW w:type="dxa" w:w="345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amount cost_date type_code employee_code employee_name department_id department_name city_code payment_status_code</w:t>
            </w:r>
          </w:p>
        </w:tc>
        <w:tc>
          <w:tcPr>
            <w:tcW w:type="dxa" w:w="430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报销类型 员工 部门分析及付款标记</w:t>
            </w:r>
          </w:p>
        </w:tc>
      </w:tr>
      <w:tr>
        <w:trPr>
          <w:cantSplit/>
        </w:trPr>
        <w:tc>
          <w:tcPr>
            <w:tcW w:type="dxa" w:w="2098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BI 销售事实 bi_sales_order_fact</w:t>
            </w:r>
          </w:p>
        </w:tc>
        <w:tc>
          <w:tcPr>
            <w:tcW w:type="dxa" w:w="3458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payable_amount order_date order_status_code region_code；现有 salesAmount 指标</w:t>
            </w:r>
          </w:p>
        </w:tc>
        <w:tc>
          <w:tcPr>
            <w:tcW w:type="dxa" w:w="4309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同期交易额参照，排除已取消和删除订单</w:t>
            </w:r>
          </w:p>
        </w:tc>
      </w:tr>
    </w:tbl>
    <w:p>
      <w:pPr>
        <w:spacing w:after="20"/>
      </w:pPr>
    </w:p>
    <w:p>
      <w:r>
        <w:t>所有成本与报销共享确认状态 DRAFT、CONFIRMED、VOID。成本金额来自原单登记值，不重新以商品参考价格乘数量、不重新生成租金、不推导外部订货宝费用。台账里已有的外部来源与原始单号仅用于追溯。</w:t>
      </w:r>
    </w:p>
    <w:p>
      <w:r>
        <w:t>薪酬在系统中另有核算及支付功能，不能误称为不存在；但其归属月份、确认更正、薪资权限及是否计入本次经营费用需另行确定，本期不直接加进这三类费用台账。销售交易额已有明确指标，但“收入确认、完整经营成本、利润”不能由本版字段自动替代。</w:t>
      </w:r>
    </w:p>
    <w:p>
      <w:pPr>
        <w:pStyle w:val="Heading1"/>
        <w:pageBreakBefore/>
      </w:pPr>
      <w:r>
        <w:t>04 页面结构和默认阅读顺序</w:t>
      </w:r>
    </w:p>
    <w:p>
      <w:r>
        <w:t>全局保留年份、月份或全年、授权城市、上期或去年同期对比。顶栏始终显示实际本期与可比期日期，单位为人民币元。默认当月截至最近完整可用业务日，不拿当月半月与上月全月比较。原型截止日固定为 2026-10-16。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98"/>
        <w:gridCol w:w="3458"/>
        <w:gridCol w:w="4309"/>
      </w:tblGrid>
      <w:tr>
        <w:trPr>
          <w:cantSplit/>
          <w:tblHeader/>
        </w:trPr>
        <w:tc>
          <w:tcPr>
            <w:tcW w:type="dxa" w:w="2098"/>
            <w:shd w:fill="E8EE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8"/>
              </w:rPr>
              <w:t>页面</w:t>
            </w:r>
          </w:p>
        </w:tc>
        <w:tc>
          <w:tcPr>
            <w:tcW w:type="dxa" w:w="3458"/>
            <w:shd w:fill="E8EE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8"/>
              </w:rPr>
              <w:t>页面内容</w:t>
            </w:r>
          </w:p>
        </w:tc>
        <w:tc>
          <w:tcPr>
            <w:tcW w:type="dxa" w:w="4309"/>
            <w:shd w:fill="E8EE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8"/>
              </w:rPr>
              <w:t>交互目标</w:t>
            </w:r>
          </w:p>
        </w:tc>
      </w:tr>
      <w:tr>
        <w:trPr>
          <w:cantSplit/>
        </w:trPr>
        <w:tc>
          <w:tcPr>
            <w:tcW w:type="dxa" w:w="2098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经营总览</w:t>
            </w:r>
          </w:p>
        </w:tc>
        <w:tc>
          <w:tcPr>
            <w:tcW w:type="dxa" w:w="3458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三范围金额卡、变化额、集中度、未付款辅助指标；费用走势、金额占比、变化瀑布、本期重点查看</w:t>
            </w:r>
          </w:p>
        </w:tc>
        <w:tc>
          <w:tcPr>
            <w:tcW w:type="dxa" w:w="4309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先发现变化，再定位类别 城市</w:t>
            </w:r>
          </w:p>
        </w:tc>
      </w:tr>
      <w:tr>
        <w:trPr>
          <w:cantSplit/>
        </w:trPr>
        <w:tc>
          <w:tcPr>
            <w:tcW w:type="dxa" w:w="209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城市与结构</w:t>
            </w:r>
          </w:p>
        </w:tc>
        <w:tc>
          <w:tcPr>
            <w:tcW w:type="dxa" w:w="345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城市与费用矩阵；金额 城内占比 增减切换；城市双条对比；经营规模参照</w:t>
            </w:r>
          </w:p>
        </w:tc>
        <w:tc>
          <w:tcPr>
            <w:tcW w:type="dxa" w:w="430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一屏同时比较城市和费用项</w:t>
            </w:r>
          </w:p>
        </w:tc>
      </w:tr>
      <w:tr>
        <w:trPr>
          <w:cantSplit/>
        </w:trPr>
        <w:tc>
          <w:tcPr>
            <w:tcW w:type="dxa" w:w="2098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成本专题</w:t>
            </w:r>
          </w:p>
        </w:tc>
        <w:tc>
          <w:tcPr>
            <w:tcW w:type="dxa" w:w="3458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物流 仓储 办公 营销 报销 采购 损耗；每类使用对应业务维度</w:t>
            </w:r>
          </w:p>
        </w:tc>
        <w:tc>
          <w:tcPr>
            <w:tcW w:type="dxa" w:w="4309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从类别进入承运方 场地 渠道 供应商 员工等</w:t>
            </w:r>
          </w:p>
        </w:tc>
      </w:tr>
      <w:tr>
        <w:trPr>
          <w:cantSplit/>
        </w:trPr>
        <w:tc>
          <w:tcPr>
            <w:tcW w:type="dxa" w:w="209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单据追溯</w:t>
            </w:r>
          </w:p>
        </w:tc>
        <w:tc>
          <w:tcPr>
            <w:tcW w:type="dxa" w:w="345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期间与范围标签、状态 付款 搜索、精确金额、分页及全量导出</w:t>
            </w:r>
          </w:p>
        </w:tc>
        <w:tc>
          <w:tcPr>
            <w:tcW w:type="dxa" w:w="430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查证图表对应的原始支出</w:t>
            </w:r>
          </w:p>
        </w:tc>
      </w:tr>
    </w:tbl>
    <w:p>
      <w:pPr>
        <w:spacing w:after="20"/>
      </w:pPr>
    </w:p>
    <w:p>
      <w:r>
        <w:t>经营总览和城市页顶部的三张卡是互斥分析范围：经营费用、商品采购、商品损耗。切换范围后趋势、构成、变化、城市矩阵及下钻都切换，不做三个范围的相加总成本。专题页自己选定业务类型，同时锁定对应范围。</w:t>
      </w:r>
    </w:p>
    <w:p>
      <w:r>
        <w:t>金额采用大数字；构成用排序条形加金额与百分比；变化用瀑布桥接；城市关系用交叉矩阵。趋势和对比采用统一零起点刻度。颜色主要区分系列和类别，不能只凭红绿判断费用健康。</w:t>
      </w:r>
    </w:p>
    <w:p>
      <w:r>
        <w:t>示例路径：老板发现办公室费用增加 → 点击重点查看 → 看城市分布 → 点击武汉办公室费用 → 看该格金额及对比期 → 查看对应单据。每一步保持期间、城市、类别和权限条件，清除或返回必须明确，不静默扩大数据范围。</w:t>
      </w:r>
    </w:p>
    <w:p>
      <w:pPr>
        <w:pStyle w:val="Heading1"/>
        <w:pageBreakBefore/>
      </w:pPr>
      <w:r>
        <w:t>05 统一指标和统计口径</w:t>
      </w:r>
    </w:p>
    <w:p>
      <w:r>
        <w:t>基本粒度为一条成本或报销记录。唯一键使用 tenantId + sourceService + sourceTable + sourceId。一张运费记录关联多张订单、多个配送点或附件，金额仍只统计一次。按供应商和商品展开也必须以费用记录为粒度。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98"/>
        <w:gridCol w:w="3458"/>
        <w:gridCol w:w="4309"/>
      </w:tblGrid>
      <w:tr>
        <w:trPr>
          <w:cantSplit/>
          <w:tblHeader/>
        </w:trPr>
        <w:tc>
          <w:tcPr>
            <w:tcW w:type="dxa" w:w="2098"/>
            <w:shd w:fill="E8EE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8"/>
              </w:rPr>
              <w:t>指标</w:t>
            </w:r>
          </w:p>
        </w:tc>
        <w:tc>
          <w:tcPr>
            <w:tcW w:type="dxa" w:w="3458"/>
            <w:shd w:fill="E8EE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8"/>
              </w:rPr>
              <w:t>计算规则</w:t>
            </w:r>
          </w:p>
        </w:tc>
        <w:tc>
          <w:tcPr>
            <w:tcW w:type="dxa" w:w="4309"/>
            <w:shd w:fill="E8EE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8"/>
              </w:rPr>
              <w:t>解释</w:t>
            </w:r>
          </w:p>
        </w:tc>
      </w:tr>
      <w:tr>
        <w:trPr>
          <w:cantSplit/>
        </w:trPr>
        <w:tc>
          <w:tcPr>
            <w:tcW w:type="dxa" w:w="2098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已确认经营费用</w:t>
            </w:r>
          </w:p>
        </w:tc>
        <w:tc>
          <w:tcPr>
            <w:tcW w:type="dxa" w:w="3458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公司承担运费 + 仓储 + 办公 + 营销 + 报销 + 待分类场地费用</w:t>
            </w:r>
          </w:p>
        </w:tc>
        <w:tc>
          <w:tcPr>
            <w:tcW w:type="dxa" w:w="4309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确认且金额非空；报销已包含其中</w:t>
            </w:r>
          </w:p>
        </w:tc>
      </w:tr>
      <w:tr>
        <w:trPr>
          <w:cantSplit/>
        </w:trPr>
        <w:tc>
          <w:tcPr>
            <w:tcW w:type="dxa" w:w="209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商品采购</w:t>
            </w:r>
          </w:p>
        </w:tc>
        <w:tc>
          <w:tcPr>
            <w:tcW w:type="dxa" w:w="345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PURCHASE 已确认非空金额合计</w:t>
            </w:r>
          </w:p>
        </w:tc>
        <w:tc>
          <w:tcPr>
            <w:tcW w:type="dxa" w:w="430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已登记采购金额，不等于销售成本</w:t>
            </w:r>
          </w:p>
        </w:tc>
      </w:tr>
      <w:tr>
        <w:trPr>
          <w:cantSplit/>
        </w:trPr>
        <w:tc>
          <w:tcPr>
            <w:tcW w:type="dxa" w:w="2098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商品损耗</w:t>
            </w:r>
          </w:p>
        </w:tc>
        <w:tc>
          <w:tcPr>
            <w:tcW w:type="dxa" w:w="3458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LOSS 已确认非空金额合计</w:t>
            </w:r>
          </w:p>
        </w:tc>
        <w:tc>
          <w:tcPr>
            <w:tcW w:type="dxa" w:w="4309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已登记损耗金额，不等于库存损耗率</w:t>
            </w:r>
          </w:p>
        </w:tc>
      </w:tr>
      <w:tr>
        <w:trPr>
          <w:cantSplit/>
        </w:trPr>
        <w:tc>
          <w:tcPr>
            <w:tcW w:type="dxa" w:w="209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较上期变化</w:t>
            </w:r>
          </w:p>
        </w:tc>
        <w:tc>
          <w:tcPr>
            <w:tcW w:type="dxa" w:w="345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本期金额 − 可比期金额</w:t>
            </w:r>
          </w:p>
        </w:tc>
        <w:tc>
          <w:tcPr>
            <w:tcW w:type="dxa" w:w="430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与本期同一授权及业务范围</w:t>
            </w:r>
          </w:p>
        </w:tc>
      </w:tr>
      <w:tr>
        <w:trPr>
          <w:cantSplit/>
        </w:trPr>
        <w:tc>
          <w:tcPr>
            <w:tcW w:type="dxa" w:w="2098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增幅</w:t>
            </w:r>
          </w:p>
        </w:tc>
        <w:tc>
          <w:tcPr>
            <w:tcW w:type="dxa" w:w="3458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差额 ÷ 可比期金额</w:t>
            </w:r>
          </w:p>
        </w:tc>
        <w:tc>
          <w:tcPr>
            <w:tcW w:type="dxa" w:w="4309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上期为零不算无穷大；无历史不造增长</w:t>
            </w:r>
          </w:p>
        </w:tc>
      </w:tr>
      <w:tr>
        <w:trPr>
          <w:cantSplit/>
        </w:trPr>
        <w:tc>
          <w:tcPr>
            <w:tcW w:type="dxa" w:w="209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构成占比</w:t>
            </w:r>
          </w:p>
        </w:tc>
        <w:tc>
          <w:tcPr>
            <w:tcW w:type="dxa" w:w="345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某类或对象金额 ÷ 当前分析集合金额</w:t>
            </w:r>
          </w:p>
        </w:tc>
        <w:tc>
          <w:tcPr>
            <w:tcW w:type="dxa" w:w="430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分母随范围 城市 期间变化</w:t>
            </w:r>
          </w:p>
        </w:tc>
      </w:tr>
      <w:tr>
        <w:trPr>
          <w:cantSplit/>
        </w:trPr>
        <w:tc>
          <w:tcPr>
            <w:tcW w:type="dxa" w:w="2098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集中度</w:t>
            </w:r>
          </w:p>
        </w:tc>
        <w:tc>
          <w:tcPr>
            <w:tcW w:type="dxa" w:w="3458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按金额降序的前若干项累计占比</w:t>
            </w:r>
          </w:p>
        </w:tc>
        <w:tc>
          <w:tcPr>
            <w:tcW w:type="dxa" w:w="4309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前两项占比；达到80%的最少项数及实际比例</w:t>
            </w:r>
          </w:p>
        </w:tc>
      </w:tr>
      <w:tr>
        <w:trPr>
          <w:cantSplit/>
        </w:trPr>
        <w:tc>
          <w:tcPr>
            <w:tcW w:type="dxa" w:w="209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未付款金额</w:t>
            </w:r>
          </w:p>
        </w:tc>
        <w:tc>
          <w:tcPr>
            <w:tcW w:type="dxa" w:w="345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同一确认集合中 UNPAID 金额</w:t>
            </w:r>
          </w:p>
        </w:tc>
        <w:tc>
          <w:tcPr>
            <w:tcW w:type="dxa" w:w="430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当前台账付款标记，不是到期应付或现金流</w:t>
            </w:r>
          </w:p>
        </w:tc>
      </w:tr>
      <w:tr>
        <w:trPr>
          <w:cantSplit/>
        </w:trPr>
        <w:tc>
          <w:tcPr>
            <w:tcW w:type="dxa" w:w="2098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待确认金额</w:t>
            </w:r>
          </w:p>
        </w:tc>
        <w:tc>
          <w:tcPr>
            <w:tcW w:type="dxa" w:w="3458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DRAFT 中已填金额之和</w:t>
            </w:r>
          </w:p>
        </w:tc>
        <w:tc>
          <w:tcPr>
            <w:tcW w:type="dxa" w:w="4309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同时列总笔数和未填笔数，不混入确认费用</w:t>
            </w:r>
          </w:p>
        </w:tc>
      </w:tr>
    </w:tbl>
    <w:p>
      <w:pPr>
        <w:spacing w:after="20"/>
      </w:pPr>
    </w:p>
    <w:p>
      <w:r>
        <w:t>金额用 BigDecimal 或整数最小货币单位计算。最终展示两位小数；图表坐标可用万元缩写，悬浮和明细必须给精确金额。百分比一位小数，城内与全局占比不能混淆，显示和可因舍入为 99.9% 或 100.1%。</w:t>
      </w:r>
    </w:p>
    <w:p>
      <w:r>
        <w:t>合法零元保留记录笔数；空金额显示未填；无记录与真实零值分开。VOID 和非公司承担运费不纳入上述确认费用；押金只作详情字段。未知付款状态单独保留，不能强行归未付款。</w:t>
      </w:r>
    </w:p>
    <w:p>
      <w:r>
        <w:t>跨模块同一经济事项可能被重复登记。ERP 办公费用与 HR 办公租赁报销只能作为疑似重复提示，未经业务确认不自动扣减。这个限制直接影响是否能称为核定财务成本。</w:t>
      </w:r>
    </w:p>
    <w:p>
      <w:pPr>
        <w:pStyle w:val="Heading1"/>
        <w:pageBreakBefore/>
      </w:pPr>
      <w:r>
        <w:t>06 总览趋势和变化分析</w:t>
      </w:r>
    </w:p>
    <w:p>
      <w:r>
        <w:t>费用走势展示最近六个可用月份；全年模式展示该年截至截止日的各月。每个月显示当月和其可比期两条柱，统一尺度。当前月用星号和截止日说明不完整期间，避免把部分月份下降误认为完整月份下降。历史不足显示缺失，不补造零值。</w:t>
      </w:r>
    </w:p>
    <w:p>
      <w:r>
        <w:t>当前月环比：本月1日至截止日，对比上月1日至对应日并裁剪到合法月底；历史完整月按完整自然月对比，实际天数差异在说明中保留。同比使用上年相同区间，2月29日按上年合法月底裁剪。全年模式“上期”和“去年同期”均使用上一年同截止日，界面说明二者等价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98"/>
        <w:gridCol w:w="3458"/>
        <w:gridCol w:w="4309"/>
      </w:tblGrid>
      <w:tr>
        <w:trPr>
          <w:cantSplit/>
          <w:tblHeader/>
        </w:trPr>
        <w:tc>
          <w:tcPr>
            <w:tcW w:type="dxa" w:w="2098"/>
            <w:shd w:fill="E8EE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8"/>
              </w:rPr>
              <w:t>图表或提示</w:t>
            </w:r>
          </w:p>
        </w:tc>
        <w:tc>
          <w:tcPr>
            <w:tcW w:type="dxa" w:w="3458"/>
            <w:shd w:fill="E8EE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8"/>
              </w:rPr>
              <w:t>计算与展示</w:t>
            </w:r>
          </w:p>
        </w:tc>
        <w:tc>
          <w:tcPr>
            <w:tcW w:type="dxa" w:w="4309"/>
            <w:shd w:fill="E8EE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8"/>
              </w:rPr>
              <w:t>下钻</w:t>
            </w:r>
          </w:p>
        </w:tc>
      </w:tr>
      <w:tr>
        <w:trPr>
          <w:cantSplit/>
        </w:trPr>
        <w:tc>
          <w:tcPr>
            <w:tcW w:type="dxa" w:w="2098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费用构成</w:t>
            </w:r>
          </w:p>
        </w:tc>
        <w:tc>
          <w:tcPr>
            <w:tcW w:type="dxa" w:w="3458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当前类别排序条形、金额、占比及累计集中度</w:t>
            </w:r>
          </w:p>
        </w:tc>
        <w:tc>
          <w:tcPr>
            <w:tcW w:type="dxa" w:w="4309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类别到城市，再到单据</w:t>
            </w:r>
          </w:p>
        </w:tc>
      </w:tr>
      <w:tr>
        <w:trPr>
          <w:cantSplit/>
        </w:trPr>
        <w:tc>
          <w:tcPr>
            <w:tcW w:type="dxa" w:w="209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变化瀑布</w:t>
            </w:r>
          </w:p>
        </w:tc>
        <w:tc>
          <w:tcPr>
            <w:tcW w:type="dxa" w:w="345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从上期合计开始，依次加各类差额，终点等于本期合计</w:t>
            </w:r>
          </w:p>
        </w:tc>
        <w:tc>
          <w:tcPr>
            <w:tcW w:type="dxa" w:w="430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配套变化项目及城市入口</w:t>
            </w:r>
          </w:p>
        </w:tc>
      </w:tr>
      <w:tr>
        <w:trPr>
          <w:cantSplit/>
        </w:trPr>
        <w:tc>
          <w:tcPr>
            <w:tcW w:type="dxa" w:w="2098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采购损耗变化</w:t>
            </w:r>
          </w:p>
        </w:tc>
        <w:tc>
          <w:tcPr>
            <w:tcW w:type="dxa" w:w="3458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对应范围内按城市差额拆解</w:t>
            </w:r>
          </w:p>
        </w:tc>
        <w:tc>
          <w:tcPr>
            <w:tcW w:type="dxa" w:w="4309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城市及对应范围单据</w:t>
            </w:r>
          </w:p>
        </w:tc>
      </w:tr>
      <w:tr>
        <w:trPr>
          <w:cantSplit/>
        </w:trPr>
        <w:tc>
          <w:tcPr>
            <w:tcW w:type="dxa" w:w="209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增加金额最大</w:t>
            </w:r>
          </w:p>
        </w:tc>
        <w:tc>
          <w:tcPr>
            <w:tcW w:type="dxa" w:w="345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同范围中正差额最大项，显示绝对金额</w:t>
            </w:r>
          </w:p>
        </w:tc>
        <w:tc>
          <w:tcPr>
            <w:tcW w:type="dxa" w:w="430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查看该项城市分布</w:t>
            </w:r>
          </w:p>
        </w:tc>
      </w:tr>
      <w:tr>
        <w:trPr>
          <w:cantSplit/>
        </w:trPr>
        <w:tc>
          <w:tcPr>
            <w:tcW w:type="dxa" w:w="2098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城市变化金额最大</w:t>
            </w:r>
          </w:p>
        </w:tc>
        <w:tc>
          <w:tcPr>
            <w:tcW w:type="dxa" w:w="3458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已映射城市按差额绝对值取最大</w:t>
            </w:r>
          </w:p>
        </w:tc>
        <w:tc>
          <w:tcPr>
            <w:tcW w:type="dxa" w:w="4309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查看该城构成；待归属金额另保留</w:t>
            </w:r>
          </w:p>
        </w:tc>
      </w:tr>
    </w:tbl>
    <w:p>
      <w:pPr>
        <w:spacing w:after="20"/>
      </w:pPr>
    </w:p>
    <w:p>
      <w:r>
        <w:t>瀑布条段的高度和起终点必须表达金额，连接线显示前后累积值；各差额合计等于总差额。增加与减少使用中性对比颜色，文案只说金额增加或减少，不称异常、浪费或节约。</w:t>
      </w:r>
    </w:p>
    <w:p>
      <w:r>
        <w:t>没有可比期覆盖时不画变化桥接、不生成“最大增长”结论。当某类别可比期零而本期非零，标为上期零基数，仅显示金额变化。分组缺失只有在整个可比期数据已完整覆盖时才能视作该组无记录。</w:t>
      </w:r>
    </w:p>
    <w:p>
      <w:pPr>
        <w:pStyle w:val="Heading1"/>
        <w:pageBreakBefore/>
      </w:pPr>
      <w:r>
        <w:t>07 城市交叉分析和经营参照</w:t>
      </w:r>
    </w:p>
    <w:p>
      <w:r>
        <w:t>城市与结构页以城市为行、费用类别为列，保留待归属城市。默认显示金额，每格可同时显示城内占比。提供金额、城内占比、较上期变化三个模式，全部来自同一集合。金额颜色按全表统一尺度；占比按各城100%；变化颜色深浅按绝对差额，并明确正负号。</w:t>
      </w:r>
    </w:p>
    <w:p>
      <w:r>
        <w:t>点击单元格打开分析抽屉，显示该城市该类别的本期、可比期、差额及金额最大的8笔单据；查看全部保留交叉条件。点击城市行查看该城的构成，再点击类别不能丢失城市条件。待归属城市也能下钻，不自动将其归总部或公共费用。</w:t>
      </w:r>
    </w:p>
    <w:p>
      <w:r>
        <w:t>城市金额排名只回答谁登记更多费用。经营规模参照回答另一个问题：每100元交易额对应多少已登记经营费用。计算为已确认经营费用 ÷ 同期销售订单应收金额 × 100，使用已有 BI salesAmount 定义，即 bi_sales_order_fact.payable_amount，按 order_date 排除删除和 CANCELLED 订单；不得替换为回款额、商品行金额或会计收入。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721"/>
        <w:gridCol w:w="7143"/>
      </w:tblGrid>
      <w:tr>
        <w:trPr>
          <w:cantSplit/>
          <w:tblHeader/>
        </w:trPr>
        <w:tc>
          <w:tcPr>
            <w:tcW w:type="dxa" w:w="2721"/>
            <w:shd w:fill="E8EE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8"/>
              </w:rPr>
              <w:t>参照成立条件</w:t>
            </w:r>
          </w:p>
        </w:tc>
        <w:tc>
          <w:tcPr>
            <w:tcW w:type="dxa" w:w="7143"/>
            <w:shd w:fill="E8EE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8"/>
              </w:rPr>
              <w:t>展示规则</w:t>
            </w:r>
          </w:p>
        </w:tc>
      </w:tr>
      <w:tr>
        <w:trPr>
          <w:cantSplit/>
        </w:trPr>
        <w:tc>
          <w:tcPr>
            <w:tcW w:type="dxa" w:w="2721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同一租户 城市 期间</w:t>
            </w:r>
          </w:p>
        </w:tc>
        <w:tc>
          <w:tcPr>
            <w:tcW w:type="dxa" w:w="7143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费用按 cost_date，交易额按 order_date；日期区间完全一致</w:t>
            </w:r>
          </w:p>
        </w:tc>
      </w:tr>
      <w:tr>
        <w:trPr>
          <w:cantSplit/>
        </w:trPr>
        <w:tc>
          <w:tcPr>
            <w:tcW w:type="dxa" w:w="2721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城市映射确定</w:t>
            </w:r>
          </w:p>
        </w:tc>
        <w:tc>
          <w:tcPr>
            <w:tcW w:type="dxa" w:w="7143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使用现有经营城市与地区映射；缺失或多义不猜，列出排除金额</w:t>
            </w:r>
          </w:p>
        </w:tc>
      </w:tr>
      <w:tr>
        <w:trPr>
          <w:cantSplit/>
        </w:trPr>
        <w:tc>
          <w:tcPr>
            <w:tcW w:type="dxa" w:w="2721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权限范围兼容</w:t>
            </w:r>
          </w:p>
        </w:tc>
        <w:tc>
          <w:tcPr>
            <w:tcW w:type="dxa" w:w="7143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两侧使用相同城市及可比数据范围；只有部分费用权限时标注所含类别；订单仅部分员工范围时不计算全城比值</w:t>
            </w:r>
          </w:p>
        </w:tc>
      </w:tr>
      <w:tr>
        <w:trPr>
          <w:cantSplit/>
        </w:trPr>
        <w:tc>
          <w:tcPr>
            <w:tcW w:type="dxa" w:w="2721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来源完整且金额大于零</w:t>
            </w:r>
          </w:p>
        </w:tc>
        <w:tc>
          <w:tcPr>
            <w:tcW w:type="dxa" w:w="7143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交易额为零 缺失 读取失败时显示不可计算；费用缺失不能当零</w:t>
            </w:r>
          </w:p>
        </w:tc>
      </w:tr>
      <w:tr>
        <w:trPr>
          <w:cantSplit/>
        </w:trPr>
        <w:tc>
          <w:tcPr>
            <w:tcW w:type="dxa" w:w="2721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只作经营观察</w:t>
            </w:r>
          </w:p>
        </w:tc>
        <w:tc>
          <w:tcPr>
            <w:tcW w:type="dxa" w:w="7143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同期发生不保证收入与费用会计配比，不叫利润率或核定费用率，不设未经批准红线</w:t>
            </w:r>
          </w:p>
        </w:tc>
      </w:tr>
    </w:tbl>
    <w:p>
      <w:pPr>
        <w:spacing w:after="20"/>
      </w:pPr>
    </w:p>
    <w:p>
      <w:r>
        <w:t>原型用独立虚构订单事实展示此逻辑，没有以成本金额反推销售额。正式实现直接复用 BI 已有订单事实与权限能力，只增加跨指标范围校验。该参照仅用于经营费用，不把采购额或损耗额替换进分子。</w:t>
      </w:r>
    </w:p>
    <w:p>
      <w:pPr>
        <w:pStyle w:val="Heading1"/>
        <w:pageBreakBefore/>
      </w:pPr>
      <w:r>
        <w:t>08 七类成本专题</w:t>
      </w:r>
    </w:p>
    <w:p>
      <w:r>
        <w:t>每个专题统一提供确认金额、较可比期变化、未付款辅助数、对象排行、走势、全量对象列表和单据入口。对象榜只显示前10项，完整列表和金额分母包含全部对象。维度选择只提供当前专题确实存在的字段。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98"/>
        <w:gridCol w:w="3458"/>
        <w:gridCol w:w="4309"/>
      </w:tblGrid>
      <w:tr>
        <w:trPr>
          <w:cantSplit/>
          <w:tblHeader/>
        </w:trPr>
        <w:tc>
          <w:tcPr>
            <w:tcW w:type="dxa" w:w="2098"/>
            <w:shd w:fill="E8EE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8"/>
              </w:rPr>
              <w:t>专题</w:t>
            </w:r>
          </w:p>
        </w:tc>
        <w:tc>
          <w:tcPr>
            <w:tcW w:type="dxa" w:w="3458"/>
            <w:shd w:fill="E8EE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8"/>
              </w:rPr>
              <w:t>分析维度及来源字段</w:t>
            </w:r>
          </w:p>
        </w:tc>
        <w:tc>
          <w:tcPr>
            <w:tcW w:type="dxa" w:w="4309"/>
            <w:shd w:fill="E8EE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8"/>
              </w:rPr>
              <w:t>处理规则</w:t>
            </w:r>
          </w:p>
        </w:tc>
      </w:tr>
      <w:tr>
        <w:trPr>
          <w:cantSplit/>
        </w:trPr>
        <w:tc>
          <w:tcPr>
            <w:tcW w:type="dxa" w:w="2098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物流费用</w:t>
            </w:r>
          </w:p>
        </w:tc>
        <w:tc>
          <w:tcPr>
            <w:tcW w:type="dxa" w:w="3458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legCode carrierName transportMethodCode</w:t>
            </w:r>
          </w:p>
        </w:tc>
        <w:tc>
          <w:tcPr>
            <w:tcW w:type="dxa" w:w="4309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三段运输分开；公司承担；每条运费统计一次，承运方按名称快照归组</w:t>
            </w:r>
          </w:p>
        </w:tc>
      </w:tr>
      <w:tr>
        <w:trPr>
          <w:cantSplit/>
        </w:trPr>
        <w:tc>
          <w:tcPr>
            <w:tcW w:type="dxa" w:w="209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仓储费用</w:t>
            </w:r>
          </w:p>
        </w:tc>
        <w:tc>
          <w:tcPr>
            <w:tcW w:type="dxa" w:w="345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warehouseId warehouseName；rental.premisesName</w:t>
            </w:r>
          </w:p>
        </w:tc>
        <w:tc>
          <w:tcPr>
            <w:tcW w:type="dxa" w:w="430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仓库ID优先；手填场地单独保留，不根据名称随意合并</w:t>
            </w:r>
          </w:p>
        </w:tc>
      </w:tr>
      <w:tr>
        <w:trPr>
          <w:cantSplit/>
        </w:trPr>
        <w:tc>
          <w:tcPr>
            <w:tcW w:type="dxa" w:w="2098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办公费用</w:t>
            </w:r>
          </w:p>
        </w:tc>
        <w:tc>
          <w:tcPr>
            <w:tcW w:type="dxa" w:w="3458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rental.premisesName contractNo cityCode</w:t>
            </w:r>
          </w:p>
        </w:tc>
        <w:tc>
          <w:tcPr>
            <w:tcW w:type="dxa" w:w="4309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场地和合同快照定位；无稳定场地ID时展示名称归组提示，不声称已统一物业主档</w:t>
            </w:r>
          </w:p>
        </w:tc>
      </w:tr>
      <w:tr>
        <w:trPr>
          <w:cantSplit/>
        </w:trPr>
        <w:tc>
          <w:tcPr>
            <w:tcW w:type="dxa" w:w="209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营销费用</w:t>
            </w:r>
          </w:p>
        </w:tc>
        <w:tc>
          <w:tcPr>
            <w:tcW w:type="dxa" w:w="345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typeCode marketing.channelName ownerEmployeeCode</w:t>
            </w:r>
          </w:p>
        </w:tc>
        <w:tc>
          <w:tcPr>
            <w:tcW w:type="dxa" w:w="430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类型复用业务字典；渠道按录入字符串；不计算投入产出或自动摊销</w:t>
            </w:r>
          </w:p>
        </w:tc>
      </w:tr>
      <w:tr>
        <w:trPr>
          <w:cantSplit/>
        </w:trPr>
        <w:tc>
          <w:tcPr>
            <w:tcW w:type="dxa" w:w="2098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员工报销</w:t>
            </w:r>
          </w:p>
        </w:tc>
        <w:tc>
          <w:tcPr>
            <w:tcW w:type="dxa" w:w="3458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typeCode employeeCode departmentId</w:t>
            </w:r>
          </w:p>
        </w:tc>
        <w:tc>
          <w:tcPr>
            <w:tcW w:type="dxa" w:w="4309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员工及部门使用编码；名称为快照；同名员工不合并</w:t>
            </w:r>
          </w:p>
        </w:tc>
      </w:tr>
      <w:tr>
        <w:trPr>
          <w:cantSplit/>
        </w:trPr>
        <w:tc>
          <w:tcPr>
            <w:tcW w:type="dxa" w:w="209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商品采购</w:t>
            </w:r>
          </w:p>
        </w:tc>
        <w:tc>
          <w:tcPr>
            <w:tcW w:type="dxa" w:w="345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goods.supplierId supplierName productId variantId specification</w:t>
            </w:r>
          </w:p>
        </w:tc>
        <w:tc>
          <w:tcPr>
            <w:tcW w:type="dxa" w:w="430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有ID用ID；手填名称单列；规格不可只按商品名混算</w:t>
            </w:r>
          </w:p>
        </w:tc>
      </w:tr>
      <w:tr>
        <w:trPr>
          <w:cantSplit/>
        </w:trPr>
        <w:tc>
          <w:tcPr>
            <w:tcW w:type="dxa" w:w="2098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商品损耗</w:t>
            </w:r>
          </w:p>
        </w:tc>
        <w:tc>
          <w:tcPr>
            <w:tcW w:type="dxa" w:w="3458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goods.lossReason productId variantId warehouseId</w:t>
            </w:r>
          </w:p>
        </w:tc>
        <w:tc>
          <w:tcPr>
            <w:tcW w:type="dxa" w:w="4309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先展示原因和商品；缺原因归未记录；不以新参考价回算历史损耗</w:t>
            </w:r>
          </w:p>
        </w:tc>
      </w:tr>
    </w:tbl>
    <w:p>
      <w:pPr>
        <w:spacing w:after="20"/>
      </w:pPr>
    </w:p>
    <w:p>
      <w:r>
        <w:t>字段完整性在当前专题说明或详情中体现：已记录维度金额覆盖率 = 具备该维度的确认金额 ÷ 专题确认金额。未知项仍进合计和占比。覆盖率只描述字段填写程度，不代表费用准确、合规或经济去重完成。</w:t>
      </w:r>
    </w:p>
    <w:p>
      <w:r>
        <w:t>部门并不是所有费用的天然共同维度。HR 报销和部分 ERP 记录有 departmentId，不能给物流、采购或场地按录入人部门自动分摊。跨全成本的部门成本排行暂不开放。面积、数量、租期虽存在，也不能混单位或跨期间直接算每平方米每月成本、每单配送成本。</w:t>
      </w:r>
    </w:p>
    <w:p>
      <w:pPr>
        <w:pStyle w:val="Heading1"/>
        <w:pageBreakBefore/>
      </w:pPr>
      <w:r>
        <w:t>09 单据追溯和交互状态</w:t>
      </w:r>
    </w:p>
    <w:p>
      <w:r>
        <w:t>从任何图表下钻时，查询上下文必须包含租户、授权范围、口径版本、数据版本、本期与可比期、范围、城市、类别及所选业务维度。抽屉先给业务事实和对应单据，来源服务、源键、版本等放在可展开区域。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721"/>
        <w:gridCol w:w="7143"/>
      </w:tblGrid>
      <w:tr>
        <w:trPr>
          <w:cantSplit/>
          <w:tblHeader/>
        </w:trPr>
        <w:tc>
          <w:tcPr>
            <w:tcW w:type="dxa" w:w="2721"/>
            <w:shd w:fill="E8EE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8"/>
              </w:rPr>
              <w:t>操作</w:t>
            </w:r>
          </w:p>
        </w:tc>
        <w:tc>
          <w:tcPr>
            <w:tcW w:type="dxa" w:w="7143"/>
            <w:shd w:fill="E8EE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8"/>
              </w:rPr>
              <w:t>明确行为</w:t>
            </w:r>
          </w:p>
        </w:tc>
      </w:tr>
      <w:tr>
        <w:trPr>
          <w:cantSplit/>
        </w:trPr>
        <w:tc>
          <w:tcPr>
            <w:tcW w:type="dxa" w:w="2721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图表下钻</w:t>
            </w:r>
          </w:p>
        </w:tc>
        <w:tc>
          <w:tcPr>
            <w:tcW w:type="dxa" w:w="7143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显示当前条件及相应合计，保持与点击金额一致</w:t>
            </w:r>
          </w:p>
        </w:tc>
      </w:tr>
      <w:tr>
        <w:trPr>
          <w:cantSplit/>
        </w:trPr>
        <w:tc>
          <w:tcPr>
            <w:tcW w:type="dxa" w:w="2721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本期和对比期切换</w:t>
            </w:r>
          </w:p>
        </w:tc>
        <w:tc>
          <w:tcPr>
            <w:tcW w:type="dxa" w:w="7143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只切日期，保留其他条件，不把两期单据混合</w:t>
            </w:r>
          </w:p>
        </w:tc>
      </w:tr>
      <w:tr>
        <w:trPr>
          <w:cantSplit/>
        </w:trPr>
        <w:tc>
          <w:tcPr>
            <w:tcW w:type="dxa" w:w="2721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清除下钻</w:t>
            </w:r>
          </w:p>
        </w:tc>
        <w:tc>
          <w:tcPr>
            <w:tcW w:type="dxa" w:w="7143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只清交叉条件；全局期间 城市 权限仍生效</w:t>
            </w:r>
          </w:p>
        </w:tc>
      </w:tr>
      <w:tr>
        <w:trPr>
          <w:cantSplit/>
        </w:trPr>
        <w:tc>
          <w:tcPr>
            <w:tcW w:type="dxa" w:w="2721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状态筛选</w:t>
            </w:r>
          </w:p>
        </w:tc>
        <w:tc>
          <w:tcPr>
            <w:tcW w:type="dxa" w:w="7143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确认 待确认 作废可查询，合计分别标识，作废不进确认金额</w:t>
            </w:r>
          </w:p>
        </w:tc>
      </w:tr>
      <w:tr>
        <w:trPr>
          <w:cantSplit/>
        </w:trPr>
        <w:tc>
          <w:tcPr>
            <w:tcW w:type="dxa" w:w="2721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搜索</w:t>
            </w:r>
          </w:p>
        </w:tc>
        <w:tc>
          <w:tcPr>
            <w:tcW w:type="dxa" w:w="7143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单号 事项 员工 原始单号；条件与全量导出一致</w:t>
            </w:r>
          </w:p>
        </w:tc>
      </w:tr>
      <w:tr>
        <w:trPr>
          <w:cantSplit/>
        </w:trPr>
        <w:tc>
          <w:tcPr>
            <w:tcW w:type="dxa" w:w="2721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导出</w:t>
            </w:r>
          </w:p>
        </w:tc>
        <w:tc>
          <w:tcPr>
            <w:tcW w:type="dxa" w:w="7143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全部匹配记录，不仅当前页；保留空金额 原始来源 源ID 日期 口径和查询上下文</w:t>
            </w:r>
          </w:p>
        </w:tc>
      </w:tr>
      <w:tr>
        <w:trPr>
          <w:cantSplit/>
        </w:trPr>
        <w:tc>
          <w:tcPr>
            <w:tcW w:type="dxa" w:w="2721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原单跳转</w:t>
            </w:r>
          </w:p>
        </w:tc>
        <w:tc>
          <w:tcPr>
            <w:tcW w:type="dxa" w:w="7143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回所属 ERP Order HR 页面再次鉴权，修正发生在原领域</w:t>
            </w:r>
          </w:p>
        </w:tc>
      </w:tr>
    </w:tbl>
    <w:p>
      <w:pPr>
        <w:spacing w:after="20"/>
      </w:pPr>
    </w:p>
    <w:p>
      <w:r>
        <w:t>导出必须在服务端再次校验范围，并使用与图表一致的数据版本；大导出沿用现有异步机制或分页流式读取。CSV 处理逗号 换行 引号与公式前缀；文档和导出不得泄露不可见报销员工或疑似重复对方的信息。</w:t>
      </w:r>
    </w:p>
    <w:p>
      <w:r>
        <w:t>空数据展示没有登记数据；真实零金额显示零及笔数。加载失败保留上次完整成功数据并标过期；禁止某源失败导致整类金额假性归零。报销无权限时排除该类别并明确当前合计不含报销，不显示报销为零。筛选选项、图表、抽屉、来源、导出使用同一授权范围。</w:t>
      </w:r>
    </w:p>
    <w:p>
      <w:pPr>
        <w:pStyle w:val="Heading1"/>
        <w:pageBreakBefore/>
      </w:pPr>
      <w:r>
        <w:t>10 服务分工和实现方式</w:t>
      </w:r>
    </w:p>
    <w:p>
      <w:r>
        <w:t>调用路径保持 Portal → Gateway JWT 与 IAM 会话校验 → BI 查看权限与数据范围 → BI 本地分析数据。BI 通过 ERP、Order、HR 的内部 analytics-source 契约读取已有台账，复用 bi_source_* 投影；销售参照直接用 BI 已有订单事实。业务不再录入看板专用数据，也不新增外部采集服务。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721"/>
        <w:gridCol w:w="7143"/>
      </w:tblGrid>
      <w:tr>
        <w:trPr>
          <w:cantSplit/>
          <w:tblHeader/>
        </w:trPr>
        <w:tc>
          <w:tcPr>
            <w:tcW w:type="dxa" w:w="2721"/>
            <w:shd w:fill="E8EE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8"/>
              </w:rPr>
              <w:t>组件</w:t>
            </w:r>
          </w:p>
        </w:tc>
        <w:tc>
          <w:tcPr>
            <w:tcW w:type="dxa" w:w="7143"/>
            <w:shd w:fill="E8EE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8"/>
              </w:rPr>
              <w:t>实施内容</w:t>
            </w:r>
          </w:p>
        </w:tc>
      </w:tr>
      <w:tr>
        <w:trPr>
          <w:cantSplit/>
        </w:trPr>
        <w:tc>
          <w:tcPr>
            <w:tcW w:type="dxa" w:w="2721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ERP Order HR</w:t>
            </w:r>
          </w:p>
        </w:tc>
        <w:tc>
          <w:tcPr>
            <w:tcW w:type="dxa" w:w="7143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增加费用读取契约和必要专题字段，输出原状态 城市 金额 日期 权限字段及源身份，保持本域唯一写者</w:t>
            </w:r>
          </w:p>
        </w:tc>
      </w:tr>
      <w:tr>
        <w:trPr>
          <w:cantSplit/>
        </w:trPr>
        <w:tc>
          <w:tcPr>
            <w:tcW w:type="dxa" w:w="2721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BI 接入</w:t>
            </w:r>
          </w:p>
        </w:tc>
        <w:tc>
          <w:tcPr>
            <w:tcW w:type="dxa" w:w="7143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三类费用数据集、TEXT_UUID 分页、可靠变更版本、完整成功结果发布；解析所需 JSON 字段</w:t>
            </w:r>
          </w:p>
        </w:tc>
      </w:tr>
      <w:tr>
        <w:trPr>
          <w:cantSplit/>
        </w:trPr>
        <w:tc>
          <w:tcPr>
            <w:tcW w:type="dxa" w:w="2721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BI 计算</w:t>
            </w:r>
          </w:p>
        </w:tc>
        <w:tc>
          <w:tcPr>
            <w:tcW w:type="dxa" w:w="7143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统一金额集合、期间、范围、城市映射、分组、对比、矩阵、瀑布和经营参照条件</w:t>
            </w:r>
          </w:p>
        </w:tc>
      </w:tr>
      <w:tr>
        <w:trPr>
          <w:cantSplit/>
        </w:trPr>
        <w:tc>
          <w:tcPr>
            <w:tcW w:type="dxa" w:w="2721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Portal</w:t>
            </w:r>
          </w:p>
        </w:tc>
        <w:tc>
          <w:tcPr>
            <w:tcW w:type="dxa" w:w="7143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复用现有成本入口和销售城市看板组件，手写 API 放 src/api/core，图表使用现有图表库</w:t>
            </w:r>
          </w:p>
        </w:tc>
      </w:tr>
      <w:tr>
        <w:trPr>
          <w:cantSplit/>
        </w:trPr>
        <w:tc>
          <w:tcPr>
            <w:tcW w:type="dxa" w:w="2721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IAM</w:t>
            </w:r>
          </w:p>
        </w:tc>
        <w:tc>
          <w:tcPr>
            <w:tcW w:type="dxa" w:w="7143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沿用原入口权限，补明确查看 导出和原单访问；与源类别和行级权限求交集</w:t>
            </w:r>
          </w:p>
        </w:tc>
      </w:tr>
    </w:tbl>
    <w:p>
      <w:pPr>
        <w:spacing w:after="20"/>
      </w:pPr>
    </w:p>
    <w:p>
      <w:r>
        <w:t>建议接口前缀 /api/v1/analytics/supply/cost-dashboard。GET /overview 返回三范围指标、趋势、构成、变化和重点项目；/matrix 返回城市类别单元格；/topics/{category} 返回可选维度及分组；/operating-reference 返回交易额参照及可比条件；/entries、/entries/{id} 和 /export 提供追溯；/filter-options 返回授权选项。</w:t>
      </w:r>
    </w:p>
    <w:p>
      <w:r>
        <w:t>共同响应包括 range、comparisonRange、unit、metricVersion、snapshotVersion、lastSuccessfulAt、coverage、restrictedCategories。金额为精确十进制字符串；不可计算返回 null 和 reasonCode，不能只给0。响应中提供每个点击项的 drillFilter，前端不另写另一套金额口径。</w:t>
      </w:r>
    </w:p>
    <w:p>
      <w:r>
        <w:t>展示读取最近完整结果，页面刷新重新查询。源变更由既有 BI 刷新流程反映，建议以5分钟作为初始联调目标，实际频率根据当前刷新调度与容量确定，不承诺实时生效。后台技术状态保留在运维或说明层，不占经营首页。</w:t>
      </w:r>
    </w:p>
    <w:p>
      <w:pPr>
        <w:pStyle w:val="Heading1"/>
        <w:pageBreakBefore/>
      </w:pPr>
      <w:r>
        <w:t>11 数据一致性和上线边界</w:t>
      </w:r>
    </w:p>
    <w:p>
      <w:r>
        <w:t>当前源码已确认三个成本台账尚未进入现有 BI 成本读取链路。已有源记录不代表页面现成可读，需补足内部契约与计算。旧 bi_city_cost_record 和 cockpit-costs.ts 示例不与新事实叠加，生产不可用演示数据回退。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721"/>
        <w:gridCol w:w="7143"/>
      </w:tblGrid>
      <w:tr>
        <w:trPr>
          <w:cantSplit/>
          <w:tblHeader/>
        </w:trPr>
        <w:tc>
          <w:tcPr>
            <w:tcW w:type="dxa" w:w="2721"/>
            <w:shd w:fill="E8EE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8"/>
              </w:rPr>
              <w:t>风险</w:t>
            </w:r>
          </w:p>
        </w:tc>
        <w:tc>
          <w:tcPr>
            <w:tcW w:type="dxa" w:w="7143"/>
            <w:shd w:fill="E8EE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8"/>
              </w:rPr>
              <w:t>必须实施的规则</w:t>
            </w:r>
          </w:p>
        </w:tc>
      </w:tr>
      <w:tr>
        <w:trPr>
          <w:cantSplit/>
        </w:trPr>
        <w:tc>
          <w:tcPr>
            <w:tcW w:type="dxa" w:w="2721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UUID 字符串分页</w:t>
            </w:r>
          </w:p>
        </w:tc>
        <w:tc>
          <w:tcPr>
            <w:tcW w:type="dxa" w:w="7143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原费用 ID 为 VARCHAR UUID；适配当前仅数值或二进制UUID的游标查询 排序 校验，验证1001笔以上无漏重</w:t>
            </w:r>
          </w:p>
        </w:tc>
      </w:tr>
      <w:tr>
        <w:trPr>
          <w:cantSplit/>
        </w:trPr>
        <w:tc>
          <w:tcPr>
            <w:tcW w:type="dxa" w:w="2721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变更版本</w:t>
            </w:r>
          </w:p>
        </w:tc>
        <w:tc>
          <w:tcPr>
            <w:tcW w:type="dxa" w:w="7143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新增 修改 确认 作废在本域事务内推进可靠版本；不能假设现有 guard.version 已完整递增</w:t>
            </w:r>
          </w:p>
        </w:tc>
      </w:tr>
      <w:tr>
        <w:trPr>
          <w:cantSplit/>
        </w:trPr>
        <w:tc>
          <w:tcPr>
            <w:tcW w:type="dxa" w:w="2721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部分批次</w:t>
            </w:r>
          </w:p>
        </w:tc>
        <w:tc>
          <w:tcPr>
            <w:tcW w:type="dxa" w:w="7143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读取前后校验源版本；单源失败保留旧完整结果，不发布不一致混合金额</w:t>
            </w:r>
          </w:p>
        </w:tc>
      </w:tr>
      <w:tr>
        <w:trPr>
          <w:cantSplit/>
        </w:trPr>
        <w:tc>
          <w:tcPr>
            <w:tcW w:type="dxa" w:w="2721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城市语义</w:t>
            </w:r>
          </w:p>
        </w:tc>
        <w:tc>
          <w:tcPr>
            <w:tcW w:type="dxa" w:w="7143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复用 OperatingCitySql 经营部门与 CRM 地区映射；歧义保留待归属</w:t>
            </w:r>
          </w:p>
        </w:tc>
      </w:tr>
      <w:tr>
        <w:trPr>
          <w:cantSplit/>
        </w:trPr>
        <w:tc>
          <w:tcPr>
            <w:tcW w:type="dxa" w:w="2721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权限范围</w:t>
            </w:r>
          </w:p>
        </w:tc>
        <w:tc>
          <w:tcPr>
            <w:tcW w:type="dxa" w:w="7143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成本来源权限和 BI 权限求交集；缓存含权限版本，报销隔离覆盖重复提示与导出</w:t>
            </w:r>
          </w:p>
        </w:tc>
      </w:tr>
      <w:tr>
        <w:trPr>
          <w:cantSplit/>
        </w:trPr>
        <w:tc>
          <w:tcPr>
            <w:tcW w:type="dxa" w:w="2721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源更正</w:t>
            </w:r>
          </w:p>
        </w:tc>
        <w:tc>
          <w:tcPr>
            <w:tcW w:type="dxa" w:w="7143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确认后编辑回 DRAFT；作废移出确认合计；不同快照不能混用图表与明细</w:t>
            </w:r>
          </w:p>
        </w:tc>
      </w:tr>
      <w:tr>
        <w:trPr>
          <w:cantSplit/>
        </w:trPr>
        <w:tc>
          <w:tcPr>
            <w:tcW w:type="dxa" w:w="2721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名称与编码</w:t>
            </w:r>
          </w:p>
        </w:tc>
        <w:tc>
          <w:tcPr>
            <w:tcW w:type="dxa" w:w="7143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员工 供应商 商品优先稳定ID；自由名称按快照展示，不自动判为统一主体</w:t>
            </w:r>
          </w:p>
        </w:tc>
      </w:tr>
    </w:tbl>
    <w:p>
      <w:pPr>
        <w:spacing w:after="20"/>
      </w:pPr>
    </w:p>
    <w:p>
      <w:r>
        <w:t>源版本校验不等于跨服务同一时刻的分布式数据库快照。运营页面显示最近成功时间，运维保留各源版本和完成时间。</w:t>
      </w:r>
    </w:p>
    <w:p>
      <w:r>
        <w:t>数据库操作前核对 profile、环境变量、Nacos 的最终配置、实际实例和 Schema、租户类型及 flyway_schema_history。DEV/local 启动可能自动迁移共享库。新增迁移遵守 utf8mb4_general_ci、validate、禁止 clean/自动baseline/out-of-order，不能改已发布 V/B 脚本或用 repair 掩盖失败。保持服务分层，不跨业务库 JOIN，不将凭据或真实导出入 Git。</w:t>
      </w:r>
    </w:p>
    <w:p>
      <w:r>
        <w:t>本期不包含成本预算、预算执行、存货结转、完整利润、实际付款现金流、逾期应付、营销ROI、自动分摊和自动异常判责。未来加入须先具备事实、口径、权限和验收证据。界面不放无数据支撑的虚假指标占位。</w:t>
      </w:r>
    </w:p>
    <w:p>
      <w:pPr>
        <w:pStyle w:val="Heading1"/>
        <w:pageBreakBefore/>
      </w:pPr>
      <w:r>
        <w:t>12 验收清单与交付状态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721"/>
        <w:gridCol w:w="7143"/>
      </w:tblGrid>
      <w:tr>
        <w:trPr>
          <w:cantSplit/>
          <w:tblHeader/>
        </w:trPr>
        <w:tc>
          <w:tcPr>
            <w:tcW w:type="dxa" w:w="2721"/>
            <w:shd w:fill="E8EE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8"/>
              </w:rPr>
              <w:t>编号</w:t>
            </w:r>
          </w:p>
        </w:tc>
        <w:tc>
          <w:tcPr>
            <w:tcW w:type="dxa" w:w="7143"/>
            <w:shd w:fill="E8EE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8"/>
              </w:rPr>
              <w:t>必须得到的结果</w:t>
            </w:r>
          </w:p>
        </w:tc>
      </w:tr>
      <w:tr>
        <w:trPr>
          <w:cantSplit/>
        </w:trPr>
        <w:tc>
          <w:tcPr>
            <w:tcW w:type="dxa" w:w="2721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C01</w:t>
            </w:r>
          </w:p>
        </w:tc>
        <w:tc>
          <w:tcPr>
            <w:tcW w:type="dxa" w:w="7143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三范围独立，采购 损耗不挤入经营费用分母，报销不重复相加</w:t>
            </w:r>
          </w:p>
        </w:tc>
      </w:tr>
      <w:tr>
        <w:trPr>
          <w:cantSplit/>
        </w:trPr>
        <w:tc>
          <w:tcPr>
            <w:tcW w:type="dxa" w:w="2721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C02</w:t>
            </w:r>
          </w:p>
        </w:tc>
        <w:tc>
          <w:tcPr>
            <w:tcW w:type="dxa" w:w="7143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类别 城市 付款状态与明细合计核平；空 零 草稿 作废按各自规则展示</w:t>
            </w:r>
          </w:p>
        </w:tc>
      </w:tr>
      <w:tr>
        <w:trPr>
          <w:cantSplit/>
        </w:trPr>
        <w:tc>
          <w:tcPr>
            <w:tcW w:type="dxa" w:w="2721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C03</w:t>
            </w:r>
          </w:p>
        </w:tc>
        <w:tc>
          <w:tcPr>
            <w:tcW w:type="dxa" w:w="7143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同期区间正确，跨年 月底 闰年合法，历史缺失不生成虚假增幅</w:t>
            </w:r>
          </w:p>
        </w:tc>
      </w:tr>
      <w:tr>
        <w:trPr>
          <w:cantSplit/>
        </w:trPr>
        <w:tc>
          <w:tcPr>
            <w:tcW w:type="dxa" w:w="2721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C04</w:t>
            </w:r>
          </w:p>
        </w:tc>
        <w:tc>
          <w:tcPr>
            <w:tcW w:type="dxa" w:w="7143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每个矩阵行列与总额一致；切换金额 占比 差额时分母明确</w:t>
            </w:r>
          </w:p>
        </w:tc>
      </w:tr>
      <w:tr>
        <w:trPr>
          <w:cantSplit/>
        </w:trPr>
        <w:tc>
          <w:tcPr>
            <w:tcW w:type="dxa" w:w="2721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C05</w:t>
            </w:r>
          </w:p>
        </w:tc>
        <w:tc>
          <w:tcPr>
            <w:tcW w:type="dxa" w:w="7143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瀑布上期起点 加各差额 等于本期终点；不能只把增减画成孤立排行</w:t>
            </w:r>
          </w:p>
        </w:tc>
      </w:tr>
      <w:tr>
        <w:trPr>
          <w:cantSplit/>
        </w:trPr>
        <w:tc>
          <w:tcPr>
            <w:tcW w:type="dxa" w:w="2721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C06</w:t>
            </w:r>
          </w:p>
        </w:tc>
        <w:tc>
          <w:tcPr>
            <w:tcW w:type="dxa" w:w="7143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城市到类别到单据保持交叉条件；员工供应商按稳定ID区分</w:t>
            </w:r>
          </w:p>
        </w:tc>
      </w:tr>
      <w:tr>
        <w:trPr>
          <w:cantSplit/>
        </w:trPr>
        <w:tc>
          <w:tcPr>
            <w:tcW w:type="dxa" w:w="2721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C07</w:t>
            </w:r>
          </w:p>
        </w:tc>
        <w:tc>
          <w:tcPr>
            <w:tcW w:type="dxa" w:w="7143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七专题仅用已支持字段，未知项保留；前10榜与全量列表分母相同</w:t>
            </w:r>
          </w:p>
        </w:tc>
      </w:tr>
      <w:tr>
        <w:trPr>
          <w:cantSplit/>
        </w:trPr>
        <w:tc>
          <w:tcPr>
            <w:tcW w:type="dxa" w:w="2721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C08</w:t>
            </w:r>
          </w:p>
        </w:tc>
        <w:tc>
          <w:tcPr>
            <w:tcW w:type="dxa" w:w="7143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经营参照复用订单应收定义，取消单排除；零销售 缺覆盖 权限不齐不算比值</w:t>
            </w:r>
          </w:p>
        </w:tc>
      </w:tr>
      <w:tr>
        <w:trPr>
          <w:cantSplit/>
        </w:trPr>
        <w:tc>
          <w:tcPr>
            <w:tcW w:type="dxa" w:w="2721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C09</w:t>
            </w:r>
          </w:p>
        </w:tc>
        <w:tc>
          <w:tcPr>
            <w:tcW w:type="dxa" w:w="7143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导出全量匹配，保留空值 来源 口径与版本，处理CSV公式前缀</w:t>
            </w:r>
          </w:p>
        </w:tc>
      </w:tr>
      <w:tr>
        <w:trPr>
          <w:cantSplit/>
        </w:trPr>
        <w:tc>
          <w:tcPr>
            <w:tcW w:type="dxa" w:w="2721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C10</w:t>
            </w:r>
          </w:p>
        </w:tc>
        <w:tc>
          <w:tcPr>
            <w:tcW w:type="dxa" w:w="7143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受限角色的图表 下钻 导出不泄露报销及不可见对方信息</w:t>
            </w:r>
          </w:p>
        </w:tc>
      </w:tr>
      <w:tr>
        <w:trPr>
          <w:cantSplit/>
        </w:trPr>
        <w:tc>
          <w:tcPr>
            <w:tcW w:type="dxa" w:w="2721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C11</w:t>
            </w:r>
          </w:p>
        </w:tc>
        <w:tc>
          <w:tcPr>
            <w:tcW w:type="dxa" w:w="7143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UUID分页 源版本变更 单源失败 源作废与修改均有集成测试</w:t>
            </w:r>
          </w:p>
        </w:tc>
      </w:tr>
      <w:tr>
        <w:trPr>
          <w:cantSplit/>
        </w:trPr>
        <w:tc>
          <w:tcPr>
            <w:tcW w:type="dxa" w:w="2721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C12</w:t>
            </w:r>
          </w:p>
        </w:tc>
        <w:tc>
          <w:tcPr>
            <w:tcW w:type="dxa" w:w="7143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桌面与窄屏可用，表格内部滚动；核心操作支持键盘，空数据与读取失败不同</w:t>
            </w:r>
          </w:p>
        </w:tc>
      </w:tr>
      <w:tr>
        <w:trPr>
          <w:cantSplit/>
        </w:trPr>
        <w:tc>
          <w:tcPr>
            <w:tcW w:type="dxa" w:w="2721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C13</w:t>
            </w:r>
          </w:p>
        </w:tc>
        <w:tc>
          <w:tcPr>
            <w:tcW w:type="dxa" w:w="7143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每种成本与报销从真实原台账抽样核对日期 金额 状态 城市和权限</w:t>
            </w:r>
          </w:p>
        </w:tc>
      </w:tr>
      <w:tr>
        <w:trPr>
          <w:cantSplit/>
        </w:trPr>
        <w:tc>
          <w:tcPr>
            <w:tcW w:type="dxa" w:w="2721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C14</w:t>
            </w:r>
          </w:p>
        </w:tc>
        <w:tc>
          <w:tcPr>
            <w:tcW w:type="dxa" w:w="7143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现场业务验收能完成发现变化 定位城市或对象 查到单据的整条路径</w:t>
            </w:r>
          </w:p>
        </w:tc>
      </w:tr>
    </w:tbl>
    <w:p>
      <w:pPr>
        <w:spacing w:after="20"/>
      </w:pPr>
    </w:p>
    <w:p>
      <w:r>
        <w:t>本次交付 V3 需求文档、可交互原型、自包含 HTML、预览图、市场参考及源码证据、验证记录。原型用虚构成本和订单数据，演示总览、矩阵三模式、七类专题、经营参照、下钻、导出与权限/失败状态。</w:t>
      </w:r>
    </w:p>
    <w:p>
      <w:r>
        <w:t>正式开发顺序：确认指标及读取契约 → 领域数据读取与版本 → BI 聚合和权限 → Portal 四个视图 → 真实数据联调与角色验收。性能目标在指定10万行及20并发环境测量，建议概览 P95 不超过2秒，分页不超过1秒；未经测试不宣称达标。</w:t>
      </w:r>
    </w:p>
    <w:p>
      <w:r>
        <w:t>本轮没有改正式业务代码、数据库或部署。原型中的权限演示、内存分页和合成数据算法不能替代服务端验证。正式版还需完成真实单据跳转、附件、URL筛选恢复、正式分页及导出任务，以及联调、业务对账和发布。</w:t>
      </w:r>
    </w:p>
    <w:p>
      <w:pPr>
        <w:pStyle w:val="Heading1"/>
        <w:pageBreakBefore/>
      </w:pPr>
      <w:r>
        <w:t>13 源码证据与维护入口</w:t>
      </w:r>
    </w:p>
    <w:p>
      <w:r>
        <w:t>源码核对基线：Platform 6ffd6151f4d86a05b7a95c2c7890a23860cf28b1，Portal 5387e0b06cf5fe140e4ff1bbc3a60e646fe27df0。未重新 fetch，未连接数据库；源码结构说明不替代已部署环境核查。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721"/>
        <w:gridCol w:w="7143"/>
      </w:tblGrid>
      <w:tr>
        <w:trPr>
          <w:cantSplit/>
          <w:tblHeader/>
        </w:trPr>
        <w:tc>
          <w:tcPr>
            <w:tcW w:type="dxa" w:w="2721"/>
            <w:shd w:fill="E8EE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8"/>
              </w:rPr>
              <w:t>结论</w:t>
            </w:r>
          </w:p>
        </w:tc>
        <w:tc>
          <w:tcPr>
            <w:tcW w:type="dxa" w:w="7143"/>
            <w:shd w:fill="E8EE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8"/>
              </w:rPr>
              <w:t>相对 Platform 或相邻仓库的证据入口</w:t>
            </w:r>
          </w:p>
        </w:tc>
      </w:tr>
      <w:tr>
        <w:trPr>
          <w:cantSplit/>
        </w:trPr>
        <w:tc>
          <w:tcPr>
            <w:tcW w:type="dxa" w:w="2721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前端类别分流和字段</w:t>
            </w:r>
          </w:p>
        </w:tc>
        <w:tc>
          <w:tcPr>
            <w:tcW w:type="dxa" w:w="7143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../rigour-supply-chain-portal/src/api/core/cost.ts</w:t>
            </w:r>
          </w:p>
        </w:tc>
      </w:tr>
      <w:tr>
        <w:trPr>
          <w:cantSplit/>
        </w:trPr>
        <w:tc>
          <w:tcPr>
            <w:tcW w:type="dxa" w:w="2721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ERP 采购与损耗细节</w:t>
            </w:r>
          </w:p>
        </w:tc>
        <w:tc>
          <w:tcPr>
            <w:tcW w:type="dxa" w:w="7143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services/rg-scdp-erp/erp-api/src/main/java/com/rigour/erp/api/v1/model/ErpCostGoodsDetails.java</w:t>
            </w:r>
          </w:p>
        </w:tc>
      </w:tr>
      <w:tr>
        <w:trPr>
          <w:cantSplit/>
        </w:trPr>
        <w:tc>
          <w:tcPr>
            <w:tcW w:type="dxa" w:w="2721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场地和营销细节</w:t>
            </w:r>
          </w:p>
        </w:tc>
        <w:tc>
          <w:tcPr>
            <w:tcW w:type="dxa" w:w="7143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同目录 ErpCostRentalDetails.java 和 ErpCostMarketingDetails.java</w:t>
            </w:r>
          </w:p>
        </w:tc>
      </w:tr>
      <w:tr>
        <w:trPr>
          <w:cantSplit/>
        </w:trPr>
        <w:tc>
          <w:tcPr>
            <w:tcW w:type="dxa" w:w="2721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ERP 表与场地类别</w:t>
            </w:r>
          </w:p>
        </w:tc>
        <w:tc>
          <w:tcPr>
            <w:tcW w:type="dxa" w:w="7143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erp-server/src/main/resources/db/migration/V37__erp_cost_management.sql 和 V40__cost_ledger_requirements.sql</w:t>
            </w:r>
          </w:p>
        </w:tc>
      </w:tr>
      <w:tr>
        <w:trPr>
          <w:cantSplit/>
        </w:trPr>
        <w:tc>
          <w:tcPr>
            <w:tcW w:type="dxa" w:w="2721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运费专题维度</w:t>
            </w:r>
          </w:p>
        </w:tc>
        <w:tc>
          <w:tcPr>
            <w:tcW w:type="dxa" w:w="7143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services/rg-scdp-order/order-api/src/main/java/com/rigour/order/api/v1/model/LogisticsCostTransportDetails.java</w:t>
            </w:r>
          </w:p>
        </w:tc>
      </w:tr>
      <w:tr>
        <w:trPr>
          <w:cantSplit/>
        </w:trPr>
        <w:tc>
          <w:tcPr>
            <w:tcW w:type="dxa" w:w="2721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HR 报销快照</w:t>
            </w:r>
          </w:p>
        </w:tc>
        <w:tc>
          <w:tcPr>
            <w:tcW w:type="dxa" w:w="7143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services/rg-scdp-hr/hr-server/src/main/java/com/rigour/hr/infrastructure/persistence/entity/HrExpenseEntity.java</w:t>
            </w:r>
          </w:p>
        </w:tc>
      </w:tr>
      <w:tr>
        <w:trPr>
          <w:cantSplit/>
        </w:trPr>
        <w:tc>
          <w:tcPr>
            <w:tcW w:type="dxa" w:w="2721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交易额业务定义</w:t>
            </w:r>
          </w:p>
        </w:tc>
        <w:tc>
          <w:tcPr>
            <w:tcW w:type="dxa" w:w="7143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services/rg-scdp-bi/bi-server/src/main/java/com/rigour/analytics/application/service/SupplyDashboardQueryService.java 的 metrics</w:t>
            </w:r>
          </w:p>
        </w:tc>
      </w:tr>
      <w:tr>
        <w:trPr>
          <w:cantSplit/>
        </w:trPr>
        <w:tc>
          <w:tcPr>
            <w:tcW w:type="dxa" w:w="2721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交易额金额和日期</w:t>
            </w:r>
          </w:p>
        </w:tc>
        <w:tc>
          <w:tcPr>
            <w:tcW w:type="dxa" w:w="7143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bi-server/src/main/java/com/rigour/analytics/infrastructure/persistence/mapper/SupplyDashboardQueryMapper.java 的 salesSummary 与 citySalesRanking</w:t>
            </w:r>
          </w:p>
        </w:tc>
      </w:tr>
      <w:tr>
        <w:trPr>
          <w:cantSplit/>
        </w:trPr>
        <w:tc>
          <w:tcPr>
            <w:tcW w:type="dxa" w:w="2721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BI 数据集与城市映射</w:t>
            </w:r>
          </w:p>
        </w:tc>
        <w:tc>
          <w:tcPr>
            <w:tcW w:type="dxa" w:w="7143"/>
            <w:shd w:fill="F5F7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bi-server/src/main/java/com/rigour/analytics/infrastructure/persistence/scope/BiSourceDatasets.java 和 OperatingCitySql.java</w:t>
            </w:r>
          </w:p>
        </w:tc>
      </w:tr>
      <w:tr>
        <w:trPr>
          <w:cantSplit/>
        </w:trPr>
        <w:tc>
          <w:tcPr>
            <w:tcW w:type="dxa" w:w="2721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架构与数据库约束</w:t>
            </w:r>
          </w:p>
        </w:tc>
        <w:tc>
          <w:tcPr>
            <w:tcW w:type="dxa" w:w="7143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8"/>
              </w:rPr>
              <w:t>AGENTS.md、docs/PROJECT_CONTEXT.md 及同日成本看板补充</w:t>
            </w:r>
          </w:p>
        </w:tc>
      </w:tr>
    </w:tbl>
    <w:p>
      <w:pPr>
        <w:spacing w:after="20"/>
      </w:pPr>
    </w:p>
    <w:p>
      <w:r>
        <w:t>原型目录为相邻独立仓库 cost-management-prototype/cost-dashboard-v3。README 和 VALIDATION 记录复现、检查结果和未实现项。后续代码或数据定义变化时，重新核对上述入口并更新需求版本，不能将当前示例当作真实成本。</w:t>
      </w:r>
    </w:p>
    <w:sectPr w:rsidR="00FC693F" w:rsidRPr="0006063C" w:rsidSect="00034616">
      <w:footerReference w:type="default" r:id="rId9"/>
      <w:pgSz w:w="11906" w:h="16838"/>
      <w:pgMar w:top="1020" w:right="1020" w:bottom="964" w:left="1020" w:header="72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768699"/>
        <w:sz w:val="16"/>
      </w:rPr>
      <w:t xml:space="preserve">成本数据看板需求与实现方案 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1" w:lineRule="auto" w:after="140"/>
    </w:pPr>
    <w:rPr>
      <w:rFonts w:ascii="Heiti SC" w:hAnsi="Heiti SC" w:eastAsia="Heiti SC"/>
      <w:color w:val="17263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/>
      <w:outlineLvl w:val="0"/>
    </w:pPr>
    <w:rPr>
      <w:rFonts w:ascii="Heiti SC" w:hAnsi="Heiti SC" w:eastAsia="Heiti SC"/>
      <w:b/>
      <w:bCs/>
      <w:color w:val="172638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Heiti SC" w:hAnsi="Heiti SC" w:eastAsia="Heiti SC"/>
      <w:b/>
      <w:bCs/>
      <w:color w:val="17263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240" w:lineRule="auto"/>
      <w:contextualSpacing/>
    </w:pPr>
    <w:rPr>
      <w:rFonts w:ascii="Heiti SC" w:hAnsi="Heiti SC" w:eastAsia="Heiti SC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learn.microsoft.com/en-us/power-bi/create-reports/sample-procurement" TargetMode="External"/><Relationship Id="rId11" Type="http://schemas.openxmlformats.org/officeDocument/2006/relationships/hyperlink" Target="https://learn.microsoft.com/en-us/dynamics365/fin-ops-core/dev-itpro/analytics/purchase-content-pack-for-power-bi" TargetMode="External"/><Relationship Id="rId12" Type="http://schemas.openxmlformats.org/officeDocument/2006/relationships/hyperlink" Target="https://community.concur.com/t5/Reporting-and-Analytics-Hub/Getting-Started-with-Analytics-amp-Analytics-Essentials/ba-p/118103" TargetMode="External"/><Relationship Id="rId13" Type="http://schemas.openxmlformats.org/officeDocument/2006/relationships/hyperlink" Target="https://ekuaibao.com/bi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成本数据看板需求与实现方案</dc:title>
  <dc:subject>现有成本台账与报销的数据看板设计</dc:subject>
  <dc:creator/>
  <cp:keywords>成本台账,报销,BI,需求,数据口径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