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成本数据看板需求与实现方案</w:t>
      </w:r>
    </w:p>
    <w:p>
      <w:r>
        <w:t>版本 V2.0　日期 2026-10-16　面向业务负责人 产品 研发 测试</w:t>
      </w:r>
    </w:p>
    <w:p>
      <w:r>
        <w:t>本版根据最新要求重做需求与原型：成本数据全部来自系统已经录入的成本及报销单据，看板负责读取、计算、比较和展示。页面让业务直接看出费用规模、构成占比、城市差异、付款状态和费用变化，并能点击追溯到单据。本文为待实施方案，当前交付仍是需求与交互原型。</w:t>
      </w:r>
    </w:p>
    <w:p>
      <w:pPr>
        <w:pStyle w:val="Heading1"/>
        <w:pageBreakBefore w:val="0"/>
      </w:pPr>
      <w:r>
        <w:t>01 本版目标和变化</w:t>
      </w:r>
    </w:p>
    <w:p>
      <w:r>
        <w:t>正式入口保持“数据看板 → 成本数据看板”，升级原城市成本入口，保留 /supply-chain/bi/city-cost 和 supply.bi.city-cost。视觉延续现有销售业绩及城市经营看板：双层导航、深色内容区、年月选择、大数字和蓝绿配色。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业务问题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本版直接给出的答案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本期花了多少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已确认经营费用、较上期差额与增幅；采购和损耗在独立区域查看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费用花在哪里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各类费用环形图，同时标金额与占比；类别颜色全看板一致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哪些城市花费更多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本期与上期双条形图，直接标城市、金额、差额和增幅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哪些费用增加或减少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分类增减图，以零线区分增加和减少，按变化绝对金额排序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哪些已付款 哪些未付款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付款状态占比条与金额，点击查看对应单据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报销集中在哪些类型和员工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报销类型占比、员工金额排行及全量员工明细</w:t>
            </w:r>
          </w:p>
        </w:tc>
      </w:tr>
    </w:tbl>
    <w:p>
      <w:pPr>
        <w:spacing w:after="20"/>
      </w:pPr>
    </w:p>
    <w:p>
      <w:r>
        <w:t>相较 V1：首页由台账列表导向改为图表分析导向；增加累计趋势、环形占比、双条形城市对比、城市百分比堆叠和增减分析。首页不放来源系统筛选、源表、UUID、采集批次或技术诊断。数据质量降为“待核对”辅助入口，原始记录信息收到详情中。</w:t>
      </w:r>
    </w:p>
    <w:p>
      <w:r>
        <w:t>本版不增加费用录入、Excel 导入、外部采集或新成本微服务。原有系统中保存的外部单号只作为关联凭证保留，不代表看板要再次从外部拉取。预算、利润、存货结转、租金生成、自动分摊和实际现金流不在本期范围。</w:t>
      </w:r>
    </w:p>
    <w:p>
      <w:r>
        <w:t>版本关系：本版的页面、指标、交互与交付清单取代 V1 对应设计。架构边界、数据库安全规则和源单据状态仍沿用已核对结论。本版没有将任何原型功能声明为正式上线。</w:t>
      </w:r>
    </w:p>
    <w:p>
      <w:pPr>
        <w:pStyle w:val="Heading1"/>
        <w:pageBreakBefore/>
      </w:pPr>
      <w:r>
        <w:t>02 数据从系统哪里读取</w:t>
      </w:r>
    </w:p>
    <w:p>
      <w:r>
        <w:t>数据路径是“系统原单据 → 读取已有字段 → 按权限和口径计算 → 看板图表及明细”。业务无需再次录入或维护看板专用数据；源单据保存、修改、确认、作废后，下一次成功计算结果反映变化。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系统已有模块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所属服务和表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看板使用的事实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商品采购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erp_cost_entry 的 PURCHASE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费用日期、采购金额、商品供应商及城市；单独统计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商品损耗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同表 LOSS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费用日期、损耗金额、商品仓库及原因；单独统计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仓储和办公室费用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同表 RENTAL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amount、premises_type、城市、费用日期；押金不纳入费用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营销费用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同表 MARKETING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日期、金额、类型、事项、经办人和城市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三段运费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Order order_logistics_cost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日期、金额、承担方、运输环节及城市；仅公司承担计费用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员工报销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HR hr_expense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日期、金额、类型、员工编码、部门快照、城市及付款标记</w:t>
            </w:r>
          </w:p>
        </w:tc>
      </w:tr>
    </w:tbl>
    <w:p>
      <w:pPr>
        <w:spacing w:after="20"/>
      </w:pPr>
    </w:p>
    <w:p>
      <w:r>
        <w:t>共同使用原状态 DRAFT、CONFIRMED、VOID。确认金额只包含 CONFIRMED、金额非空、公司承担记录；待确认另列，已作废不计入。编辑已确认单据会回到待确认，因此下一成功计算会减少已确认金额并增加待确认金额，这是源状态的真实变化。</w:t>
      </w:r>
    </w:p>
    <w:p>
      <w:r>
        <w:t>ERP 和 Order 草稿允许空金额；HR 报销金额必填。空金额显示“未填”，不能替换成零；合法确认零元保留笔数。费用日期 cost_date 统一用于全局筛选；费用月份 cost_month 只保留详情，不混算。</w:t>
      </w:r>
    </w:p>
    <w:p>
      <w:r>
        <w:t>已确认经营费用 = 公司承担运费 + 仓储 + 办公 + 营销 + 员工报销 + 场地待分类。报销已经包含在经营费用中，不能再加一次。采购额不是销售成本，损耗也不是付款流水，二者不放入经营费用或其占比分母。</w:t>
      </w:r>
    </w:p>
    <w:p>
      <w:r>
        <w:t>ERP 办公费用与 HR 办公室租赁报销可能对应同一事项。系统录入不自动保证经济去重；疑似项只提示业务核对，未核实前保留原金额，不宣称已核定会计总成本。</w:t>
      </w:r>
    </w:p>
    <w:p>
      <w:pPr>
        <w:pStyle w:val="Heading1"/>
        <w:pageBreakBefore/>
      </w:pPr>
      <w:r>
        <w:t>03 页面和指标设计</w:t>
      </w:r>
    </w:p>
    <w:p>
      <w:r>
        <w:t>顶栏提供年份、月份或全年、授权城市、刷新及全屏。第二行明确本期和上期起止日期。四个章节为“费用总览、城市对比、报销分析、费用明细”；右侧为“待核对、统计说明”。切换全局日期或城市时，四个章节同步更新并清理旧下钻条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首页指标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算法及展示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点击行为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已确认经营费用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当前授权范围确认经营费用总额；展示上期差额、增幅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本期确认经营费用单据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已付款经营费用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同集合中 PAID 金额；展示占已确认费用比例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本期确认且已付款单据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未付款经营费用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同集合中 UNPAID 金额；展示占比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本期确认且未付款单据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待确认经营费用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DRAFT 中非空金额之和；显示总笔数及未填笔数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本期待确认经营费用单据</w:t>
            </w:r>
          </w:p>
        </w:tc>
      </w:tr>
    </w:tbl>
    <w:p>
      <w:pPr>
        <w:spacing w:after="20"/>
      </w:pPr>
    </w:p>
    <w:p>
      <w:r>
        <w:t>付款字段当前只支持 PAID、UNPAID。“已付款经营费用”始终配“按台账付款标记统计”；它表示本期发生费用的当前付款状态，不表示本期实际支付流水。若历史记录出现未知标记，付款图增加“状态未记录”桶，不强行归到未付款。</w:t>
      </w:r>
    </w:p>
    <w:p>
      <w:r>
        <w:t>采购、损耗在四指标下方独立显示金额及进入明细入口。其待确认金额可在各自明细查阅，不混入经营费用待确认卡。</w:t>
      </w:r>
    </w:p>
    <w:p>
      <w:r>
        <w:t>首页的三条简短读数均由图表同一集合计算：最大费用类别及占比、已归属城市中金额最高的城市及占总费用比例、本期较上期增减额。它们只描述数据，不推断城市绩效或费用合理性；无可比数据时不生成增长结论。</w:t>
      </w:r>
    </w:p>
    <w:p>
      <w:r>
        <w:t>正式显示金额用元和两位小数，所有数值有明确单位。大金额纵轴允许用万元缩写，悬浮和明细仍显示精确金额。百分比一位小数，独立四舍五入可能导致显示和为 99.9% 或 100.1%，不得修改原金额凑整。</w:t>
      </w:r>
    </w:p>
    <w:p>
      <w:pPr>
        <w:pStyle w:val="Heading1"/>
        <w:pageBreakBefore/>
      </w:pPr>
      <w:r>
        <w:t>04 费用支出趋势</w:t>
      </w:r>
    </w:p>
    <w:p>
      <w:r>
        <w:t>首页默认显示累计费用双折线，并可切换按日发生额；全年模式切换为累计与按月发生额。蓝线代表本期，灰色虚线代表可比期，图例标出两期金额。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设计项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处理规则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横轴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月视图为日序，全年为月序；两期按对应日或月对齐，页首列明实际日期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纵轴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金额从零开始，两条线共用一个刻度；不使用双轴制造变化错觉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累计值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从本期起点到当前横轴点的确认经营费用累加；最后一点等于本期费用总额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发生额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当前日或月的确认经营费用之和；所有点之和等于本期费用总额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悬浮信息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日期或序号、本期金额、可比期金额、累计或发生额标识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下钻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图下“查看本期费用”进入相同范围明细；正式版支持选定日期点查看该日明细</w:t>
            </w:r>
          </w:p>
        </w:tc>
      </w:tr>
    </w:tbl>
    <w:p>
      <w:pPr>
        <w:spacing w:after="20"/>
      </w:pPr>
    </w:p>
    <w:p>
      <w:r>
        <w:t>当前月示例：2026-10-01 至 10-16 比较 2026-09-01 至 09-16；不能拿半个月对比上月全月。已结束月份比较完整自然月，月长不同时以实际天数绘制，超出短月部分不补零延长。当前年比较截至同月日的上年；完整历史年比较全年，闰年和月底按合法日期裁剪。</w:t>
      </w:r>
    </w:p>
    <w:p>
      <w:r>
        <w:t>当前有完整计算批次且某日无记录，可补零以表示该日没有登记费用；没有源数据覆盖或整期没有可比记录，显示“无可比数据”，不补造上期零值。首屏无本期记录展示空状态，不把所有卡片展示为已确认的零成本。</w:t>
      </w:r>
    </w:p>
    <w:p>
      <w:r>
        <w:t>“支出趋势”在本版明确指费用发生趋势，统计日期为费用日期。除非后续系统增加付款日期和逐笔付款金额，本期不另画现金实际支出趋势。</w:t>
      </w:r>
    </w:p>
    <w:p>
      <w:pPr>
        <w:pStyle w:val="Heading1"/>
        <w:pageBreakBefore/>
      </w:pPr>
      <w:r>
        <w:t>05 构成占比和费用增减</w:t>
      </w:r>
    </w:p>
    <w:p>
      <w:r>
        <w:t>“费用花在哪里”采用环形图，中央显示经营费用合计。侧边或下方图例直接给出类别、金额、占比，无需悬浮才能知道比例。公司运费、仓储、办公、营销、报销和待分类场地费使用固定颜色。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图表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计算和交互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费用构成环形图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类别占比 = 当前类别确认费用 ÷ 当前筛选范围确认经营费用；点击类别进入对应明细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零金额类别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可以在图例显示 0.00 和 0.0%，不制造可见扇区；全部金额为零时显示零金额说明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费用增减图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每类差额 = 本期类别金额 − 可比期类别金额；横向条从零线向右或向左伸展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增减排序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按差额绝对值降序；两侧共用对称金额尺度，标明正负差额和增幅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增减下钻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点击类别进入本期对应单据，可切换同条件上期查询；两期不能静默混合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无法计算增幅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上期零本期非零显示“上期为零”；没有可比数据不画增减贡献，不显示无限大或虚构 100%</w:t>
            </w:r>
          </w:p>
        </w:tc>
      </w:tr>
    </w:tbl>
    <w:p>
      <w:pPr>
        <w:spacing w:after="20"/>
      </w:pPr>
    </w:p>
    <w:p>
      <w:r>
        <w:t>增减图回答“总体变化主要来自哪些费用”，并不把增幅百分比当成金额占比。类别差额的合计必须等于总体差额；增加和减少只表示方向，不自动用红绿标记经营好坏。</w:t>
      </w:r>
    </w:p>
    <w:p>
      <w:r>
        <w:t>完整性要求：场地未分类仍计入待分类桶；缺失城市也不会导致类别构成少算。报销不可见时整图排除报销并提示“当前合计不含报销”，不得在图例中泄露报销金额或把它写成零。</w:t>
      </w:r>
    </w:p>
    <w:p>
      <w:r>
        <w:t>演示样例仅用于核对图表：经营费用 180048.71 元；仓储 66828.88 元，占 37.1%；营销 45616.78 元，占 25.3%。上期总额 174569.00 元，本期增加 5479.71 元，增幅约 3.1%。这些数值是虚构测试值，不是系统实际经营数据。</w:t>
      </w:r>
    </w:p>
    <w:p>
      <w:pPr>
        <w:pStyle w:val="Heading1"/>
        <w:pageBreakBefore/>
      </w:pPr>
      <w:r>
        <w:t>06 城市费用对比</w:t>
      </w:r>
    </w:p>
    <w:p>
      <w:r>
        <w:t>首页先显示本期与上期双条形城市图；“城市对比”页提供更完整分析，可在经营费用、商品采购、商品损耗之间切换。切换时标题、金额、差额、占比分母和下钻条件必须一起切换，不能复用另一个范围的总额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展示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具体规则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城市双条形图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一座城市一组，本期蓝色、上期灰色；同一金额刻度且从零开始；金额标在条末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差额与增幅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在城市名称一行给出本期减上期及增幅；没有可比期时只展示本期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排序和待归属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按本期金额降序；未映射记录作为“待归属城市”保留，不冒充正式城市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城市本期占比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该城市本期金额 ÷ 当前筛选范围所有城市本期金额，包含有权查看的待归属桶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城市百分比结构图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仅在经营费用范围展示；每条代表该城市 100% 费用，按固定类别颜色堆叠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结构图标签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足够宽的色块直接显示比例；小块不强塞文本，悬浮显示类别、精确金额和占比，图例常驻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城市对比表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城市、本期、上期、差额、增幅、本期占比；与图表使用同一数据集合</w:t>
            </w:r>
          </w:p>
        </w:tc>
      </w:tr>
    </w:tbl>
    <w:p>
      <w:pPr>
        <w:spacing w:after="20"/>
      </w:pPr>
    </w:p>
    <w:p>
      <w:r>
        <w:t>城市结构图用于比较费用构成，长度都为 100%，不能据此判断金额多少；每条同时显示该城市合计。金额比较使用上方双条形图。结构图分母是该城市的费用，不是全部城市合计。</w:t>
      </w:r>
    </w:p>
    <w:p>
      <w:r>
        <w:t>点击蓝条进入该城市本期单据，点击灰条进入上期单据；明细顶端必须明确“本期”或“对比期”。点击城市结构色块，同时带入城市和费用类别。已选择单一城市时占比自然为当前范围的 100%，页面保留筛选提示，不暗示其占全公司 100%。</w:t>
      </w:r>
    </w:p>
    <w:p>
      <w:r>
        <w:t>城市代码继续使用现有经营城市与原费用地区映射。缺失和多义归属进入待核对，不能按名称临时猜测。权限先于映射和聚合，受限用户不能通过“待归属”桶看到全租户费用。</w:t>
      </w:r>
    </w:p>
    <w:p>
      <w:pPr>
        <w:pStyle w:val="Heading1"/>
        <w:pageBreakBefore/>
      </w:pPr>
      <w:r>
        <w:t>07 付款状态和报销分析</w:t>
      </w:r>
    </w:p>
    <w:p>
      <w:r>
        <w:t>付款图使用 100% 堆叠条，直接展示已付款和未付款比例；下方逐项列出金额与百分比。公式为各付款标记金额除以同一确认费用合计，已付款 + 未付款 + 未记录 = 已确认经营费用。点击任一色块或金额查看对应单据。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报销分析功能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展示与处理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四个指标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已确认报销、已付款报销、未付款报销、待确认报销；仍按费用日期及付款标记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类型构成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差旅、交通、住宿、办公等来自系统报销类型字典；环形图并列金额和占比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员工金额排行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已确认报销金额前 10 位横向条形图，标金额和部门；强调只作费用分析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全量员工明细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员工编码、姓名、部门、已确认/付款标记金额、笔数；按编码区分同名员工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员工下钻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点击员工带入 employeeCode，不能用姓名模糊查询代替精确过滤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类型下钻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点击类型带入稳定类型编码；停用字典值仍可查历史，未知类型保留其他桶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无报销权限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返回限制状态，不返回姓名、部门、金额、人数或重复候选对方信息</w:t>
            </w:r>
          </w:p>
        </w:tc>
      </w:tr>
    </w:tbl>
    <w:p>
      <w:pPr>
        <w:spacing w:after="20"/>
      </w:pPr>
    </w:p>
    <w:p>
      <w:r>
        <w:t>已确认报销是经营费用的一部分，首页与报销页的金额可在相同过滤条件下核平。工资、提成、薪酬计算结果不加入本版报销或成本合计。</w:t>
      </w:r>
    </w:p>
    <w:p>
      <w:r>
        <w:t>系统目前的报销状态是待确认、已确认、已作废；页面不制造审批中、审批驳回等不存在的流程。办公室租赁报销与 ERP 办公费用只提示可能重叠，不能只因同金额就自动排除。</w:t>
      </w:r>
    </w:p>
    <w:p>
      <w:r>
        <w:t>本版原型默认经营费用中已付款 120729.05 元，占 67.1%；未付款 59319.66 元，占 32.9%。这些数值均从同一份虚构费用单据计算，原型没有连接真实系统，也不能验证正式付款完整性。</w:t>
      </w:r>
    </w:p>
    <w:p>
      <w:pPr>
        <w:pStyle w:val="Heading1"/>
        <w:pageBreakBefore/>
      </w:pPr>
      <w:r>
        <w:t>08 明细追溯和交互边界</w:t>
      </w:r>
    </w:p>
    <w:p>
      <w:r>
        <w:t>所有图表下钻都携带期间、城市、业务范围、类别、状态、付款标记、员工或类型等条件。下钻金额来自所选集合，不能只把图上的显示金额传给明细页面。正式版携带相同计算结果版本，避免新旧金额混用。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展示和行为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明细列表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单号、事项、类别、城市、日期、金额、状态、付款标记、计入或排除说明；默认日期倒序和稳定源键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明细检索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单号、事项、原始单号、员工及状态；正式版另有类别/付款标记筛选，支持 20/50/100 分页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详情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原金额、日期、员工部门、付款与确认状态、承担方、费用月份、押金及分类专属字段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原始信息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详情折叠区保留原始关联单号、来源标识及业务记录身份；首页不需要用户理解数据库表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回原台账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正式版按业务记录 ID 定位原页面并再次鉴权；确认、修改、作废仍由原模块完成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导出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全部匹配授权结果，非仅当前页；保留筛选、期间、口径、计算版本及来源信息，空值和零分开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待核对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金额未填、城市未归属、场地待分类、疑似重复；按单据去重计数，一笔可含多个原因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空与失败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无记录给空状态；读取失败且有旧结果时保留并提示时间；首次失败无旧结果时显示不可用</w:t>
            </w:r>
          </w:p>
        </w:tc>
      </w:tr>
    </w:tbl>
    <w:p>
      <w:pPr>
        <w:spacing w:after="20"/>
      </w:pPr>
    </w:p>
    <w:p>
      <w:r>
        <w:t>没有 HR 原始来源字段并不是用户输入错误，本版不把“来源未记录”列为报销必须处理的问题。付款、城市和分类的真实缺失必须保留并说明影响金额；不为了让图表完整而补造事实。</w:t>
      </w:r>
    </w:p>
    <w:p>
      <w:r>
        <w:t>全局筛选在章节间保留；切换全局筛选重置旧的局部条件与页码。清除下钻条件回到当前期间的全部授权台账。正式版将筛选保存到 URL，原型采用内存状态。抽屉支持 Escape 关闭及焦点返回，表格可横向滚动，键盘可操作按钮与图例。</w:t>
      </w:r>
    </w:p>
    <w:p>
      <w:r>
        <w:t>CSV 转义引号换行和公式前缀，不输出令牌、签名附件地址及无权字段。下载全部结果与当前查询一致，不能把页面可见的十条当作全量。</w:t>
      </w:r>
    </w:p>
    <w:p>
      <w:pPr>
        <w:pStyle w:val="Heading1"/>
        <w:pageBreakBefore/>
      </w:pPr>
      <w:r>
        <w:t>09 如何实现系统读取和计算</w:t>
      </w:r>
    </w:p>
    <w:p>
      <w:r>
        <w:t>业务数据只存在于既有领域模块中；看板不另建业务录入副本。正式链路为 Portal → Gateway 身份与会话校验 → BI 授权查询；BI 沿用现有分析读取机制，通过 ERP、Order、HR 的内部数据接口取得系统台账字段并计算。禁止浏览器拉全量分页求和，也不直接跨业务库 JOIN。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变更位置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需要完成的工作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Order HR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提供最小成本读取契约：源ID、租户、版本、金额、日期、类别、状态、付款标记、城市、权限字段及必要明细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BI 数据接入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复用 analytics-source 和 bi_source_* 模式，接入三类现有台账；仅建立分析读取需要的投影，不建立外部采集平台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BI 计算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统一确认集合、公司承担、日期、城市映射、权限；一次计算产生指标、趋势、构成、付款、城市与增减数据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Portal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新增手写 API 与看板组件，复用现有路由权限和图表组件；生产图表用项目已有图表库，原型 SVG 不作为强制实现选型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IAM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复用原成本看板入口并明确查看、导出、刷新权限；源类别数据范围与 BI 权限求交集</w:t>
            </w:r>
          </w:p>
        </w:tc>
      </w:tr>
    </w:tbl>
    <w:p>
      <w:pPr>
        <w:spacing w:after="20"/>
      </w:pPr>
    </w:p>
    <w:p>
      <w:r>
        <w:t>需要的接口能力以 /api/v1/analytics/supply/cost-dashboard 为前缀：GET /overview 返回首页图表；GET /cities 返回指定范围城市比较和结构；GET /expenses 返回报销类型和员工；GET /entries 与详情、/export、/quality 支持追溯；GET /filter-options 返回授权候选项。</w:t>
      </w:r>
    </w:p>
    <w:p>
      <w:r>
        <w:t>共同响应应含本期与可比期范围、金额精确字符串、单位、口径版本、计算版本、实际完成时间、数据覆盖范围及 restrictedCategories。前后端不能各自用不同分母重算；后端以 BigDecimal 计算，原型整数分只用于演示。</w:t>
      </w:r>
    </w:p>
    <w:p>
      <w:r>
        <w:t>点击页面刷新重新查询当前可用结果。源单据变更在下一次成功分析更新后体现，界面展示最后成功时间；建议初始更新周期 5 分钟，实际根据既有刷新机制及联调容量定版。此处是系统内部读与算，不是新增外部同步。</w:t>
      </w:r>
    </w:p>
    <w:p>
      <w:pPr>
        <w:pStyle w:val="Heading1"/>
        <w:pageBreakBefore/>
      </w:pPr>
      <w:r>
        <w:t>10 技术正确性和数据库约束</w:t>
      </w:r>
    </w:p>
    <w:p>
      <w:r>
        <w:t>系统中已有数据并不意味着现有 BI 已能查询。本轮已核对源码：成本三表尚未进入现有 BI 数据集；原成本示例和 bi_city_cost_record 不自动叠加。本版只补足真实读取与图表所需能力，不能将演示数值回退为生产结果。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必要约束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实施要求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唯一身份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tenant + sourceService + sourceTable + sourceId；一张费用关联多张业务单仍只计一次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UUID 分页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原费用 ID 为 VARCHAR UUID；现有数值/二进制 UUID 分页需适配 TEXT_UUID 的查询、排序和校验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版本可靠性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源新增、修改、确认、作废在本域事务内推进变更版本；当前 guard.version 不能直接当成已可靠递增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整批一致性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保留完整成功结果；单源失败或读取期间版本变化，不发布半批费用，避免某类金额突然归零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城市语义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HR 经营部门代码与 CRM 地区代码复用现有确定映射，缺失和歧义保留待归属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权限一致性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筛选项、图表、合计、明细、待核对、导出使用同一租户与源范围；报销不可见不能泄露重复对方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缓存和更正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缓存包含权限版本、筛选与计算版本；作废、编辑回待确认后移出确认金额；组织变化可追溯</w:t>
            </w:r>
          </w:p>
        </w:tc>
      </w:tr>
    </w:tbl>
    <w:p>
      <w:pPr>
        <w:spacing w:after="20"/>
      </w:pPr>
    </w:p>
    <w:p>
      <w:r>
        <w:t>源数据读取开始与结束校验版本，发布完整结果；这不等同于跨服务数据库同一时刻的分布式快照。显示各源完成信息供运维核对，业务首页只保留最后更新时间和是否有缺失范围。</w:t>
      </w:r>
    </w:p>
    <w:p>
      <w:r>
        <w:t>数据库操作先核对 profile、环境变量、Nacos 等最终配置及实际实例、Schema、tenant 类型和 flyway_schema_history；源码版本不是部署历史。DEV/local 服务启动可能自动迁移共享库，不能作为只读检查。</w:t>
      </w:r>
    </w:p>
    <w:p>
      <w:r>
        <w:t>新增表与字符列 utf8mb4 / utf8mb4_general_ci；已有 V/B 迁移不改不删，保留 validate、禁止 clean、自动 baseline、out-of-order 和 repair 掩盖失败。运行迁移脚本必须显式目标库、服务和动作；生产启动关闭 Flyway。凭据和业务导出不进 Git。本轮不执行数据库操作。</w:t>
      </w:r>
    </w:p>
    <w:p>
      <w:pPr>
        <w:pStyle w:val="Heading1"/>
        <w:pageBreakBefore/>
      </w:pPr>
      <w:r>
        <w:t>11 验收和对账要求</w:t>
      </w:r>
    </w:p>
    <w:p>
      <w:r>
        <w:t>以下为正式实现验收要求；原型只验证合成数据算法和页面行为，不能替代服务端权限、数据库联调及业务抽样对账。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验收结果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B01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原成本及报销保存后无须再次录入，下一成功计算出现；源作废和修改能正确反映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B02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确认运费100 仓储200 营销300 报销50 采购1000 损耗30：经营费用650，采购1000，损耗30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B03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草稿、作废、非公司承担、押金不进入确认费用；空金额和合法零金额分别展示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B04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分类金额之和、城市金额之和、付款状态金额之和均等于同一范围的经营费用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B05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累计趋势最后一点等于指标，发生额点之和等于指标；上期不同长度不补造数据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B06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环形图按准确占比分段，城市结构每条为本城100%；标签四舍五入不改变原始值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B07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所有城市双条共用零起点刻度；蓝条下钻本期，灰条下钻上期，显示正确期间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B08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各类差额和等于总差额，零基数和无可比记录不生成虚假增幅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B09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采购/损耗切换同步替换全部城市图表、占比和明细范围；不混入经营费用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B10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图表点击后明细确认合计与被点击金额一致；员工按编码、类型按编码精确查询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B11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限权用户的总额、图例、员工、问题和导出不泄露无权数据；同名员工不合并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B12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跨租户相同源ID不串数；至少1001条UUID翻页无漏重；版本变更不发布半批结果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B13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重复技术记录只更新原行，跨模块疑似经济重复只提示，不自动扣减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B14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CSV 全量匹配且同口径版本，保留空与零、来源标识和日期，公式前缀安全处理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B15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1440/1920/窄屏无页面整体横溢；图例、按钮、抽屉可键盘操作；空数据和失败不同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B16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正式数据每类抽样回原台账核对金额日期状态权限，验收记录区分编译、联调和业务对账</w:t>
            </w:r>
          </w:p>
        </w:tc>
      </w:tr>
    </w:tbl>
    <w:p>
      <w:pPr>
        <w:spacing w:after="20"/>
      </w:pPr>
    </w:p>
    <w:p>
      <w:r>
        <w:t>建议性能验收在指定环境以 10 万行、20 并发测量：概览 P95 ≤ 2 秒，分页 ≤ 1 秒。此为目标，未经实测不作已达成承诺；优化不能牺牲权限及图表与明细的一致性。</w:t>
      </w:r>
    </w:p>
    <w:p>
      <w:pPr>
        <w:pStyle w:val="Heading1"/>
        <w:pageBreakBefore/>
      </w:pPr>
      <w:r>
        <w:t>12 交付内容和开发顺序</w:t>
      </w:r>
    </w:p>
    <w:p>
      <w:r>
        <w:t>本次交付 V2 需求文档、可交互原型、自包含 HTML、预览图和验证记录。V1 保留供比较，后续页面设计以 V2 为准。原型全部是确定性虚构记录，页面不读取当前系统真实业务数据。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完成内容及证据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1 口径和读取契约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固定费用日期、经营费用边界、对比规则、权限及数据读取字段；复核现有源能力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2 接入和计算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三域读取、UUID与版本适配、BI完整结果发布及聚合；定向契约/计算/权限测试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3 图表和交互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四章节、五组首页图、城市结构、报销图表、明确金额占比、下钻和空失败状态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4 明细和导出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业务ID定位、同版本查询、服务端全量导出、原台账再次鉴权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5 验收发布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前端构建、隔离库迁移、指定环境联调、受限角色浏览器验证及业务对账分别记录</w:t>
            </w:r>
          </w:p>
        </w:tc>
      </w:tr>
    </w:tbl>
    <w:p>
      <w:pPr>
        <w:spacing w:after="20"/>
      </w:pPr>
    </w:p>
    <w:p>
      <w:r>
        <w:t>原型已演示：年月城市筛选、累计/发生额切换、类别和付款状态下钻、城市两期下钻及结构、采购损耗城市比较、报销类型与员工下钻、分页CSV、来源详情、待核对和权限/失败场景。日期点点击、URL恢复、正式分页规格、真实原单跳转和附件仍是正式实现要求，不将原型按钮视为完成。</w:t>
      </w:r>
    </w:p>
    <w:p>
      <w:r>
        <w:t>源码证据沿用同日 V1 核对：Portal src/api/core/cost.ts；ERP ErpCostService 与 erp_cost_entry；Order OrderLogisticsCostService 与 order_logistics_cost；HR HrExpenseService 与 hr_expense；BI BiSourceDatasets、BiSourceSnapshotProjector、OperatingCitySql；Platform AGENTS.md。工作基线 Platform 6ffd6151f4d86a05b7a95c2c7890a23860cf28b1，Portal 5387e0b06cf5fe140e4ff1bbc3a60e646fe27df0，未重新 fetch。</w:t>
      </w:r>
    </w:p>
    <w:p>
      <w:r>
        <w:t>本轮没有更改正式后端、Portal、数据库、权限或部署。需求中“将”“需”“正式版”均为后续计划。系统全域架构与数据库操作细节继续参见项目上下文补充及 V1 的源码索引；如后续代码变化，应重新核对再实施。</w:t>
      </w:r>
    </w:p>
    <w:sectPr w:rsidR="00FC693F" w:rsidRPr="0006063C" w:rsidSect="00034616">
      <w:footerReference w:type="default" r:id="rId9"/>
      <w:pgSz w:w="11906" w:h="16838"/>
      <w:pgMar w:top="1020" w:right="1020" w:bottom="964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68699"/>
        <w:sz w:val="16"/>
      </w:rPr>
      <w:t xml:space="preserve">成本数据看板需求与实现方案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1" w:lineRule="auto" w:after="140"/>
    </w:pPr>
    <w:rPr>
      <w:rFonts w:ascii="Heiti SC" w:hAnsi="Heiti SC" w:eastAsia="Heiti SC"/>
      <w:color w:val="1726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="Heiti SC" w:hAnsi="Heiti SC" w:eastAsia="Heiti SC"/>
      <w:b/>
      <w:bCs/>
      <w:color w:val="1726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eiti SC" w:hAnsi="Heiti SC" w:eastAsia="Heiti SC"/>
      <w:b/>
      <w:bCs/>
      <w:color w:val="17263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Heiti SC" w:hAnsi="Heiti SC" w:eastAsia="Heiti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成本数据看板需求与实现方案</dc:title>
  <dc:subject>现有成本台账与报销的数据看板设计</dc:subject>
  <dc:creator/>
  <cp:keywords>成本台账,报销,BI,需求,数据口径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