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Budget Experiment 331df1f1</w:t>
      </w:r>
    </w:p>
    <w:p>
      <w:r>
        <w:t>Modeled cost, fairness, and search throughput across 1,280 synthetic daily cases</w:t>
      </w:r>
    </w:p>
    <w:p>
      <w:r>
        <w:t>Decision for review: keep Tabu as the control while investigating alternatives by workload. All three alternatives reduce accepted modeled cost on average across their 320 matched cases, yet every one loses to Tabu in the 50 technician dispersed group. This archive supports a targeted follow-up, not a blanket solver switch or a production savings estimate.</w:t>
      </w:r>
    </w:p>
    <w:p>
      <w:pPr>
        <w:pStyle w:val="Heading1"/>
      </w:pPr>
      <w:r>
        <w:t>Results at a glance</w:t>
      </w:r>
    </w:p>
    <w:p>
      <w:r>
        <w:t>Each comparison holds the fixture, fleet, workload, search seed, and time budget fixed. Savings mean Tabu accepted cost less alternative accepted cost. A positive number favors the alternative. The accepted schedule is the outcome relevant to a dispatcher; the lower reference cost is a search milestone before the fairness phase.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958"/>
        <w:gridCol w:w="2088"/>
        <w:gridCol w:w="1224"/>
        <w:gridCol w:w="2822"/>
      </w:tblGrid>
      <w:tr>
        <w:trPr>
          <w:tblHeader w:val="true"/>
        </w:trPr>
        <w:tc>
          <w:tcPr>
            <w:tcW w:type="dxa" w:w="1656"/>
            <w:vAlign w:val="center"/>
            <w:shd w:fill="DDEBF5"/>
          </w:tcPr>
          <w:p>
            <w:pPr>
              <w:spacing w:after="0"/>
            </w:pPr>
            <w:r>
              <w:rPr>
                <w:b/>
                <w:sz w:val="18"/>
              </w:rPr>
              <w:t>Solver</w:t>
            </w:r>
          </w:p>
        </w:tc>
        <w:tc>
          <w:tcPr>
            <w:tcW w:type="dxa" w:w="1958"/>
            <w:vAlign w:val="center"/>
            <w:shd w:fill="DDEBF5"/>
          </w:tcPr>
          <w:p>
            <w:pPr>
              <w:spacing w:after="0"/>
            </w:pPr>
            <w:r>
              <w:rPr>
                <w:b/>
                <w:sz w:val="18"/>
              </w:rPr>
              <w:t>Mean accepted cost</w:t>
            </w:r>
          </w:p>
        </w:tc>
        <w:tc>
          <w:tcPr>
            <w:tcW w:type="dxa" w:w="2088"/>
            <w:vAlign w:val="center"/>
            <w:shd w:fill="DDEBF5"/>
          </w:tcPr>
          <w:p>
            <w:pPr>
              <w:spacing w:after="0"/>
            </w:pPr>
            <w:r>
              <w:rPr>
                <w:b/>
                <w:sz w:val="18"/>
              </w:rPr>
              <w:t>Mean saving vs Tabu</w:t>
            </w:r>
          </w:p>
        </w:tc>
        <w:tc>
          <w:tcPr>
            <w:tcW w:type="dxa" w:w="1224"/>
            <w:vAlign w:val="center"/>
            <w:shd w:fill="DDEBF5"/>
          </w:tcPr>
          <w:p>
            <w:pPr>
              <w:spacing w:after="0"/>
            </w:pPr>
            <w:r>
              <w:rPr>
                <w:b/>
                <w:sz w:val="18"/>
              </w:rPr>
              <w:t>Cost wins</w:t>
            </w:r>
          </w:p>
        </w:tc>
        <w:tc>
          <w:tcPr>
            <w:tcW w:type="dxa" w:w="2822"/>
            <w:vAlign w:val="center"/>
            <w:shd w:fill="DDEBF5"/>
          </w:tcPr>
          <w:p>
            <w:pPr>
              <w:spacing w:after="0"/>
            </w:pPr>
            <w:r>
              <w:rPr>
                <w:b/>
                <w:sz w:val="18"/>
              </w:rPr>
              <w:t>Mean fairness variance</w:t>
            </w:r>
          </w:p>
        </w:tc>
      </w:tr>
      <w:tr>
        <w:tc>
          <w:tcPr>
            <w:tcW w:type="dxa" w:w="1656"/>
            <w:vAlign w:val="center"/>
            <w:shd w:fill="FFFFFF"/>
          </w:tcPr>
          <w:p>
            <w:pPr>
              <w:spacing w:after="0"/>
            </w:pPr>
            <w:r>
              <w:rPr>
                <w:sz w:val="18"/>
              </w:rPr>
              <w:t>Tabu control</w:t>
            </w:r>
          </w:p>
        </w:tc>
        <w:tc>
          <w:tcPr>
            <w:tcW w:type="dxa" w:w="1958"/>
            <w:vAlign w:val="center"/>
            <w:shd w:fill="FFFFFF"/>
          </w:tcPr>
          <w:p>
            <w:pPr>
              <w:spacing w:after="0"/>
            </w:pPr>
            <w:r>
              <w:rPr>
                <w:sz w:val="18"/>
              </w:rPr>
              <w:t>$1,848.54</w:t>
            </w:r>
          </w:p>
        </w:tc>
        <w:tc>
          <w:tcPr>
            <w:tcW w:type="dxa" w:w="2088"/>
            <w:vAlign w:val="center"/>
            <w:shd w:fill="FFFFFF"/>
          </w:tcPr>
          <w:p>
            <w:pPr>
              <w:spacing w:after="0"/>
            </w:pPr>
            <w:r>
              <w:rPr>
                <w:sz w:val="18"/>
              </w:rPr>
              <w:t>Control</w:t>
            </w:r>
          </w:p>
        </w:tc>
        <w:tc>
          <w:tcPr>
            <w:tcW w:type="dxa" w:w="1224"/>
            <w:vAlign w:val="center"/>
            <w:shd w:fill="FFFFFF"/>
          </w:tcPr>
          <w:p>
            <w:pPr>
              <w:spacing w:after="0"/>
            </w:pPr>
            <w:r>
              <w:rPr>
                <w:sz w:val="18"/>
              </w:rPr>
              <w:t>Control</w:t>
            </w:r>
          </w:p>
        </w:tc>
        <w:tc>
          <w:tcPr>
            <w:tcW w:type="dxa" w:w="2822"/>
            <w:vAlign w:val="center"/>
            <w:shd w:fill="FFFFFF"/>
          </w:tcPr>
          <w:p>
            <w:pPr>
              <w:spacing w:after="0"/>
            </w:pPr>
            <w:r>
              <w:rPr>
                <w:sz w:val="18"/>
              </w:rPr>
              <w:t>0.0122</w:t>
            </w:r>
          </w:p>
        </w:tc>
      </w:tr>
      <w:tr>
        <w:tc>
          <w:tcPr>
            <w:tcW w:type="dxa" w:w="1656"/>
            <w:vAlign w:val="center"/>
            <w:shd w:fill="F6FAFD"/>
          </w:tcPr>
          <w:p>
            <w:pPr>
              <w:spacing w:after="0"/>
            </w:pPr>
            <w:r>
              <w:rPr>
                <w:sz w:val="18"/>
              </w:rPr>
              <w:t>K opt</w:t>
            </w:r>
          </w:p>
        </w:tc>
        <w:tc>
          <w:tcPr>
            <w:tcW w:type="dxa" w:w="1958"/>
            <w:vAlign w:val="center"/>
            <w:shd w:fill="F6FAFD"/>
          </w:tcPr>
          <w:p>
            <w:pPr>
              <w:spacing w:after="0"/>
            </w:pPr>
            <w:r>
              <w:rPr>
                <w:sz w:val="18"/>
              </w:rPr>
              <w:t>$1,842.39</w:t>
            </w:r>
          </w:p>
        </w:tc>
        <w:tc>
          <w:tcPr>
            <w:tcW w:type="dxa" w:w="2088"/>
            <w:vAlign w:val="center"/>
            <w:shd w:fill="F6FAFD"/>
          </w:tcPr>
          <w:p>
            <w:pPr>
              <w:spacing w:after="0"/>
            </w:pPr>
            <w:r>
              <w:rPr>
                <w:sz w:val="18"/>
              </w:rPr>
              <w:t>$6.15</w:t>
            </w:r>
          </w:p>
        </w:tc>
        <w:tc>
          <w:tcPr>
            <w:tcW w:type="dxa" w:w="1224"/>
            <w:vAlign w:val="center"/>
            <w:shd w:fill="F6FAFD"/>
          </w:tcPr>
          <w:p>
            <w:pPr>
              <w:spacing w:after="0"/>
            </w:pPr>
            <w:r>
              <w:rPr>
                <w:sz w:val="18"/>
              </w:rPr>
              <w:t>257 / 320</w:t>
            </w:r>
          </w:p>
        </w:tc>
        <w:tc>
          <w:tcPr>
            <w:tcW w:type="dxa" w:w="2822"/>
            <w:vAlign w:val="center"/>
            <w:shd w:fill="F6FAFD"/>
          </w:tcPr>
          <w:p>
            <w:pPr>
              <w:spacing w:after="0"/>
            </w:pPr>
            <w:r>
              <w:rPr>
                <w:sz w:val="18"/>
              </w:rPr>
              <w:t>0.0207</w:t>
            </w:r>
          </w:p>
        </w:tc>
      </w:tr>
      <w:tr>
        <w:tc>
          <w:tcPr>
            <w:tcW w:type="dxa" w:w="1656"/>
            <w:vAlign w:val="center"/>
            <w:shd w:fill="FFFFFF"/>
          </w:tcPr>
          <w:p>
            <w:pPr>
              <w:spacing w:after="0"/>
            </w:pPr>
            <w:r>
              <w:rPr>
                <w:sz w:val="18"/>
              </w:rPr>
              <w:t>Late acceptance</w:t>
            </w:r>
          </w:p>
        </w:tc>
        <w:tc>
          <w:tcPr>
            <w:tcW w:type="dxa" w:w="1958"/>
            <w:vAlign w:val="center"/>
            <w:shd w:fill="FFFFFF"/>
          </w:tcPr>
          <w:p>
            <w:pPr>
              <w:spacing w:after="0"/>
            </w:pPr>
            <w:r>
              <w:rPr>
                <w:sz w:val="18"/>
              </w:rPr>
              <w:t>$1,842.85</w:t>
            </w:r>
          </w:p>
        </w:tc>
        <w:tc>
          <w:tcPr>
            <w:tcW w:type="dxa" w:w="2088"/>
            <w:vAlign w:val="center"/>
            <w:shd w:fill="FFFFFF"/>
          </w:tcPr>
          <w:p>
            <w:pPr>
              <w:spacing w:after="0"/>
            </w:pPr>
            <w:r>
              <w:rPr>
                <w:sz w:val="18"/>
              </w:rPr>
              <w:t>$5.69</w:t>
            </w:r>
          </w:p>
        </w:tc>
        <w:tc>
          <w:tcPr>
            <w:tcW w:type="dxa" w:w="1224"/>
            <w:vAlign w:val="center"/>
            <w:shd w:fill="FFFFFF"/>
          </w:tcPr>
          <w:p>
            <w:pPr>
              <w:spacing w:after="0"/>
            </w:pPr>
            <w:r>
              <w:rPr>
                <w:sz w:val="18"/>
              </w:rPr>
              <w:t>252 / 320</w:t>
            </w:r>
          </w:p>
        </w:tc>
        <w:tc>
          <w:tcPr>
            <w:tcW w:type="dxa" w:w="2822"/>
            <w:vAlign w:val="center"/>
            <w:shd w:fill="FFFFFF"/>
          </w:tcPr>
          <w:p>
            <w:pPr>
              <w:spacing w:after="0"/>
            </w:pPr>
            <w:r>
              <w:rPr>
                <w:sz w:val="18"/>
              </w:rPr>
              <w:t>0.0246</w:t>
            </w:r>
          </w:p>
        </w:tc>
      </w:tr>
      <w:tr>
        <w:tc>
          <w:tcPr>
            <w:tcW w:type="dxa" w:w="1656"/>
            <w:vAlign w:val="center"/>
            <w:shd w:fill="F6FAFD"/>
          </w:tcPr>
          <w:p>
            <w:pPr>
              <w:spacing w:after="0"/>
            </w:pPr>
            <w:r>
              <w:rPr>
                <w:sz w:val="18"/>
              </w:rPr>
              <w:t>Sublist</w:t>
            </w:r>
          </w:p>
        </w:tc>
        <w:tc>
          <w:tcPr>
            <w:tcW w:type="dxa" w:w="1958"/>
            <w:vAlign w:val="center"/>
            <w:shd w:fill="F6FAFD"/>
          </w:tcPr>
          <w:p>
            <w:pPr>
              <w:spacing w:after="0"/>
            </w:pPr>
            <w:r>
              <w:rPr>
                <w:sz w:val="18"/>
              </w:rPr>
              <w:t>$1,842.13</w:t>
            </w:r>
          </w:p>
        </w:tc>
        <w:tc>
          <w:tcPr>
            <w:tcW w:type="dxa" w:w="2088"/>
            <w:vAlign w:val="center"/>
            <w:shd w:fill="F6FAFD"/>
          </w:tcPr>
          <w:p>
            <w:pPr>
              <w:spacing w:after="0"/>
            </w:pPr>
            <w:r>
              <w:rPr>
                <w:sz w:val="18"/>
              </w:rPr>
              <w:t>$6.41</w:t>
            </w:r>
          </w:p>
        </w:tc>
        <w:tc>
          <w:tcPr>
            <w:tcW w:type="dxa" w:w="1224"/>
            <w:vAlign w:val="center"/>
            <w:shd w:fill="F6FAFD"/>
          </w:tcPr>
          <w:p>
            <w:pPr>
              <w:spacing w:after="0"/>
            </w:pPr>
            <w:r>
              <w:rPr>
                <w:sz w:val="18"/>
              </w:rPr>
              <w:t>261 / 320</w:t>
            </w:r>
          </w:p>
        </w:tc>
        <w:tc>
          <w:tcPr>
            <w:tcW w:type="dxa" w:w="2822"/>
            <w:vAlign w:val="center"/>
            <w:shd w:fill="F6FAFD"/>
          </w:tcPr>
          <w:p>
            <w:pPr>
              <w:spacing w:after="0"/>
            </w:pPr>
            <w:r>
              <w:rPr>
                <w:sz w:val="18"/>
              </w:rPr>
              <w:t>0.0221</w:t>
            </w:r>
          </w:p>
        </w:tc>
      </w:tr>
    </w:tbl>
    <w:p/>
    <w:p>
      <w:r>
        <w:t>Fairness variance is lower when paid workload is more evenly spread relative to technician capacity. These overall means mix different fleet sizes; compare fairness within a matched case or group. Tabu has the lowest overall mean variance, so average cost gains do not also mean average fairness gains.</w:t>
      </w:r>
    </w:p>
    <w:p>
      <w:pPr>
        <w:pStyle w:val="Heading1"/>
      </w:pPr>
      <w:r>
        <w:t>Where the cost changes</w:t>
      </w:r>
    </w:p>
    <w:p>
      <w:r>
        <w:t>The largest consistent gains occur in dispersed fleets of 10 and 20. The 50 technician dispersed group reverses the result in all ten seeds at all four budgets. The table gives mean accepted cost difference per matched case, in dollars. Each cell contains 40 pairings.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016"/>
        <w:gridCol w:w="2232"/>
        <w:gridCol w:w="2448"/>
        <w:gridCol w:w="2232"/>
      </w:tblGrid>
      <w:tr>
        <w:trPr>
          <w:tblHeader w:val="true"/>
        </w:trPr>
        <w:tc>
          <w:tcPr>
            <w:tcW w:type="dxa" w:w="1008"/>
            <w:vAlign w:val="center"/>
            <w:shd w:fill="DDEBF5"/>
          </w:tcPr>
          <w:p>
            <w:pPr>
              <w:spacing w:after="0"/>
            </w:pPr>
            <w:r>
              <w:rPr>
                <w:b/>
                <w:sz w:val="18"/>
              </w:rPr>
              <w:t>Techs</w:t>
            </w:r>
          </w:p>
        </w:tc>
        <w:tc>
          <w:tcPr>
            <w:tcW w:type="dxa" w:w="2016"/>
            <w:vAlign w:val="center"/>
            <w:shd w:fill="DDEBF5"/>
          </w:tcPr>
          <w:p>
            <w:pPr>
              <w:spacing w:after="0"/>
            </w:pPr>
            <w:r>
              <w:rPr>
                <w:b/>
                <w:sz w:val="18"/>
              </w:rPr>
              <w:t>Workload</w:t>
            </w:r>
          </w:p>
        </w:tc>
        <w:tc>
          <w:tcPr>
            <w:tcW w:type="dxa" w:w="2232"/>
            <w:vAlign w:val="center"/>
            <w:shd w:fill="DDEBF5"/>
          </w:tcPr>
          <w:p>
            <w:pPr>
              <w:spacing w:after="0"/>
            </w:pPr>
            <w:r>
              <w:rPr>
                <w:b/>
                <w:sz w:val="18"/>
              </w:rPr>
              <w:t>K opt</w:t>
            </w:r>
          </w:p>
        </w:tc>
        <w:tc>
          <w:tcPr>
            <w:tcW w:type="dxa" w:w="2448"/>
            <w:vAlign w:val="center"/>
            <w:shd w:fill="DDEBF5"/>
          </w:tcPr>
          <w:p>
            <w:pPr>
              <w:spacing w:after="0"/>
            </w:pPr>
            <w:r>
              <w:rPr>
                <w:b/>
                <w:sz w:val="18"/>
              </w:rPr>
              <w:t>Late acceptance</w:t>
            </w:r>
          </w:p>
        </w:tc>
        <w:tc>
          <w:tcPr>
            <w:tcW w:type="dxa" w:w="2232"/>
            <w:vAlign w:val="center"/>
            <w:shd w:fill="DDEBF5"/>
          </w:tcPr>
          <w:p>
            <w:pPr>
              <w:spacing w:after="0"/>
            </w:pPr>
            <w:r>
              <w:rPr>
                <w:b/>
                <w:sz w:val="18"/>
              </w:rPr>
              <w:t>Sublist</w:t>
            </w:r>
          </w:p>
        </w:tc>
      </w:tr>
      <w:tr>
        <w:tc>
          <w:tcPr>
            <w:tcW w:type="dxa" w:w="1008"/>
            <w:vAlign w:val="center"/>
            <w:shd w:fill="FFFFFF"/>
          </w:tcPr>
          <w:p>
            <w:pPr>
              <w:spacing w:after="0"/>
            </w:pPr>
            <w:r>
              <w:rPr>
                <w:sz w:val="18"/>
              </w:rPr>
              <w:t>5</w:t>
            </w:r>
          </w:p>
        </w:tc>
        <w:tc>
          <w:tcPr>
            <w:tcW w:type="dxa" w:w="2016"/>
            <w:vAlign w:val="center"/>
            <w:shd w:fill="FFFFFF"/>
          </w:tcPr>
          <w:p>
            <w:pPr>
              <w:spacing w:after="0"/>
            </w:pPr>
            <w:r>
              <w:rPr>
                <w:sz w:val="18"/>
              </w:rPr>
              <w:t>Clustered</w:t>
            </w:r>
          </w:p>
        </w:tc>
        <w:tc>
          <w:tcPr>
            <w:tcW w:type="dxa" w:w="2232"/>
            <w:vAlign w:val="center"/>
            <w:shd w:fill="FFFFFF"/>
          </w:tcPr>
          <w:p>
            <w:pPr>
              <w:spacing w:after="0"/>
            </w:pPr>
            <w:r>
              <w:rPr>
                <w:sz w:val="18"/>
              </w:rPr>
              <w:t>$3.32</w:t>
            </w:r>
          </w:p>
        </w:tc>
        <w:tc>
          <w:tcPr>
            <w:tcW w:type="dxa" w:w="2448"/>
            <w:vAlign w:val="center"/>
            <w:shd w:fill="FFFFFF"/>
          </w:tcPr>
          <w:p>
            <w:pPr>
              <w:spacing w:after="0"/>
            </w:pPr>
            <w:r>
              <w:rPr>
                <w:sz w:val="18"/>
              </w:rPr>
              <w:t>$4.11</w:t>
            </w:r>
          </w:p>
        </w:tc>
        <w:tc>
          <w:tcPr>
            <w:tcW w:type="dxa" w:w="2232"/>
            <w:vAlign w:val="center"/>
            <w:shd w:fill="FFFFFF"/>
          </w:tcPr>
          <w:p>
            <w:pPr>
              <w:spacing w:after="0"/>
            </w:pPr>
            <w:r>
              <w:rPr>
                <w:sz w:val="18"/>
              </w:rPr>
              <w:t>$4.85</w:t>
            </w:r>
          </w:p>
        </w:tc>
      </w:tr>
      <w:tr>
        <w:tc>
          <w:tcPr>
            <w:tcW w:type="dxa" w:w="1008"/>
            <w:vAlign w:val="center"/>
            <w:shd w:fill="F6FAFD"/>
          </w:tcPr>
          <w:p>
            <w:pPr>
              <w:spacing w:after="0"/>
            </w:pPr>
            <w:r>
              <w:rPr>
                <w:sz w:val="18"/>
              </w:rPr>
              <w:t>5</w:t>
            </w:r>
          </w:p>
        </w:tc>
        <w:tc>
          <w:tcPr>
            <w:tcW w:type="dxa" w:w="2016"/>
            <w:vAlign w:val="center"/>
            <w:shd w:fill="F6FAFD"/>
          </w:tcPr>
          <w:p>
            <w:pPr>
              <w:spacing w:after="0"/>
            </w:pPr>
            <w:r>
              <w:rPr>
                <w:sz w:val="18"/>
              </w:rPr>
              <w:t>Dispersed</w:t>
            </w:r>
          </w:p>
        </w:tc>
        <w:tc>
          <w:tcPr>
            <w:tcW w:type="dxa" w:w="2232"/>
            <w:vAlign w:val="center"/>
            <w:shd w:fill="F6FAFD"/>
          </w:tcPr>
          <w:p>
            <w:pPr>
              <w:spacing w:after="0"/>
            </w:pPr>
            <w:r>
              <w:rPr>
                <w:sz w:val="18"/>
              </w:rPr>
              <w:t>$3.36</w:t>
            </w:r>
          </w:p>
        </w:tc>
        <w:tc>
          <w:tcPr>
            <w:tcW w:type="dxa" w:w="2448"/>
            <w:vAlign w:val="center"/>
            <w:shd w:fill="F6FAFD"/>
          </w:tcPr>
          <w:p>
            <w:pPr>
              <w:spacing w:after="0"/>
            </w:pPr>
            <w:r>
              <w:rPr>
                <w:sz w:val="18"/>
              </w:rPr>
              <w:t>$3.04</w:t>
            </w:r>
          </w:p>
        </w:tc>
        <w:tc>
          <w:tcPr>
            <w:tcW w:type="dxa" w:w="2232"/>
            <w:vAlign w:val="center"/>
            <w:shd w:fill="F6FAFD"/>
          </w:tcPr>
          <w:p>
            <w:pPr>
              <w:spacing w:after="0"/>
            </w:pPr>
            <w:r>
              <w:rPr>
                <w:sz w:val="18"/>
              </w:rPr>
              <w:t>$3.32</w:t>
            </w:r>
          </w:p>
        </w:tc>
      </w:tr>
      <w:tr>
        <w:tc>
          <w:tcPr>
            <w:tcW w:type="dxa" w:w="1008"/>
            <w:vAlign w:val="center"/>
            <w:shd w:fill="FFFFFF"/>
          </w:tcPr>
          <w:p>
            <w:pPr>
              <w:spacing w:after="0"/>
            </w:pPr>
            <w:r>
              <w:rPr>
                <w:sz w:val="18"/>
              </w:rPr>
              <w:t>10</w:t>
            </w:r>
          </w:p>
        </w:tc>
        <w:tc>
          <w:tcPr>
            <w:tcW w:type="dxa" w:w="2016"/>
            <w:vAlign w:val="center"/>
            <w:shd w:fill="FFFFFF"/>
          </w:tcPr>
          <w:p>
            <w:pPr>
              <w:spacing w:after="0"/>
            </w:pPr>
            <w:r>
              <w:rPr>
                <w:sz w:val="18"/>
              </w:rPr>
              <w:t>Clustered</w:t>
            </w:r>
          </w:p>
        </w:tc>
        <w:tc>
          <w:tcPr>
            <w:tcW w:type="dxa" w:w="2232"/>
            <w:vAlign w:val="center"/>
            <w:shd w:fill="FFFFFF"/>
          </w:tcPr>
          <w:p>
            <w:pPr>
              <w:spacing w:after="0"/>
            </w:pPr>
            <w:r>
              <w:rPr>
                <w:sz w:val="18"/>
              </w:rPr>
              <w:t>$10.39</w:t>
            </w:r>
          </w:p>
        </w:tc>
        <w:tc>
          <w:tcPr>
            <w:tcW w:type="dxa" w:w="2448"/>
            <w:vAlign w:val="center"/>
            <w:shd w:fill="FFFFFF"/>
          </w:tcPr>
          <w:p>
            <w:pPr>
              <w:spacing w:after="0"/>
            </w:pPr>
            <w:r>
              <w:rPr>
                <w:sz w:val="18"/>
              </w:rPr>
              <w:t>$8.97</w:t>
            </w:r>
          </w:p>
        </w:tc>
        <w:tc>
          <w:tcPr>
            <w:tcW w:type="dxa" w:w="2232"/>
            <w:vAlign w:val="center"/>
            <w:shd w:fill="FFFFFF"/>
          </w:tcPr>
          <w:p>
            <w:pPr>
              <w:spacing w:after="0"/>
            </w:pPr>
            <w:r>
              <w:rPr>
                <w:sz w:val="18"/>
              </w:rPr>
              <w:t>$9.88</w:t>
            </w:r>
          </w:p>
        </w:tc>
      </w:tr>
      <w:tr>
        <w:tc>
          <w:tcPr>
            <w:tcW w:type="dxa" w:w="1008"/>
            <w:vAlign w:val="center"/>
            <w:shd w:fill="F6FAFD"/>
          </w:tcPr>
          <w:p>
            <w:pPr>
              <w:spacing w:after="0"/>
            </w:pPr>
            <w:r>
              <w:rPr>
                <w:sz w:val="18"/>
              </w:rPr>
              <w:t>10</w:t>
            </w:r>
          </w:p>
        </w:tc>
        <w:tc>
          <w:tcPr>
            <w:tcW w:type="dxa" w:w="2016"/>
            <w:vAlign w:val="center"/>
            <w:shd w:fill="F6FAFD"/>
          </w:tcPr>
          <w:p>
            <w:pPr>
              <w:spacing w:after="0"/>
            </w:pPr>
            <w:r>
              <w:rPr>
                <w:sz w:val="18"/>
              </w:rPr>
              <w:t>Dispersed</w:t>
            </w:r>
          </w:p>
        </w:tc>
        <w:tc>
          <w:tcPr>
            <w:tcW w:type="dxa" w:w="2232"/>
            <w:vAlign w:val="center"/>
            <w:shd w:fill="F6FAFD"/>
          </w:tcPr>
          <w:p>
            <w:pPr>
              <w:spacing w:after="0"/>
            </w:pPr>
            <w:r>
              <w:rPr>
                <w:sz w:val="18"/>
              </w:rPr>
              <w:t>$37.58</w:t>
            </w:r>
          </w:p>
        </w:tc>
        <w:tc>
          <w:tcPr>
            <w:tcW w:type="dxa" w:w="2448"/>
            <w:vAlign w:val="center"/>
            <w:shd w:fill="F6FAFD"/>
          </w:tcPr>
          <w:p>
            <w:pPr>
              <w:spacing w:after="0"/>
            </w:pPr>
            <w:r>
              <w:rPr>
                <w:sz w:val="18"/>
              </w:rPr>
              <w:t>$34.27</w:t>
            </w:r>
          </w:p>
        </w:tc>
        <w:tc>
          <w:tcPr>
            <w:tcW w:type="dxa" w:w="2232"/>
            <w:vAlign w:val="center"/>
            <w:shd w:fill="F6FAFD"/>
          </w:tcPr>
          <w:p>
            <w:pPr>
              <w:spacing w:after="0"/>
            </w:pPr>
            <w:r>
              <w:rPr>
                <w:sz w:val="18"/>
              </w:rPr>
              <w:t>$35.90</w:t>
            </w:r>
          </w:p>
        </w:tc>
      </w:tr>
      <w:tr>
        <w:tc>
          <w:tcPr>
            <w:tcW w:type="dxa" w:w="1008"/>
            <w:vAlign w:val="center"/>
            <w:shd w:fill="FFFFFF"/>
          </w:tcPr>
          <w:p>
            <w:pPr>
              <w:spacing w:after="0"/>
            </w:pPr>
            <w:r>
              <w:rPr>
                <w:sz w:val="18"/>
              </w:rPr>
              <w:t>20</w:t>
            </w:r>
          </w:p>
        </w:tc>
        <w:tc>
          <w:tcPr>
            <w:tcW w:type="dxa" w:w="2016"/>
            <w:vAlign w:val="center"/>
            <w:shd w:fill="FFFFFF"/>
          </w:tcPr>
          <w:p>
            <w:pPr>
              <w:spacing w:after="0"/>
            </w:pPr>
            <w:r>
              <w:rPr>
                <w:sz w:val="18"/>
              </w:rPr>
              <w:t>Clustered</w:t>
            </w:r>
          </w:p>
        </w:tc>
        <w:tc>
          <w:tcPr>
            <w:tcW w:type="dxa" w:w="2232"/>
            <w:vAlign w:val="center"/>
            <w:shd w:fill="FFFFFF"/>
          </w:tcPr>
          <w:p>
            <w:pPr>
              <w:spacing w:after="0"/>
            </w:pPr>
            <w:r>
              <w:rPr>
                <w:sz w:val="18"/>
              </w:rPr>
              <w:t>$4.87</w:t>
            </w:r>
          </w:p>
        </w:tc>
        <w:tc>
          <w:tcPr>
            <w:tcW w:type="dxa" w:w="2448"/>
            <w:vAlign w:val="center"/>
            <w:shd w:fill="FFFFFF"/>
          </w:tcPr>
          <w:p>
            <w:pPr>
              <w:spacing w:after="0"/>
            </w:pPr>
            <w:r>
              <w:rPr>
                <w:sz w:val="18"/>
              </w:rPr>
              <w:t>$4.12</w:t>
            </w:r>
          </w:p>
        </w:tc>
        <w:tc>
          <w:tcPr>
            <w:tcW w:type="dxa" w:w="2232"/>
            <w:vAlign w:val="center"/>
            <w:shd w:fill="FFFFFF"/>
          </w:tcPr>
          <w:p>
            <w:pPr>
              <w:spacing w:after="0"/>
            </w:pPr>
            <w:r>
              <w:rPr>
                <w:sz w:val="18"/>
              </w:rPr>
              <w:t>$3.77</w:t>
            </w:r>
          </w:p>
        </w:tc>
      </w:tr>
      <w:tr>
        <w:tc>
          <w:tcPr>
            <w:tcW w:type="dxa" w:w="1008"/>
            <w:vAlign w:val="center"/>
            <w:shd w:fill="F6FAFD"/>
          </w:tcPr>
          <w:p>
            <w:pPr>
              <w:spacing w:after="0"/>
            </w:pPr>
            <w:r>
              <w:rPr>
                <w:sz w:val="18"/>
              </w:rPr>
              <w:t>20</w:t>
            </w:r>
          </w:p>
        </w:tc>
        <w:tc>
          <w:tcPr>
            <w:tcW w:type="dxa" w:w="2016"/>
            <w:vAlign w:val="center"/>
            <w:shd w:fill="F6FAFD"/>
          </w:tcPr>
          <w:p>
            <w:pPr>
              <w:spacing w:after="0"/>
            </w:pPr>
            <w:r>
              <w:rPr>
                <w:sz w:val="18"/>
              </w:rPr>
              <w:t>Dispersed</w:t>
            </w:r>
          </w:p>
        </w:tc>
        <w:tc>
          <w:tcPr>
            <w:tcW w:type="dxa" w:w="2232"/>
            <w:vAlign w:val="center"/>
            <w:shd w:fill="F6FAFD"/>
          </w:tcPr>
          <w:p>
            <w:pPr>
              <w:spacing w:after="0"/>
            </w:pPr>
            <w:r>
              <w:rPr>
                <w:sz w:val="18"/>
              </w:rPr>
              <w:t>$30.55</w:t>
            </w:r>
          </w:p>
        </w:tc>
        <w:tc>
          <w:tcPr>
            <w:tcW w:type="dxa" w:w="2448"/>
            <w:vAlign w:val="center"/>
            <w:shd w:fill="F6FAFD"/>
          </w:tcPr>
          <w:p>
            <w:pPr>
              <w:spacing w:after="0"/>
            </w:pPr>
            <w:r>
              <w:rPr>
                <w:sz w:val="18"/>
              </w:rPr>
              <w:t>$27.91</w:t>
            </w:r>
          </w:p>
        </w:tc>
        <w:tc>
          <w:tcPr>
            <w:tcW w:type="dxa" w:w="2232"/>
            <w:vAlign w:val="center"/>
            <w:shd w:fill="F6FAFD"/>
          </w:tcPr>
          <w:p>
            <w:pPr>
              <w:spacing w:after="0"/>
            </w:pPr>
            <w:r>
              <w:rPr>
                <w:sz w:val="18"/>
              </w:rPr>
              <w:t>$29.71</w:t>
            </w:r>
          </w:p>
        </w:tc>
      </w:tr>
      <w:tr>
        <w:tc>
          <w:tcPr>
            <w:tcW w:type="dxa" w:w="1008"/>
            <w:vAlign w:val="center"/>
            <w:shd w:fill="FFFFFF"/>
          </w:tcPr>
          <w:p>
            <w:pPr>
              <w:spacing w:after="0"/>
            </w:pPr>
            <w:r>
              <w:rPr>
                <w:sz w:val="18"/>
              </w:rPr>
              <w:t>50</w:t>
            </w:r>
          </w:p>
        </w:tc>
        <w:tc>
          <w:tcPr>
            <w:tcW w:type="dxa" w:w="2016"/>
            <w:vAlign w:val="center"/>
            <w:shd w:fill="FFFFFF"/>
          </w:tcPr>
          <w:p>
            <w:pPr>
              <w:spacing w:after="0"/>
            </w:pPr>
            <w:r>
              <w:rPr>
                <w:sz w:val="18"/>
              </w:rPr>
              <w:t>Clustered</w:t>
            </w:r>
          </w:p>
        </w:tc>
        <w:tc>
          <w:tcPr>
            <w:tcW w:type="dxa" w:w="2232"/>
            <w:vAlign w:val="center"/>
            <w:shd w:fill="FFFFFF"/>
          </w:tcPr>
          <w:p>
            <w:pPr>
              <w:spacing w:after="0"/>
            </w:pPr>
            <w:r>
              <w:rPr>
                <w:sz w:val="18"/>
              </w:rPr>
              <w:t>$11.21</w:t>
            </w:r>
          </w:p>
        </w:tc>
        <w:tc>
          <w:tcPr>
            <w:tcW w:type="dxa" w:w="2448"/>
            <w:vAlign w:val="center"/>
            <w:shd w:fill="FFFFFF"/>
          </w:tcPr>
          <w:p>
            <w:pPr>
              <w:spacing w:after="0"/>
            </w:pPr>
            <w:r>
              <w:rPr>
                <w:sz w:val="18"/>
              </w:rPr>
              <w:t>$9.98</w:t>
            </w:r>
          </w:p>
        </w:tc>
        <w:tc>
          <w:tcPr>
            <w:tcW w:type="dxa" w:w="2232"/>
            <w:vAlign w:val="center"/>
            <w:shd w:fill="FFFFFF"/>
          </w:tcPr>
          <w:p>
            <w:pPr>
              <w:spacing w:after="0"/>
            </w:pPr>
            <w:r>
              <w:rPr>
                <w:sz w:val="18"/>
              </w:rPr>
              <w:t>$11.28</w:t>
            </w:r>
          </w:p>
        </w:tc>
      </w:tr>
      <w:tr>
        <w:tc>
          <w:tcPr>
            <w:tcW w:type="dxa" w:w="1008"/>
            <w:vAlign w:val="center"/>
            <w:shd w:fill="F6FAFD"/>
          </w:tcPr>
          <w:p>
            <w:pPr>
              <w:spacing w:after="0"/>
            </w:pPr>
            <w:r>
              <w:rPr>
                <w:sz w:val="18"/>
              </w:rPr>
              <w:t>50</w:t>
            </w:r>
          </w:p>
        </w:tc>
        <w:tc>
          <w:tcPr>
            <w:tcW w:type="dxa" w:w="2016"/>
            <w:vAlign w:val="center"/>
            <w:shd w:fill="F6FAFD"/>
          </w:tcPr>
          <w:p>
            <w:pPr>
              <w:spacing w:after="0"/>
            </w:pPr>
            <w:r>
              <w:rPr>
                <w:sz w:val="18"/>
              </w:rPr>
              <w:t>Dispersed</w:t>
            </w:r>
          </w:p>
        </w:tc>
        <w:tc>
          <w:tcPr>
            <w:tcW w:type="dxa" w:w="2232"/>
            <w:vAlign w:val="center"/>
            <w:shd w:fill="F6FAFD"/>
          </w:tcPr>
          <w:p>
            <w:pPr>
              <w:spacing w:after="0"/>
            </w:pPr>
            <w:r>
              <w:rPr>
                <w:sz w:val="18"/>
              </w:rPr>
              <w:t>$-52.10</w:t>
            </w:r>
          </w:p>
        </w:tc>
        <w:tc>
          <w:tcPr>
            <w:tcW w:type="dxa" w:w="2448"/>
            <w:vAlign w:val="center"/>
            <w:shd w:fill="F6FAFD"/>
          </w:tcPr>
          <w:p>
            <w:pPr>
              <w:spacing w:after="0"/>
            </w:pPr>
            <w:r>
              <w:rPr>
                <w:sz w:val="18"/>
              </w:rPr>
              <w:t>$-46.85</w:t>
            </w:r>
          </w:p>
        </w:tc>
        <w:tc>
          <w:tcPr>
            <w:tcW w:type="dxa" w:w="2232"/>
            <w:vAlign w:val="center"/>
            <w:shd w:fill="F6FAFD"/>
          </w:tcPr>
          <w:p>
            <w:pPr>
              <w:spacing w:after="0"/>
            </w:pPr>
            <w:r>
              <w:rPr>
                <w:sz w:val="18"/>
              </w:rPr>
              <w:t>$-47.40</w:t>
            </w:r>
          </w:p>
        </w:tc>
      </w:tr>
    </w:tbl>
    <w:p/>
    <w:p>
      <w:r>
        <w:t>A negative value means the alternative costs more. In the 50 technician dispersed group, mean added accepted cost is $52.10 for K opt, $46.85 for late acceptance, and $47.40 for sublist. Tabu's mean accepted cost there is $4,476.81. The corresponding alternatives range from $4,523.67 to $4,528.91. This exception outweighs many smaller favorable cases in the pooled average.</w:t>
      </w:r>
    </w:p>
    <w:p>
      <w:pPr>
        <w:pStyle w:val="Heading1"/>
      </w:pPr>
      <w:r>
        <w:t>Fairness and the accepted schedule</w:t>
      </w:r>
    </w:p>
    <w:p>
      <w:r>
        <w:t>The daily search first discovers a low cost reference, then spends the remaining budget on fairness under an acceptance ceiling. A reference is therefore not the schedule finally accepted. Across all 1,280 cases, accepted cost averages $35.23 above its own reference. Reporting reference cost as if it were the accepted outcome would overstate the realized modeled cost gain.</w:t>
      </w:r>
    </w:p>
    <w:p>
      <w:r>
        <w:t>For a concrete archive case, the five technician clustered fixture at seed 17 and 60 seconds has a Tabu reference of $385.54 and accepted cost of $393.13. K opt accepts $389.44 and late acceptance $387.99. Their fairness variances are 0.0141 and 0.0141, respectively, versus Tabu's 0.0096. Both alternatives cost less in that case but distribute capacity adjusted paid work less evenly. The exact five technician case illustrates the tradeoff; it is not a fleet wide prediction.</w:t>
      </w:r>
    </w:p>
    <w:p>
      <w:r>
        <w:t>In the 50 technician dispersed group the cost loser can have better fairness. Mean accepted variance is 0.0225 for Tabu, 0.0132 for K opt, 0.0177 for late acceptance, and 0.0135 for sublist. A choice in this group needs an explicit willingness to pay roughly $47 to $52 more modeled cost per case for that balance. Policy still evaluates each actual proposal, rather than substituting group averages.</w:t>
      </w:r>
    </w:p>
    <w:p>
      <w:pPr>
        <w:pStyle w:val="Heading1"/>
      </w:pPr>
      <w:r>
        <w:t>Time and search effort</w:t>
      </w:r>
    </w:p>
    <w:p>
      <w:r>
        <w:t>The four wall clock budgets are 60, 90, 120, and 240 seconds. Every result records time limit termination for both search phases; elapsed times run from 60.008 to 240.053 seconds. The archive ran ten cases in parallel, with each JVM restricted to two active processors. This makes elapsed time a result for this contended setup, not a stand alone latency promise.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448"/>
        <w:gridCol w:w="2664"/>
        <w:gridCol w:w="2592"/>
      </w:tblGrid>
      <w:tr>
        <w:trPr>
          <w:tblHeader w:val="true"/>
        </w:trPr>
        <w:tc>
          <w:tcPr>
            <w:tcW w:type="dxa" w:w="2232"/>
            <w:vAlign w:val="center"/>
            <w:shd w:fill="DDEBF5"/>
          </w:tcPr>
          <w:p>
            <w:pPr>
              <w:spacing w:after="0"/>
            </w:pPr>
            <w:r>
              <w:rPr>
                <w:b/>
                <w:sz w:val="18"/>
              </w:rPr>
              <w:t>Budget seconds</w:t>
            </w:r>
          </w:p>
        </w:tc>
        <w:tc>
          <w:tcPr>
            <w:tcW w:type="dxa" w:w="2448"/>
            <w:vAlign w:val="center"/>
            <w:shd w:fill="DDEBF5"/>
          </w:tcPr>
          <w:p>
            <w:pPr>
              <w:spacing w:after="0"/>
            </w:pPr>
            <w:r>
              <w:rPr>
                <w:b/>
                <w:sz w:val="18"/>
              </w:rPr>
              <w:t>K opt</w:t>
            </w:r>
          </w:p>
        </w:tc>
        <w:tc>
          <w:tcPr>
            <w:tcW w:type="dxa" w:w="2664"/>
            <w:vAlign w:val="center"/>
            <w:shd w:fill="DDEBF5"/>
          </w:tcPr>
          <w:p>
            <w:pPr>
              <w:spacing w:after="0"/>
            </w:pPr>
            <w:r>
              <w:rPr>
                <w:b/>
                <w:sz w:val="18"/>
              </w:rPr>
              <w:t>Late acceptance</w:t>
            </w:r>
          </w:p>
        </w:tc>
        <w:tc>
          <w:tcPr>
            <w:tcW w:type="dxa" w:w="2592"/>
            <w:vAlign w:val="center"/>
            <w:shd w:fill="DDEBF5"/>
          </w:tcPr>
          <w:p>
            <w:pPr>
              <w:spacing w:after="0"/>
            </w:pPr>
            <w:r>
              <w:rPr>
                <w:b/>
                <w:sz w:val="18"/>
              </w:rPr>
              <w:t>Sublist</w:t>
            </w:r>
          </w:p>
        </w:tc>
      </w:tr>
      <w:tr>
        <w:tc>
          <w:tcPr>
            <w:tcW w:type="dxa" w:w="2232"/>
            <w:vAlign w:val="center"/>
            <w:shd w:fill="FFFFFF"/>
          </w:tcPr>
          <w:p>
            <w:pPr>
              <w:spacing w:after="0"/>
            </w:pPr>
            <w:r>
              <w:rPr>
                <w:sz w:val="18"/>
              </w:rPr>
              <w:t>60</w:t>
            </w:r>
          </w:p>
        </w:tc>
        <w:tc>
          <w:tcPr>
            <w:tcW w:type="dxa" w:w="2448"/>
            <w:vAlign w:val="center"/>
            <w:shd w:fill="FFFFFF"/>
          </w:tcPr>
          <w:p>
            <w:pPr>
              <w:spacing w:after="0"/>
            </w:pPr>
            <w:r>
              <w:rPr>
                <w:sz w:val="18"/>
              </w:rPr>
              <w:t>$0.96</w:t>
            </w:r>
          </w:p>
        </w:tc>
        <w:tc>
          <w:tcPr>
            <w:tcW w:type="dxa" w:w="2664"/>
            <w:vAlign w:val="center"/>
            <w:shd w:fill="FFFFFF"/>
          </w:tcPr>
          <w:p>
            <w:pPr>
              <w:spacing w:after="0"/>
            </w:pPr>
            <w:r>
              <w:rPr>
                <w:sz w:val="18"/>
              </w:rPr>
              <w:t>$1.57</w:t>
            </w:r>
          </w:p>
        </w:tc>
        <w:tc>
          <w:tcPr>
            <w:tcW w:type="dxa" w:w="2592"/>
            <w:vAlign w:val="center"/>
            <w:shd w:fill="FFFFFF"/>
          </w:tcPr>
          <w:p>
            <w:pPr>
              <w:spacing w:after="0"/>
            </w:pPr>
            <w:r>
              <w:rPr>
                <w:sz w:val="18"/>
              </w:rPr>
              <w:t>$1.90</w:t>
            </w:r>
          </w:p>
        </w:tc>
      </w:tr>
      <w:tr>
        <w:tc>
          <w:tcPr>
            <w:tcW w:type="dxa" w:w="2232"/>
            <w:vAlign w:val="center"/>
            <w:shd w:fill="F6FAFD"/>
          </w:tcPr>
          <w:p>
            <w:pPr>
              <w:spacing w:after="0"/>
            </w:pPr>
            <w:r>
              <w:rPr>
                <w:sz w:val="18"/>
              </w:rPr>
              <w:t>90</w:t>
            </w:r>
          </w:p>
        </w:tc>
        <w:tc>
          <w:tcPr>
            <w:tcW w:type="dxa" w:w="2448"/>
            <w:vAlign w:val="center"/>
            <w:shd w:fill="F6FAFD"/>
          </w:tcPr>
          <w:p>
            <w:pPr>
              <w:spacing w:after="0"/>
            </w:pPr>
            <w:r>
              <w:rPr>
                <w:sz w:val="18"/>
              </w:rPr>
              <w:t>$5.21</w:t>
            </w:r>
          </w:p>
        </w:tc>
        <w:tc>
          <w:tcPr>
            <w:tcW w:type="dxa" w:w="2664"/>
            <w:vAlign w:val="center"/>
            <w:shd w:fill="F6FAFD"/>
          </w:tcPr>
          <w:p>
            <w:pPr>
              <w:spacing w:after="0"/>
            </w:pPr>
            <w:r>
              <w:rPr>
                <w:sz w:val="18"/>
              </w:rPr>
              <w:t>$5.10</w:t>
            </w:r>
          </w:p>
        </w:tc>
        <w:tc>
          <w:tcPr>
            <w:tcW w:type="dxa" w:w="2592"/>
            <w:vAlign w:val="center"/>
            <w:shd w:fill="F6FAFD"/>
          </w:tcPr>
          <w:p>
            <w:pPr>
              <w:spacing w:after="0"/>
            </w:pPr>
            <w:r>
              <w:rPr>
                <w:sz w:val="18"/>
              </w:rPr>
              <w:t>$5.88</w:t>
            </w:r>
          </w:p>
        </w:tc>
      </w:tr>
      <w:tr>
        <w:tc>
          <w:tcPr>
            <w:tcW w:type="dxa" w:w="2232"/>
            <w:vAlign w:val="center"/>
            <w:shd w:fill="FFFFFF"/>
          </w:tcPr>
          <w:p>
            <w:pPr>
              <w:spacing w:after="0"/>
            </w:pPr>
            <w:r>
              <w:rPr>
                <w:sz w:val="18"/>
              </w:rPr>
              <w:t>120</w:t>
            </w:r>
          </w:p>
        </w:tc>
        <w:tc>
          <w:tcPr>
            <w:tcW w:type="dxa" w:w="2448"/>
            <w:vAlign w:val="center"/>
            <w:shd w:fill="FFFFFF"/>
          </w:tcPr>
          <w:p>
            <w:pPr>
              <w:spacing w:after="0"/>
            </w:pPr>
            <w:r>
              <w:rPr>
                <w:sz w:val="18"/>
              </w:rPr>
              <w:t>$7.00</w:t>
            </w:r>
          </w:p>
        </w:tc>
        <w:tc>
          <w:tcPr>
            <w:tcW w:type="dxa" w:w="2664"/>
            <w:vAlign w:val="center"/>
            <w:shd w:fill="FFFFFF"/>
          </w:tcPr>
          <w:p>
            <w:pPr>
              <w:spacing w:after="0"/>
            </w:pPr>
            <w:r>
              <w:rPr>
                <w:sz w:val="18"/>
              </w:rPr>
              <w:t>$6.53</w:t>
            </w:r>
          </w:p>
        </w:tc>
        <w:tc>
          <w:tcPr>
            <w:tcW w:type="dxa" w:w="2592"/>
            <w:vAlign w:val="center"/>
            <w:shd w:fill="FFFFFF"/>
          </w:tcPr>
          <w:p>
            <w:pPr>
              <w:spacing w:after="0"/>
            </w:pPr>
            <w:r>
              <w:rPr>
                <w:sz w:val="18"/>
              </w:rPr>
              <w:t>$7.24</w:t>
            </w:r>
          </w:p>
        </w:tc>
      </w:tr>
      <w:tr>
        <w:tc>
          <w:tcPr>
            <w:tcW w:type="dxa" w:w="2232"/>
            <w:vAlign w:val="center"/>
            <w:shd w:fill="F6FAFD"/>
          </w:tcPr>
          <w:p>
            <w:pPr>
              <w:spacing w:after="0"/>
            </w:pPr>
            <w:r>
              <w:rPr>
                <w:sz w:val="18"/>
              </w:rPr>
              <w:t>240</w:t>
            </w:r>
          </w:p>
        </w:tc>
        <w:tc>
          <w:tcPr>
            <w:tcW w:type="dxa" w:w="2448"/>
            <w:vAlign w:val="center"/>
            <w:shd w:fill="F6FAFD"/>
          </w:tcPr>
          <w:p>
            <w:pPr>
              <w:spacing w:after="0"/>
            </w:pPr>
            <w:r>
              <w:rPr>
                <w:sz w:val="18"/>
              </w:rPr>
              <w:t>$11.42</w:t>
            </w:r>
          </w:p>
        </w:tc>
        <w:tc>
          <w:tcPr>
            <w:tcW w:type="dxa" w:w="2664"/>
            <w:vAlign w:val="center"/>
            <w:shd w:fill="F6FAFD"/>
          </w:tcPr>
          <w:p>
            <w:pPr>
              <w:spacing w:after="0"/>
            </w:pPr>
            <w:r>
              <w:rPr>
                <w:sz w:val="18"/>
              </w:rPr>
              <w:t>$9.58</w:t>
            </w:r>
          </w:p>
        </w:tc>
        <w:tc>
          <w:tcPr>
            <w:tcW w:type="dxa" w:w="2592"/>
            <w:vAlign w:val="center"/>
            <w:shd w:fill="F6FAFD"/>
          </w:tcPr>
          <w:p>
            <w:pPr>
              <w:spacing w:after="0"/>
            </w:pPr>
            <w:r>
              <w:rPr>
                <w:sz w:val="18"/>
              </w:rPr>
              <w:t>$10.65</w:t>
            </w:r>
          </w:p>
        </w:tc>
      </w:tr>
    </w:tbl>
    <w:p/>
    <w:p>
      <w:r>
        <w:t>Each budget row pools 80 matched cases per alternative. Average savings grow with the budget in this archive, but individual cases vary: K opt ranges from a $96.91 loss to a $51.14 gain against Tabu. The reference phase evaluates roughly 117,000 to 122,000 moves per second on average across solvers; the fairness phase roughly 80,600 to 82,900. Throughput is lower in the larger fleets and cannot by itself establish better schedules or scale to production hardware.</w:t>
      </w:r>
    </w:p>
    <w:p>
      <w:pPr>
        <w:pStyle w:val="Heading1"/>
      </w:pPr>
      <w:r>
        <w:t>What this run supports</w:t>
      </w:r>
    </w:p>
    <w:p>
      <w:r>
        <w:t>The 1,280 cases are four solvers by four fleet sizes by two workload shapes by ten search seeds by four budgets. They use eight fixed synthetic geography fixtures. The seeds change search paths on those fixtures; they do not sample ten customer territories. All 1,280 cases are paired, have accepted cost, reference cost, fairness, and elapsed time, and report zero violations. The archive records no failed cases. Every case reached both phase time limits. There is no own 15 second improvement measure in this archive, so no claim relies on it.</w:t>
      </w:r>
    </w:p>
    <w:p>
      <w:r>
        <w:t>A reasonable next experiment isolates the 50 technician dispersed failure mode and tests realistic territory, skill, appointment, and routing mixes. A pilot should measure admission, CPU contention, and decision latency before any default change. Nothing here measures payroll savings, customer outcomes, or production capacity.</w:t>
      </w:r>
    </w:p>
    <w:sectPr w:rsidR="00FC693F" w:rsidRPr="0006063C" w:rsidSect="00034616">
      <w:footerReference w:type="default" r:id="rId9"/>
      <w:pgSz w:w="12240" w:h="15840"/>
      <w:pgMar w:top="1080" w:right="1195" w:bottom="1080"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WaterFlex  |  Run 331df1f1  |  Methods in companion EVIDENCE.md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