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WaterFlex scheduler: load balance against the variance</w:t>
      </w:r>
    </w:p>
    <w:p>
      <w:pPr>
        <w:pStyle w:val="Subtitle"/>
        <w:widowControl/>
      </w:pPr>
      <w:r>
        <w:t>Timefold's load balance tested head to head against production's capacity-weighted variance as the daily fairness policy</w:t>
      </w:r>
    </w:p>
    <w:p>
      <w:pPr>
        <w:widowControl/>
      </w:pPr>
      <w:r>
        <w:t>October 23 2026  |  Load balance head-to-head of PR J, run 2026-10-23 on revision 15da8a0</w:t>
      </w:r>
    </w:p>
    <w:p>
      <w:pPr>
        <w:widowControl/>
      </w:pPr>
      <w:r>
        <w:t>The daily search ends with a fairness phase that may spend up to two percent more cost to even out how busy each technician is. Production measures that with the capacity-weighted variance of each technician's utilization (option b, shipped in PR H). The road matrix study found Timefold's load balance fairer than b on all five fairness measures at 10 to 50 technicians and 15 s, a little dearer, and slower in its cost phase. This study tested the two head to head in 480 solves: 120 different days at each of two budgets, 15 s (the production default) and 30 s, including a new workload in which technicians work 4, 6 and 9 hour days, the one place where the two measures count technicians differently. On production's own measure, load balance's final variance is a median 1.00 of b's at 15 s and 1.00 at 30 s, at a median cost difference of +0 and +0 cents a day. Those medians are ties: the two arms ended on the same plan on 55 and 61 of the 120 days. On the days they differ, load balance was less fair than b on production's measure more often than it was fairer (35 against 29 days at 15 s, 36 against 21 at 30 s), most of all on the mixed-shift days, and its slower cost phase left a dearer starting plan on about one day in six. It does not meet the rule: at 15 s it fails on variance; at 30 s it fails on variance. The evidence does not support switching the policy.</w:t>
      </w:r>
    </w:p>
    <w:p>
      <w:pPr>
        <w:pStyle w:val="Heading2"/>
        <w:widowControl/>
      </w:pPr>
      <w:r>
        <w:t>What the measurements tell 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2736"/>
        <w:gridCol w:w="2736"/>
      </w:tblGrid>
      <w:tr>
        <w:trPr>
          <w:cantSplit/>
          <w:tblHeader/>
        </w:trPr>
        <w:tc>
          <w:tcPr>
            <w:tcW w:type="dxa" w:w="4464"/>
            <w:vAlign w:val="center"/>
            <w:shd w:fill="DCE6EF"/>
            <w:tcMar>
              <w:top w:w="65" w:type="dxa"/>
              <w:left w:w="65" w:type="dxa"/>
              <w:bottom w:w="65" w:type="dxa"/>
              <w:right w:w="65" w:type="dxa"/>
            </w:tcMar>
          </w:tcPr>
          <w:p>
            <w:pPr>
              <w:keepNext/>
              <w:spacing w:after="40" w:before="40" w:line="240" w:lineRule="auto"/>
            </w:pPr>
            <w:r>
              <w:rPr>
                <w:rFonts w:ascii="Calibri" w:hAnsi="Calibri"/>
                <w:b/>
                <w:sz w:val="20"/>
              </w:rPr>
              <w:t>Reading</w:t>
            </w:r>
          </w:p>
        </w:tc>
        <w:tc>
          <w:tcPr>
            <w:tcW w:type="dxa" w:w="27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At 15 s</w:t>
            </w:r>
          </w:p>
        </w:tc>
        <w:tc>
          <w:tcPr>
            <w:tcW w:type="dxa" w:w="27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At 30 s</w:t>
            </w:r>
          </w:p>
        </w:tc>
      </w:tr>
      <w:tr>
        <w:trPr>
          <w:cantSplit/>
        </w:trPr>
        <w:tc>
          <w:tcPr>
            <w:tcW w:type="dxa" w:w="44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Variance, load balance over b (95% interval)</w:t>
            </w:r>
          </w:p>
        </w:tc>
        <w:tc>
          <w:tcPr>
            <w:tcW w:type="dxa" w:w="27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 (1.00 to 1.00)</w:t>
            </w:r>
          </w:p>
        </w:tc>
        <w:tc>
          <w:tcPr>
            <w:tcW w:type="dxa" w:w="27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 (1.00 to 1.00)</w:t>
            </w:r>
          </w:p>
        </w:tc>
      </w:tr>
      <w:tr>
        <w:trPr>
          <w:cantSplit/>
        </w:trPr>
        <w:tc>
          <w:tcPr>
            <w:tcW w:type="dxa" w:w="44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Cases less fair by more than 5% (allowed: 12)</w:t>
            </w:r>
          </w:p>
        </w:tc>
        <w:tc>
          <w:tcPr>
            <w:tcW w:type="dxa" w:w="27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28 of 120</w:t>
            </w:r>
          </w:p>
        </w:tc>
        <w:tc>
          <w:tcPr>
            <w:tcW w:type="dxa" w:w="27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26 of 120</w:t>
            </w:r>
          </w:p>
        </w:tc>
      </w:tr>
      <w:tr>
        <w:trPr>
          <w:cantSplit/>
        </w:trPr>
        <w:tc>
          <w:tcPr>
            <w:tcW w:type="dxa" w:w="44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Highest utilization, load balance over b</w:t>
            </w:r>
          </w:p>
        </w:tc>
        <w:tc>
          <w:tcPr>
            <w:tcW w:type="dxa" w:w="27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 (1.00 to 1.00)</w:t>
            </w:r>
          </w:p>
        </w:tc>
        <w:tc>
          <w:tcPr>
            <w:tcW w:type="dxa" w:w="27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 (1.00 to 1.00)</w:t>
            </w:r>
          </w:p>
        </w:tc>
      </w:tr>
      <w:tr>
        <w:trPr>
          <w:cantSplit/>
        </w:trPr>
        <w:tc>
          <w:tcPr>
            <w:tcW w:type="dxa" w:w="44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Load balance unfairness, load balance over b</w:t>
            </w:r>
          </w:p>
        </w:tc>
        <w:tc>
          <w:tcPr>
            <w:tcW w:type="dxa" w:w="27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1.00 (1.00 to 1.00)</w:t>
            </w:r>
          </w:p>
        </w:tc>
        <w:tc>
          <w:tcPr>
            <w:tcW w:type="dxa" w:w="27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1.00 (1.00 to 1.00)</w:t>
            </w:r>
          </w:p>
        </w:tc>
      </w:tr>
      <w:tr>
        <w:trPr>
          <w:cantSplit/>
        </w:trPr>
        <w:tc>
          <w:tcPr>
            <w:tcW w:type="dxa" w:w="44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Median cost difference (relative)</w:t>
            </w:r>
          </w:p>
        </w:tc>
        <w:tc>
          <w:tcPr>
            <w:tcW w:type="dxa" w:w="27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 c (0.000%)</w:t>
            </w:r>
          </w:p>
        </w:tc>
        <w:tc>
          <w:tcPr>
            <w:tcW w:type="dxa" w:w="27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 c (0.000%)</w:t>
            </w:r>
          </w:p>
        </w:tc>
      </w:tr>
      <w:tr>
        <w:trPr>
          <w:cantSplit/>
        </w:trPr>
        <w:tc>
          <w:tcPr>
            <w:tcW w:type="dxa" w:w="44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Moves per second, cost / fairness phase</w:t>
            </w:r>
          </w:p>
        </w:tc>
        <w:tc>
          <w:tcPr>
            <w:tcW w:type="dxa" w:w="27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0.89x / 0.86x</w:t>
            </w:r>
          </w:p>
        </w:tc>
        <w:tc>
          <w:tcPr>
            <w:tcW w:type="dxa" w:w="27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0.90x / 0.87x</w:t>
            </w:r>
          </w:p>
        </w:tc>
      </w:tr>
      <w:tr>
        <w:trPr>
          <w:cantSplit/>
        </w:trPr>
        <w:tc>
          <w:tcPr>
            <w:tcW w:type="dxa" w:w="4464"/>
            <w:vAlign w:val="center"/>
            <w:shd w:fill="FFFFFF"/>
            <w:tcMar>
              <w:top w:w="65" w:type="dxa"/>
              <w:left w:w="65" w:type="dxa"/>
              <w:bottom w:w="65" w:type="dxa"/>
              <w:right w:w="65" w:type="dxa"/>
            </w:tcMar>
          </w:tcPr>
          <w:p>
            <w:pPr>
              <w:spacing w:after="40" w:before="40" w:line="240" w:lineRule="auto"/>
            </w:pPr>
            <w:r>
              <w:rPr>
                <w:rFonts w:ascii="Calibri" w:hAnsi="Calibri"/>
                <w:b w:val="0"/>
                <w:sz w:val="20"/>
              </w:rPr>
              <w:t>Meets the rule</w:t>
            </w:r>
          </w:p>
        </w:tc>
        <w:tc>
          <w:tcPr>
            <w:tcW w:type="dxa" w:w="27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No</w:t>
            </w:r>
          </w:p>
        </w:tc>
        <w:tc>
          <w:tcPr>
            <w:tcW w:type="dxa" w:w="27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No</w:t>
            </w:r>
          </w:p>
        </w:tc>
      </w:tr>
    </w:tbl>
    <w:p>
      <w:pPr>
        <w:widowControl/>
        <w:spacing w:after="0" w:line="60" w:lineRule="exact"/>
      </w:pPr>
    </w:p>
    <w:p>
      <w:pPr>
        <w:widowControl/>
      </w:pPr>
      <w:r>
        <w:t>Each ratio is the median over the 120 cases of load balance's final value divided by b's in the same case; lower is fairer, and the bracket is the 95 percent bootstrap interval of that median. The cost is the median over cases of load balance's final cost minus b's, in cents, and as a share of b's cost. Speeds are medians of paired ratios of moves per second. Every one of the 480 solves ended with no constraint violation and every accepted result inside its cost ceiling.</w:t>
      </w:r>
    </w:p>
    <w:p>
      <w:pPr>
        <w:widowControl/>
      </w:pPr>
      <w:r>
        <w:t>The report explains each result through what the solver recorded: the five fairness measures of every final plan, its cost and ceiling, why it was accepted, how far into each phase it found its best plan, its moves per second, and where the CPU went in flight recordings of both arms. All of it comes from one evidence file, docs/evidence/solver-load-balance-2026-10-23.json. None of it is customer data; the days are synthetic.</w:t>
      </w:r>
    </w:p>
    <w:p>
      <w:pPr>
        <w:pStyle w:val="Heading2"/>
        <w:widowControl/>
      </w:pPr>
      <w:r>
        <w:t>How to read this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848"/>
      </w:tblGrid>
      <w:tr>
        <w:trPr>
          <w:cantSplit/>
          <w:tblHeader/>
        </w:trPr>
        <w:tc>
          <w:tcPr>
            <w:tcW w:type="dxa" w:w="2088"/>
            <w:vAlign w:val="center"/>
            <w:shd w:fill="DCE6EF"/>
            <w:tcMar>
              <w:top w:w="65" w:type="dxa"/>
              <w:left w:w="65" w:type="dxa"/>
              <w:bottom w:w="65" w:type="dxa"/>
              <w:right w:w="65" w:type="dxa"/>
            </w:tcMar>
          </w:tcPr>
          <w:p>
            <w:pPr>
              <w:keepNext/>
              <w:spacing w:after="40" w:before="40" w:line="240" w:lineRule="auto"/>
            </w:pPr>
            <w:r>
              <w:rPr>
                <w:rFonts w:ascii="Calibri" w:hAnsi="Calibri"/>
                <w:b/>
                <w:sz w:val="20"/>
              </w:rPr>
              <w:t>Sections</w:t>
            </w:r>
          </w:p>
        </w:tc>
        <w:tc>
          <w:tcPr>
            <w:tcW w:type="dxa" w:w="7848"/>
            <w:vAlign w:val="center"/>
            <w:shd w:fill="DCE6EF"/>
            <w:tcMar>
              <w:top w:w="65" w:type="dxa"/>
              <w:left w:w="65" w:type="dxa"/>
              <w:bottom w:w="65" w:type="dxa"/>
              <w:right w:w="65" w:type="dxa"/>
            </w:tcMar>
          </w:tcPr>
          <w:p>
            <w:pPr>
              <w:keepNext/>
              <w:spacing w:after="40" w:before="40" w:line="240" w:lineRule="auto"/>
            </w:pPr>
            <w:r>
              <w:rPr>
                <w:rFonts w:ascii="Calibri" w:hAnsi="Calibri"/>
                <w:b/>
                <w:sz w:val="20"/>
              </w:rPr>
              <w:t>What you will learn</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w:t>
            </w:r>
          </w:p>
        </w:tc>
        <w:tc>
          <w:tcPr>
            <w:tcW w:type="dxa" w:w="78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What was measured: the two arms, the 120 days, the five measures and the rule written before the run.</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2</w:t>
            </w:r>
          </w:p>
        </w:tc>
        <w:tc>
          <w:tcPr>
            <w:tcW w:type="dxa" w:w="78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Why the two measures can disagree, and the workload built to show it.</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3</w:t>
            </w:r>
          </w:p>
        </w:tc>
        <w:tc>
          <w:tcPr>
            <w:tcW w:type="dxa" w:w="78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Load balance against each part of the rule, at both budgets.</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4</w:t>
            </w:r>
          </w:p>
        </w:tc>
        <w:tc>
          <w:tcPr>
            <w:tcW w:type="dxa" w:w="78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Where load balance does better or worse: by fleet size and by workload.</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5</w:t>
            </w:r>
          </w:p>
        </w:tc>
        <w:tc>
          <w:tcPr>
            <w:tcW w:type="dxa" w:w="78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What it costs, how much allowance each arm spent and why each result was accepted.</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6 and 7</w:t>
            </w:r>
          </w:p>
        </w:tc>
        <w:tc>
          <w:tcPr>
            <w:tcW w:type="dxa" w:w="78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Search speed, convergence, and where the CPU goes under each measure.</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8 and 9</w:t>
            </w:r>
          </w:p>
        </w:tc>
        <w:tc>
          <w:tcPr>
            <w:tcW w:type="dxa" w:w="78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Conclusions, and what should happen next.</w:t>
            </w:r>
          </w:p>
        </w:tc>
      </w:tr>
      <w:tr>
        <w:trPr>
          <w:cantSplit/>
        </w:trPr>
        <w:tc>
          <w:tcPr>
            <w:tcW w:type="dxa" w:w="2088"/>
            <w:vAlign w:val="center"/>
            <w:shd w:fill="F4F6F8"/>
            <w:tcMar>
              <w:top w:w="65" w:type="dxa"/>
              <w:left w:w="65" w:type="dxa"/>
              <w:bottom w:w="65" w:type="dxa"/>
              <w:right w:w="65" w:type="dxa"/>
            </w:tcMar>
          </w:tcPr>
          <w:p>
            <w:pPr>
              <w:spacing w:after="40" w:before="40" w:line="240" w:lineRule="auto"/>
            </w:pPr>
            <w:r>
              <w:rPr>
                <w:rFonts w:ascii="Calibri" w:hAnsi="Calibri"/>
                <w:b w:val="0"/>
                <w:sz w:val="20"/>
              </w:rPr>
              <w:t>Appendices</w:t>
            </w:r>
          </w:p>
        </w:tc>
        <w:tc>
          <w:tcPr>
            <w:tcW w:type="dxa" w:w="7848"/>
            <w:vAlign w:val="center"/>
            <w:shd w:fill="F4F6F8"/>
            <w:tcMar>
              <w:top w:w="65" w:type="dxa"/>
              <w:left w:w="65" w:type="dxa"/>
              <w:bottom w:w="65" w:type="dxa"/>
              <w:right w:w="65" w:type="dxa"/>
            </w:tcMar>
          </w:tcPr>
          <w:p>
            <w:pPr>
              <w:spacing w:after="40" w:before="40" w:line="240" w:lineRule="auto"/>
            </w:pPr>
            <w:r>
              <w:rPr>
                <w:rFonts w:ascii="Calibri" w:hAnsi="Calibri"/>
                <w:b w:val="0"/>
                <w:sz w:val="20"/>
              </w:rPr>
              <w:t>Every case at both budgets, every profile by fleet, definitions and sources.</w:t>
            </w:r>
          </w:p>
        </w:tc>
      </w:tr>
    </w:tbl>
    <w:p>
      <w:pPr>
        <w:widowControl/>
        <w:spacing w:after="0" w:line="60" w:lineRule="exact"/>
      </w:pPr>
    </w:p>
    <w:p>
      <w:pPr>
        <w:pStyle w:val="Heading1"/>
        <w:pageBreakBefore/>
        <w:widowControl/>
      </w:pPr>
      <w:r>
        <w:t>1 What was measured</w:t>
      </w:r>
    </w:p>
    <w:p>
      <w:pPr>
        <w:widowControl/>
      </w:pPr>
      <w:r>
        <w:t>The daily search runs in two phases. The cost phase looks for the cheapest plan that breaks no rule; its result is the reference plan. The fairness phase starts from the reference and looks for a plan that spreads the work more evenly, at no more than the reference's cost plus the fairness allowance, two percent here. Its objective is the fairness measure, then cost. [1, 2]</w:t>
      </w:r>
    </w:p>
    <w:p>
      <w:pPr>
        <w:widowControl/>
      </w:pPr>
      <w:r>
        <w:t>Both arms run the same cost phase from the same day. They differ only in the fairness objective and in the measure their result is accepted on: production's rule, with the arm's own measure in place of the variance. Every final plan is then read on all five measures, so each arm is judged on the other's measure as well as its own.</w:t>
      </w:r>
    </w:p>
    <w:p>
      <w:pPr>
        <w:keepNext/>
        <w:widowControl/>
        <w:jc w:val="center"/>
      </w:pPr>
      <w:r>
        <w:drawing>
          <wp:inline xmlns:a="http://schemas.openxmlformats.org/drawingml/2006/main" xmlns:pic="http://schemas.openxmlformats.org/drawingml/2006/picture">
            <wp:extent cx="6035040" cy="2766060"/>
            <wp:docPr id="1" name="Picture 1" descr="Figure 1. How one case runs. Both arms share the day, the cost phase's budget and the cost ceiling; the fairness phase searches on the arm's own measure, the result is accepted on it, and the final plan is read on all five."/>
            <wp:cNvGraphicFramePr>
              <a:graphicFrameLocks noChangeAspect="1"/>
            </wp:cNvGraphicFramePr>
            <a:graphic>
              <a:graphicData uri="http://schemas.openxmlformats.org/drawingml/2006/picture">
                <pic:pic>
                  <pic:nvPicPr>
                    <pic:cNvPr id="0" name="study-design.png"/>
                    <pic:cNvPicPr/>
                  </pic:nvPicPr>
                  <pic:blipFill>
                    <a:blip r:embed="rId10"/>
                    <a:stretch>
                      <a:fillRect/>
                    </a:stretch>
                  </pic:blipFill>
                  <pic:spPr>
                    <a:xfrm>
                      <a:off x="0" y="0"/>
                      <a:ext cx="6035040" cy="2766060"/>
                    </a:xfrm>
                    <a:prstGeom prst="rect"/>
                  </pic:spPr>
                </pic:pic>
              </a:graphicData>
            </a:graphic>
          </wp:inline>
        </w:drawing>
      </w:r>
    </w:p>
    <w:p>
      <w:pPr>
        <w:pStyle w:val="Caption"/>
        <w:widowControl/>
        <w:spacing w:after="140"/>
      </w:pPr>
      <w:r>
        <w:rPr>
          <w:b w:val="0"/>
          <w:i/>
          <w:color w:val="000000"/>
        </w:rPr>
        <w:t>Figure 1. How one case runs. Both arms share the day, the cost phase's budget and the cost ceiling; the fairness phase searches on the arm's own measure, the result is accepted on it, and the final plan is read on all five.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024"/>
        <w:gridCol w:w="4032"/>
        <w:gridCol w:w="1440"/>
      </w:tblGrid>
      <w:tr>
        <w:trPr>
          <w:cantSplit/>
          <w:tblHeader/>
        </w:trPr>
        <w:tc>
          <w:tcPr>
            <w:tcW w:type="dxa" w:w="1440"/>
            <w:vAlign w:val="center"/>
            <w:shd w:fill="DCE6EF"/>
            <w:tcMar>
              <w:top w:w="65" w:type="dxa"/>
              <w:left w:w="65" w:type="dxa"/>
              <w:bottom w:w="65" w:type="dxa"/>
              <w:right w:w="65" w:type="dxa"/>
            </w:tcMar>
          </w:tcPr>
          <w:p>
            <w:pPr>
              <w:keepNext/>
              <w:spacing w:after="40" w:before="40" w:line="240" w:lineRule="auto"/>
            </w:pPr>
            <w:r>
              <w:rPr>
                <w:rFonts w:ascii="Calibri" w:hAnsi="Calibri"/>
                <w:b/>
                <w:sz w:val="18"/>
              </w:rPr>
              <w:t>Arm</w:t>
            </w:r>
          </w:p>
        </w:tc>
        <w:tc>
          <w:tcPr>
            <w:tcW w:type="dxa" w:w="30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Variant</w:t>
            </w:r>
          </w:p>
        </w:tc>
        <w:tc>
          <w:tcPr>
            <w:tcW w:type="dxa" w:w="403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Fairness objective</w:t>
            </w:r>
          </w:p>
        </w:tc>
        <w:tc>
          <w:tcPr>
            <w:tcW w:type="dxa" w:w="14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Accepted on</w:t>
            </w:r>
          </w:p>
        </w:tc>
      </w:tr>
      <w:tr>
        <w:trPr>
          <w:cantSplit/>
        </w:trPr>
        <w:tc>
          <w:tcPr>
            <w:tcW w:type="dxa" w:w="1440"/>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b</w:t>
            </w:r>
          </w:p>
        </w:tc>
        <w:tc>
          <w:tcPr>
            <w:tcW w:type="dxa" w:w="30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TABU_KOPT</w:t>
            </w:r>
          </w:p>
        </w:tc>
        <w:tc>
          <w:tcPr>
            <w:tcW w:type="dxa" w:w="403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Production: the capacity-weighted variance of utilization, in binary64 units of 1e-9</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Variance</w:t>
            </w:r>
          </w:p>
        </w:tc>
      </w:tr>
      <w:tr>
        <w:trPr>
          <w:cantSplit/>
        </w:trPr>
        <w:tc>
          <w:tcPr>
            <w:tcW w:type="dxa" w:w="1440"/>
            <w:vAlign w:val="center"/>
            <w:shd w:fill="F4F6F8"/>
            <w:tcMar>
              <w:top w:w="65" w:type="dxa"/>
              <w:left w:w="65" w:type="dxa"/>
              <w:bottom w:w="65" w:type="dxa"/>
              <w:right w:w="65" w:type="dxa"/>
            </w:tcMar>
          </w:tcPr>
          <w:p>
            <w:pPr>
              <w:spacing w:after="40" w:before="40" w:line="240" w:lineRule="auto"/>
            </w:pPr>
            <w:r>
              <w:rPr>
                <w:rFonts w:ascii="Calibri" w:hAnsi="Calibri"/>
                <w:b w:val="0"/>
                <w:sz w:val="18"/>
              </w:rPr>
              <w:t>load balance</w:t>
            </w:r>
          </w:p>
        </w:tc>
        <w:tc>
          <w:tcPr>
            <w:tcW w:type="dxa" w:w="30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TABU_KOPT_LOAD_BALANCE</w:t>
            </w:r>
          </w:p>
        </w:tc>
        <w:tc>
          <w:tcPr>
            <w:tcW w:type="dxa" w:w="40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Timefold's loadBalance collector over each technician's utilization in millionths, unweighted (docs 13.4.5.9, chapter 15)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Load balance</w:t>
            </w:r>
          </w:p>
        </w:tc>
      </w:tr>
    </w:tbl>
    <w:p>
      <w:pPr>
        <w:widowControl/>
        <w:spacing w:after="0" w:line="60" w:lineRule="exac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064"/>
      </w:tblGrid>
      <w:tr>
        <w:trPr>
          <w:cantSplit/>
          <w:tblHeader/>
        </w:trPr>
        <w:tc>
          <w:tcPr>
            <w:tcW w:type="dxa" w:w="1872"/>
            <w:vAlign w:val="center"/>
            <w:shd w:fill="DCE6EF"/>
            <w:tcMar>
              <w:top w:w="65" w:type="dxa"/>
              <w:left w:w="65" w:type="dxa"/>
              <w:bottom w:w="65" w:type="dxa"/>
              <w:right w:w="65" w:type="dxa"/>
            </w:tcMar>
          </w:tcPr>
          <w:p>
            <w:pPr>
              <w:keepNext/>
              <w:spacing w:after="40" w:before="40" w:line="240" w:lineRule="auto"/>
            </w:pPr>
            <w:r>
              <w:rPr>
                <w:rFonts w:ascii="Calibri" w:hAnsi="Calibri"/>
                <w:b/>
                <w:sz w:val="20"/>
              </w:rPr>
              <w:t>Dimension</w:t>
            </w:r>
          </w:p>
        </w:tc>
        <w:tc>
          <w:tcPr>
            <w:tcW w:type="dxa" w:w="8064"/>
            <w:vAlign w:val="center"/>
            <w:shd w:fill="DCE6EF"/>
            <w:tcMar>
              <w:top w:w="65" w:type="dxa"/>
              <w:left w:w="65" w:type="dxa"/>
              <w:bottom w:w="65" w:type="dxa"/>
              <w:right w:w="65" w:type="dxa"/>
            </w:tcMar>
          </w:tcPr>
          <w:p>
            <w:pPr>
              <w:keepNext/>
              <w:spacing w:after="40" w:before="40" w:line="240" w:lineRule="auto"/>
            </w:pPr>
            <w:r>
              <w:rPr>
                <w:rFonts w:ascii="Calibri" w:hAnsi="Calibri"/>
                <w:b/>
                <w:sz w:val="20"/>
              </w:rPr>
              <w:t>Values in this study</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Days</w:t>
            </w:r>
          </w:p>
        </w:tc>
        <w:tc>
          <w:tcPr>
            <w:tcW w:type="dxa" w:w="80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5, 10, 20, 50 technicians; workloads Clustered, Dispersed, Absence, Tight Window, Near Capacity, Mixed Shift; fixture seeds 7001, 7002, 7003, 7004, 7005 (five drawn days of each shape), solver seed 17: 120 cases, each a different problem</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Budgets</w:t>
            </w:r>
          </w:p>
        </w:tc>
        <w:tc>
          <w:tcPr>
            <w:tcW w:type="dxa" w:w="80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15 s (the production default: two thirds cost, one third fairness) and 30 s, to see whether the result holds when the fairness search has room</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Repetitions</w:t>
            </w:r>
          </w:p>
        </w:tc>
        <w:tc>
          <w:tcPr>
            <w:tcW w:type="dxa" w:w="80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 the rule is read across cases, so time went to more distinct days rather than reruns of the same one</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Search</w:t>
            </w:r>
          </w:p>
        </w:tc>
        <w:tc>
          <w:tcPr>
            <w:tcW w:type="dxa" w:w="80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TABU_KOPT at NO_ASSERT, the production move selectors; fairness allowance 2 percent</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Machine</w:t>
            </w:r>
          </w:p>
        </w:tc>
        <w:tc>
          <w:tcPr>
            <w:tcW w:type="dxa" w:w="80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One 24-processor workstation; each case its own JVM, both arms in it with their order alternating, limited to 2 processors, 1.5 GiB heap and the serial collector</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Tree</w:t>
            </w:r>
          </w:p>
        </w:tc>
        <w:tc>
          <w:tcPr>
            <w:tcW w:type="dxa" w:w="80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One frozen build of 15da8a0: main 52339c8 (the long score, long money, cached times and road numbers on visits) plus the Mixed Shift fixture, a test-only change</w:t>
            </w:r>
          </w:p>
        </w:tc>
      </w:tr>
      <w:tr>
        <w:trPr>
          <w:cantSplit/>
        </w:trPr>
        <w:tc>
          <w:tcPr>
            <w:tcW w:type="dxa" w:w="1872"/>
            <w:vAlign w:val="center"/>
            <w:shd w:fill="FFFFFF"/>
            <w:tcMar>
              <w:top w:w="65" w:type="dxa"/>
              <w:left w:w="65" w:type="dxa"/>
              <w:bottom w:w="65" w:type="dxa"/>
              <w:right w:w="65" w:type="dxa"/>
            </w:tcMar>
          </w:tcPr>
          <w:p>
            <w:pPr>
              <w:spacing w:after="40" w:before="40" w:line="240" w:lineRule="auto"/>
            </w:pPr>
            <w:r>
              <w:rPr>
                <w:rFonts w:ascii="Calibri" w:hAnsi="Calibri"/>
                <w:b w:val="0"/>
                <w:sz w:val="20"/>
              </w:rPr>
              <w:t>Profiles</w:t>
            </w:r>
          </w:p>
        </w:tc>
        <w:tc>
          <w:tcPr>
            <w:tcW w:type="dxa" w:w="8064"/>
            <w:vAlign w:val="center"/>
            <w:shd w:fill="FFFFFF"/>
            <w:tcMar>
              <w:top w:w="65" w:type="dxa"/>
              <w:left w:w="65" w:type="dxa"/>
              <w:bottom w:w="65" w:type="dxa"/>
              <w:right w:w="65" w:type="dxa"/>
            </w:tcMar>
          </w:tcPr>
          <w:p>
            <w:pPr>
              <w:spacing w:after="40" w:before="40" w:line="240" w:lineRule="auto"/>
            </w:pPr>
            <w:r>
              <w:rPr>
                <w:rFonts w:ascii="Calibri" w:hAnsi="Calibri"/>
                <w:b w:val="0"/>
                <w:sz w:val="20"/>
              </w:rPr>
              <w:t>A flight recording of both arms' phases at 15 s on fixture seed 7001, one per phase per solve</w:t>
            </w:r>
          </w:p>
        </w:tc>
      </w:tr>
    </w:tbl>
    <w:p>
      <w:pPr>
        <w:widowControl/>
        <w:spacing w:after="0" w:line="60" w:lineRule="exact"/>
      </w:pPr>
    </w:p>
    <w:p>
      <w:pPr>
        <w:pStyle w:val="Heading2"/>
        <w:widowControl/>
      </w:pPr>
      <w:r>
        <w:t>The five fairness measures</w:t>
      </w:r>
    </w:p>
    <w:p>
      <w:pPr>
        <w:widowControl/>
      </w:pPr>
      <w:r>
        <w:t>Each measure counts the technicians production's variance counts: those qualified for the day's demand, with regular capacity. Lower is fairer on every one.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704"/>
      </w:tblGrid>
      <w:tr>
        <w:trPr>
          <w:cantSplit/>
          <w:tblHeader/>
        </w:trPr>
        <w:tc>
          <w:tcPr>
            <w:tcW w:type="dxa" w:w="2232"/>
            <w:vAlign w:val="center"/>
            <w:shd w:fill="DCE6EF"/>
            <w:tcMar>
              <w:top w:w="65" w:type="dxa"/>
              <w:left w:w="65" w:type="dxa"/>
              <w:bottom w:w="65" w:type="dxa"/>
              <w:right w:w="65" w:type="dxa"/>
            </w:tcMar>
          </w:tcPr>
          <w:p>
            <w:pPr>
              <w:keepNext/>
              <w:spacing w:after="40" w:before="40" w:line="240" w:lineRule="auto"/>
            </w:pPr>
            <w:r>
              <w:rPr>
                <w:rFonts w:ascii="Calibri" w:hAnsi="Calibri"/>
                <w:b/>
                <w:sz w:val="20"/>
              </w:rPr>
              <w:t>Measure</w:t>
            </w:r>
          </w:p>
        </w:tc>
        <w:tc>
          <w:tcPr>
            <w:tcW w:type="dxa" w:w="7704"/>
            <w:vAlign w:val="center"/>
            <w:shd w:fill="DCE6EF"/>
            <w:tcMar>
              <w:top w:w="65" w:type="dxa"/>
              <w:left w:w="65" w:type="dxa"/>
              <w:bottom w:w="65" w:type="dxa"/>
              <w:right w:w="65" w:type="dxa"/>
            </w:tcMar>
          </w:tcPr>
          <w:p>
            <w:pPr>
              <w:keepNext/>
              <w:spacing w:after="40" w:before="40" w:line="240" w:lineRule="auto"/>
            </w:pPr>
            <w:r>
              <w:rPr>
                <w:rFonts w:ascii="Calibri" w:hAnsi="Calibri"/>
                <w:b/>
                <w:sz w:val="20"/>
              </w:rPr>
              <w:t>How to interpret it</w:t>
            </w:r>
          </w:p>
        </w:tc>
      </w:tr>
      <w:tr>
        <w:trPr>
          <w:cantSplit/>
        </w:trPr>
        <w:tc>
          <w:tcPr>
            <w:tcW w:type="dxa" w:w="22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Variance</w:t>
            </w:r>
          </w:p>
        </w:tc>
        <w:tc>
          <w:tcPr>
            <w:tcW w:type="dxa" w:w="77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Production's measure: the capacity-weighted mean of the squared distance between each technician's utilization and the fleet's. Shown in thousandths.</w:t>
            </w:r>
          </w:p>
        </w:tc>
      </w:tr>
      <w:tr>
        <w:trPr>
          <w:cantSplit/>
        </w:trPr>
        <w:tc>
          <w:tcPr>
            <w:tcW w:type="dxa" w:w="22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Highest utilization</w:t>
            </w:r>
          </w:p>
        </w:tc>
        <w:tc>
          <w:tcPr>
            <w:tcW w:type="dxa" w:w="77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busiest technician's share of regular hours.</w:t>
            </w:r>
          </w:p>
        </w:tc>
      </w:tr>
      <w:tr>
        <w:trPr>
          <w:cantSplit/>
        </w:trPr>
        <w:tc>
          <w:tcPr>
            <w:tcW w:type="dxa" w:w="22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Utilization spread</w:t>
            </w:r>
          </w:p>
        </w:tc>
        <w:tc>
          <w:tcPr>
            <w:tcW w:type="dxa" w:w="77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busiest technician's utilization minus the least busy one's.</w:t>
            </w:r>
          </w:p>
        </w:tc>
      </w:tr>
      <w:tr>
        <w:trPr>
          <w:cantSplit/>
        </w:trPr>
        <w:tc>
          <w:tcPr>
            <w:tcW w:type="dxa" w:w="22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Absolute deviation</w:t>
            </w:r>
          </w:p>
        </w:tc>
        <w:tc>
          <w:tcPr>
            <w:tcW w:type="dxa" w:w="77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capacity-weighted mean distance of each utilization from the fleet's, without squaring.</w:t>
            </w:r>
          </w:p>
        </w:tc>
      </w:tr>
      <w:tr>
        <w:trPr>
          <w:cantSplit/>
        </w:trPr>
        <w:tc>
          <w:tcPr>
            <w:tcW w:type="dxa" w:w="2232"/>
            <w:vAlign w:val="center"/>
            <w:shd w:fill="FFFFFF"/>
            <w:tcMar>
              <w:top w:w="65" w:type="dxa"/>
              <w:left w:w="65" w:type="dxa"/>
              <w:bottom w:w="65" w:type="dxa"/>
              <w:right w:w="65" w:type="dxa"/>
            </w:tcMar>
          </w:tcPr>
          <w:p>
            <w:pPr>
              <w:spacing w:after="40" w:before="40" w:line="240" w:lineRule="auto"/>
            </w:pPr>
            <w:r>
              <w:rPr>
                <w:rFonts w:ascii="Calibri" w:hAnsi="Calibri"/>
                <w:b w:val="0"/>
                <w:sz w:val="20"/>
              </w:rPr>
              <w:t>Load balance</w:t>
            </w:r>
          </w:p>
        </w:tc>
        <w:tc>
          <w:tcPr>
            <w:tcW w:type="dxa" w:w="7704"/>
            <w:vAlign w:val="center"/>
            <w:shd w:fill="FFFFFF"/>
            <w:tcMar>
              <w:top w:w="65" w:type="dxa"/>
              <w:left w:w="65" w:type="dxa"/>
              <w:bottom w:w="65" w:type="dxa"/>
              <w:right w:w="65" w:type="dxa"/>
            </w:tcMar>
          </w:tcPr>
          <w:p>
            <w:pPr>
              <w:spacing w:after="40" w:before="40" w:line="240" w:lineRule="auto"/>
            </w:pPr>
            <w:r>
              <w:rPr>
                <w:rFonts w:ascii="Calibri" w:hAnsi="Calibri"/>
                <w:b w:val="0"/>
                <w:sz w:val="20"/>
              </w:rPr>
              <w:t>Timefold's loadBalance unfairness over each utilization in millionths, every technician counted once.</w:t>
            </w:r>
          </w:p>
        </w:tc>
      </w:tr>
    </w:tbl>
    <w:p>
      <w:pPr>
        <w:widowControl/>
        <w:spacing w:after="0" w:line="60" w:lineRule="exact"/>
      </w:pPr>
    </w:p>
    <w:p>
      <w:pPr>
        <w:pStyle w:val="Heading2"/>
        <w:widowControl/>
      </w:pPr>
      <w:r>
        <w:t>The rule, written before the run</w:t>
      </w:r>
    </w:p>
    <w:p>
      <w:pPr>
        <w:widowControl/>
      </w:pPr>
      <w:r>
        <w:t>The owner set the rule before the run started. Load balance replaces b only if every part holds at both budgets. Speed and convergence are reported, not judged.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776"/>
      </w:tblGrid>
      <w:tr>
        <w:trPr>
          <w:cantSplit/>
          <w:tblHeader/>
        </w:trPr>
        <w:tc>
          <w:tcPr>
            <w:tcW w:type="dxa" w:w="2160"/>
            <w:vAlign w:val="center"/>
            <w:shd w:fill="DCE6EF"/>
            <w:tcMar>
              <w:top w:w="65" w:type="dxa"/>
              <w:left w:w="65" w:type="dxa"/>
              <w:bottom w:w="65" w:type="dxa"/>
              <w:right w:w="65" w:type="dxa"/>
            </w:tcMar>
          </w:tcPr>
          <w:p>
            <w:pPr>
              <w:keepNext/>
              <w:spacing w:after="40" w:before="40" w:line="240" w:lineRule="auto"/>
            </w:pPr>
            <w:r>
              <w:rPr>
                <w:rFonts w:ascii="Calibri" w:hAnsi="Calibri"/>
                <w:b/>
                <w:sz w:val="20"/>
              </w:rPr>
              <w:t>Part</w:t>
            </w:r>
          </w:p>
        </w:tc>
        <w:tc>
          <w:tcPr>
            <w:tcW w:type="dxa" w:w="7776"/>
            <w:vAlign w:val="center"/>
            <w:shd w:fill="DCE6EF"/>
            <w:tcMar>
              <w:top w:w="65" w:type="dxa"/>
              <w:left w:w="65" w:type="dxa"/>
              <w:bottom w:w="65" w:type="dxa"/>
              <w:right w:w="65" w:type="dxa"/>
            </w:tcMar>
          </w:tcPr>
          <w:p>
            <w:pPr>
              <w:keepNext/>
              <w:spacing w:after="40" w:before="40" w:line="240" w:lineRule="auto"/>
            </w:pPr>
            <w:r>
              <w:rPr>
                <w:rFonts w:ascii="Calibri" w:hAnsi="Calibri"/>
                <w:b/>
                <w:sz w:val="20"/>
              </w:rPr>
              <w:t>Test</w:t>
            </w:r>
          </w:p>
        </w:tc>
      </w:tr>
      <w:tr>
        <w:trPr>
          <w:cantSplit/>
        </w:trPr>
        <w:tc>
          <w:tcPr>
            <w:tcW w:type="dxa" w:w="216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Variance</w:t>
            </w:r>
          </w:p>
        </w:tc>
        <w:tc>
          <w:tcPr>
            <w:tcW w:type="dxa" w:w="777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95 percent bootstrap interval of the median per-case variance ratio lies below 1, and at most 10% of cases (12 of 120) are less fair than b by more than 5%.</w:t>
            </w:r>
          </w:p>
        </w:tc>
      </w:tr>
      <w:tr>
        <w:trPr>
          <w:cantSplit/>
        </w:trPr>
        <w:tc>
          <w:tcPr>
            <w:tcW w:type="dxa" w:w="216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Highest utilization</w:t>
            </w:r>
          </w:p>
        </w:tc>
        <w:tc>
          <w:tcPr>
            <w:tcW w:type="dxa" w:w="777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median per-case ratio is at most 1: the busiest technician is no busier.</w:t>
            </w:r>
          </w:p>
        </w:tc>
      </w:tr>
      <w:tr>
        <w:trPr>
          <w:cantSplit/>
        </w:trPr>
        <w:tc>
          <w:tcPr>
            <w:tcW w:type="dxa" w:w="216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Cost</w:t>
            </w:r>
          </w:p>
        </w:tc>
        <w:tc>
          <w:tcPr>
            <w:tcW w:type="dxa" w:w="777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median per-case cost difference is at most 0.1% of b's cost.</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Ceiling</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20"/>
              </w:rPr>
              <w:t>Every accepted result of both arms is inside its cost ceiling, with zero violations.</w:t>
            </w:r>
          </w:p>
        </w:tc>
      </w:tr>
    </w:tbl>
    <w:p>
      <w:pPr>
        <w:widowControl/>
        <w:spacing w:after="0" w:line="60" w:lineRule="exact"/>
      </w:pPr>
    </w:p>
    <w:p>
      <w:pPr>
        <w:widowControl/>
      </w:pPr>
      <w:r>
        <w:t>The bootstrap interval answers whether a median ratio below 1 would survive a different set of days: it resamples the cases 10,000 times with a fixed seed and takes the middle 95 percent of the resampled medians. A single repetition cannot measure a case's own noise, so a fixed tolerance takes the place of the spread between repetitions the earlier studies used.</w:t>
      </w:r>
    </w:p>
    <w:p>
      <w:pPr>
        <w:pStyle w:val="Heading1"/>
        <w:pageBreakBefore/>
        <w:widowControl/>
      </w:pPr>
      <w:r>
        <w:t>2 Why the two measures can disagree</w:t>
      </w:r>
    </w:p>
    <w:p>
      <w:pPr>
        <w:widowControl/>
      </w:pPr>
      <w:r>
        <w:t>The variance and load balance both reward a plan where utilizations sit close together, but they count technicians differently. The variance weights each technician's squared gap by their regular minutes, so a 9-hour technician's gap counts 2.25 times a 4-hour technician's, and the fleet's mean is total paid minutes over total capacity. Load balance counts every technician once, whatever their hours. On a day where every technician works the same hours, the weights are all equal and the two differ only in how they combine the gaps. On a day with mixed shifts they can prefer different plans.</w:t>
      </w:r>
    </w:p>
    <w:p>
      <w:pPr>
        <w:keepNext/>
        <w:widowControl/>
        <w:jc w:val="center"/>
      </w:pPr>
      <w:r>
        <w:drawing>
          <wp:inline xmlns:a="http://schemas.openxmlformats.org/drawingml/2006/main" xmlns:pic="http://schemas.openxmlformats.org/drawingml/2006/picture">
            <wp:extent cx="6035040" cy="2514600"/>
            <wp:docPr id="2" name="Picture 2" descr="Figure 2. How each measure counts a technician. Bar length is how much one technician's distance from the fleet counts. Production's variance counts a 9-hour day 2.25 times a 4-hour day; load balance counts each once."/>
            <wp:cNvGraphicFramePr>
              <a:graphicFrameLocks noChangeAspect="1"/>
            </wp:cNvGraphicFramePr>
            <a:graphic>
              <a:graphicData uri="http://schemas.openxmlformats.org/drawingml/2006/picture">
                <pic:pic>
                  <pic:nvPicPr>
                    <pic:cNvPr id="0" name="weighting.png"/>
                    <pic:cNvPicPr/>
                  </pic:nvPicPr>
                  <pic:blipFill>
                    <a:blip r:embed="rId11"/>
                    <a:stretch>
                      <a:fillRect/>
                    </a:stretch>
                  </pic:blipFill>
                  <pic:spPr>
                    <a:xfrm>
                      <a:off x="0" y="0"/>
                      <a:ext cx="6035040" cy="2514600"/>
                    </a:xfrm>
                    <a:prstGeom prst="rect"/>
                  </pic:spPr>
                </pic:pic>
              </a:graphicData>
            </a:graphic>
          </wp:inline>
        </w:drawing>
      </w:r>
    </w:p>
    <w:p>
      <w:pPr>
        <w:pStyle w:val="Caption"/>
        <w:widowControl/>
        <w:spacing w:after="140"/>
      </w:pPr>
      <w:r>
        <w:rPr>
          <w:b w:val="0"/>
          <w:i/>
          <w:color w:val="000000"/>
        </w:rPr>
        <w:t>Figure 2. How each measure counts a technician. Bar length is how much one technician's distance from the fleet counts. Production's variance counts a 9-hour day 2.25 times a 4-hour day; load balance counts each once.</w:t>
      </w:r>
    </w:p>
    <w:p>
      <w:pPr>
        <w:widowControl/>
      </w:pPr>
      <w:r>
        <w:t>Every earlier benchmark fixture gave every technician a 540-minute day, so no earlier study could see this difference. This study adds a Mixed Shift workload: technicians on 4, 6 and 9 hour days by rank, with their loads scaled to the shift. The other five workloads keep nine-hour days.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872"/>
        <w:gridCol w:w="1872"/>
        <w:gridCol w:w="1872"/>
        <w:gridCol w:w="1872"/>
      </w:tblGrid>
      <w:tr>
        <w:trPr>
          <w:cantSplit/>
          <w:tblHeader/>
        </w:trPr>
        <w:tc>
          <w:tcPr>
            <w:tcW w:type="dxa" w:w="2448"/>
            <w:vAlign w:val="center"/>
            <w:shd w:fill="DCE6EF"/>
            <w:tcMar>
              <w:top w:w="65" w:type="dxa"/>
              <w:left w:w="65" w:type="dxa"/>
              <w:bottom w:w="65" w:type="dxa"/>
              <w:right w:w="65" w:type="dxa"/>
            </w:tcMar>
          </w:tcPr>
          <w:p>
            <w:pPr>
              <w:keepNext/>
              <w:spacing w:after="40" w:before="40" w:line="240" w:lineRule="auto"/>
            </w:pPr>
            <w:r>
              <w:rPr>
                <w:rFonts w:ascii="Calibri" w:hAnsi="Calibri"/>
                <w:b/>
                <w:sz w:val="20"/>
              </w:rPr>
              <w:t>Workload</w:t>
            </w:r>
          </w:p>
        </w:tc>
        <w:tc>
          <w:tcPr>
            <w:tcW w:type="dxa" w:w="187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Variance ratio, 15 s</w:t>
            </w:r>
          </w:p>
        </w:tc>
        <w:tc>
          <w:tcPr>
            <w:tcW w:type="dxa" w:w="187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Variance ratio, 30 s</w:t>
            </w:r>
          </w:p>
        </w:tc>
        <w:tc>
          <w:tcPr>
            <w:tcW w:type="dxa" w:w="187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Load balance ratio, 15 s</w:t>
            </w:r>
          </w:p>
        </w:tc>
        <w:tc>
          <w:tcPr>
            <w:tcW w:type="dxa" w:w="187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Load balance ratio, 30 s</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Absence</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w:t>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Clustered</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1.00</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1.00</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1.00</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1.00</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Dispersed</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w:t>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Mixed Shift</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1.04</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1.12</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1.00</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1.00</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Near Capacity</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0.88</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0.94</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w:t>
            </w:r>
          </w:p>
        </w:tc>
      </w:tr>
      <w:tr>
        <w:trPr>
          <w:cantSplit/>
        </w:trPr>
        <w:tc>
          <w:tcPr>
            <w:tcW w:type="dxa" w:w="2448"/>
            <w:vAlign w:val="center"/>
            <w:shd w:fill="F4F6F8"/>
            <w:tcMar>
              <w:top w:w="65" w:type="dxa"/>
              <w:left w:w="65" w:type="dxa"/>
              <w:bottom w:w="65" w:type="dxa"/>
              <w:right w:w="65" w:type="dxa"/>
            </w:tcMar>
          </w:tcPr>
          <w:p>
            <w:pPr>
              <w:spacing w:after="40" w:before="40" w:line="240" w:lineRule="auto"/>
            </w:pPr>
            <w:r>
              <w:rPr>
                <w:rFonts w:ascii="Calibri" w:hAnsi="Calibri"/>
                <w:b w:val="0"/>
                <w:sz w:val="20"/>
              </w:rPr>
              <w:t>Tight Window</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1.00</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1.00</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1.00</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1.00</w:t>
            </w:r>
          </w:p>
        </w:tc>
      </w:tr>
    </w:tbl>
    <w:p>
      <w:pPr>
        <w:widowControl/>
        <w:spacing w:after="0" w:line="60" w:lineRule="exact"/>
      </w:pPr>
    </w:p>
    <w:p>
      <w:pPr>
        <w:widowControl/>
      </w:pPr>
      <w:r>
        <w:t>Each cell is the median over the workload's 20 cases of load balance's final value over b's, on production's measure and on load balance's own. Below 1 on the left means load balance's plans are fairer by production's definition; below 1 on the right, fairer by its own.</w:t>
      </w:r>
    </w:p>
    <w:p>
      <w:pPr>
        <w:widowControl/>
      </w:pPr>
      <w:r>
        <w:t>Mixed Shift is where the two measures part. On its 20 days load balance's plans were less fair than b's by production's measure on 13 days at 15 s and 15 at 30 s, with median ratios of 1.04 and 1.12, while on load balance's own measure they were slightly fairer (1.00 and 1.00). The likely reason is the weighting: load balance evens out utilization counting every technician once, so it accepts a larger gap on a 9-hour technician to close one on a 4-hour technician, and the variance, which counts the 9-hour gap more than twice as heavily, reads the result as less fair. On the five workloads with equal days the median ratio is 1.00 or close to it on both measures.</w:t>
      </w:r>
    </w:p>
    <w:p>
      <w:pPr>
        <w:keepNext/>
        <w:widowControl/>
        <w:jc w:val="center"/>
      </w:pPr>
      <w:r>
        <w:drawing>
          <wp:inline xmlns:a="http://schemas.openxmlformats.org/drawingml/2006/main" xmlns:pic="http://schemas.openxmlformats.org/drawingml/2006/picture">
            <wp:extent cx="6263640" cy="2923032"/>
            <wp:docPr id="3" name="Picture 3" descr="Figure 3. Each case at 30 s: load balance's plan against b's on load balance's own measure (across) and on production's variance (up), log scales. Lower left is fairer on both; upper left is fairer by load balance's definition but less fair by production's; the colors are the workloads."/>
            <wp:cNvGraphicFramePr>
              <a:graphicFrameLocks noChangeAspect="1"/>
            </wp:cNvGraphicFramePr>
            <a:graphic>
              <a:graphicData uri="http://schemas.openxmlformats.org/drawingml/2006/picture">
                <pic:pic>
                  <pic:nvPicPr>
                    <pic:cNvPr id="0" name="cross.png"/>
                    <pic:cNvPicPr/>
                  </pic:nvPicPr>
                  <pic:blipFill>
                    <a:blip r:embed="rId12"/>
                    <a:stretch>
                      <a:fillRect/>
                    </a:stretch>
                  </pic:blipFill>
                  <pic:spPr>
                    <a:xfrm>
                      <a:off x="0" y="0"/>
                      <a:ext cx="6263640" cy="2923032"/>
                    </a:xfrm>
                    <a:prstGeom prst="rect"/>
                  </pic:spPr>
                </pic:pic>
              </a:graphicData>
            </a:graphic>
          </wp:inline>
        </w:drawing>
      </w:r>
    </w:p>
    <w:p>
      <w:pPr>
        <w:pStyle w:val="Caption"/>
        <w:widowControl/>
        <w:spacing w:after="140"/>
      </w:pPr>
      <w:r>
        <w:rPr>
          <w:b w:val="0"/>
          <w:i/>
          <w:color w:val="000000"/>
        </w:rPr>
        <w:t>Figure 3. Each case at 30 s: load balance's plan against b's on load balance's own measure (across) and on production's variance (up), log scales. Lower left is fairer on both; upper left is fairer by load balance's definition but less fair by production's; the colors are the workloads.</w:t>
      </w:r>
    </w:p>
    <w:p>
      <w:pPr>
        <w:pStyle w:val="Heading1"/>
        <w:pageBreakBefore/>
        <w:widowControl/>
      </w:pPr>
      <w:r>
        <w:t>3 Load balance against the rule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4320"/>
        <w:gridCol w:w="2160"/>
        <w:gridCol w:w="1152"/>
      </w:tblGrid>
      <w:tr>
        <w:trPr>
          <w:cantSplit/>
          <w:tblHeader/>
        </w:trPr>
        <w:tc>
          <w:tcPr>
            <w:tcW w:type="dxa" w:w="2304"/>
            <w:vAlign w:val="center"/>
            <w:shd w:fill="DCE6EF"/>
            <w:tcMar>
              <w:top w:w="65" w:type="dxa"/>
              <w:left w:w="65" w:type="dxa"/>
              <w:bottom w:w="65" w:type="dxa"/>
              <w:right w:w="65" w:type="dxa"/>
            </w:tcMar>
          </w:tcPr>
          <w:p>
            <w:pPr>
              <w:keepNext/>
              <w:spacing w:after="40" w:before="40" w:line="240" w:lineRule="auto"/>
            </w:pPr>
            <w:r>
              <w:rPr>
                <w:rFonts w:ascii="Calibri" w:hAnsi="Calibri"/>
                <w:b/>
                <w:sz w:val="18"/>
              </w:rPr>
              <w:t>Part, budget</w:t>
            </w:r>
          </w:p>
        </w:tc>
        <w:tc>
          <w:tcPr>
            <w:tcW w:type="dxa" w:w="432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Reading</w:t>
            </w:r>
          </w:p>
        </w:tc>
        <w:tc>
          <w:tcPr>
            <w:tcW w:type="dxa" w:w="216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Test</w:t>
            </w:r>
          </w:p>
        </w:tc>
        <w:tc>
          <w:tcPr>
            <w:tcW w:type="dxa" w:w="11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Holds</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Variance, 15 s</w:t>
            </w:r>
          </w:p>
        </w:tc>
        <w:tc>
          <w:tcPr>
            <w:tcW w:type="dxa" w:w="432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median 1.00 (1.00 to 1.00); 28 of 120 less fair by more than 5%</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interval below 1; at most 12 cases</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No</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Highest utilization, 15 s</w:t>
            </w:r>
          </w:p>
        </w:tc>
        <w:tc>
          <w:tcPr>
            <w:tcW w:type="dxa" w:w="432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median 1.00 (1.00 to 1.00)</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median at most 1</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Yes</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Cost, 15 s</w:t>
            </w:r>
          </w:p>
        </w:tc>
        <w:tc>
          <w:tcPr>
            <w:tcW w:type="dxa" w:w="432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median +0 c, 0.000% of b's cost</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at most 0.1%</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Yes</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Ceiling, 15 s</w:t>
            </w:r>
          </w:p>
        </w:tc>
        <w:tc>
          <w:tcPr>
            <w:tcW w:type="dxa" w:w="432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 violations, 0 accepted results over a ceiling</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none</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Yes</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Variance, 30 s</w:t>
            </w:r>
          </w:p>
        </w:tc>
        <w:tc>
          <w:tcPr>
            <w:tcW w:type="dxa" w:w="432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median 1.00 (1.00 to 1.00); 26 of 120 less fair by more than 5%</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interval below 1; at most 12 cases</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No</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Highest utilization, 30 s</w:t>
            </w:r>
          </w:p>
        </w:tc>
        <w:tc>
          <w:tcPr>
            <w:tcW w:type="dxa" w:w="432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median 1.00 (1.00 to 1.00)</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median at most 1</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Yes</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Cost, 30 s</w:t>
            </w:r>
          </w:p>
        </w:tc>
        <w:tc>
          <w:tcPr>
            <w:tcW w:type="dxa" w:w="432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median +0 c, 0.000% of b's cost</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at most 0.1%</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Yes</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Ceiling, 30 s</w:t>
            </w:r>
          </w:p>
        </w:tc>
        <w:tc>
          <w:tcPr>
            <w:tcW w:type="dxa" w:w="43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violations, 0 accepted results over a ceiling</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none</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Yes</w:t>
            </w:r>
          </w:p>
        </w:tc>
      </w:tr>
    </w:tbl>
    <w:p>
      <w:pPr>
        <w:widowControl/>
        <w:spacing w:after="0" w:line="60" w:lineRule="exact"/>
      </w:pPr>
    </w:p>
    <w:p>
      <w:pPr>
        <w:keepNext/>
        <w:widowControl/>
        <w:jc w:val="center"/>
      </w:pPr>
      <w:r>
        <w:drawing>
          <wp:inline xmlns:a="http://schemas.openxmlformats.org/drawingml/2006/main" xmlns:pic="http://schemas.openxmlformats.org/drawingml/2006/picture">
            <wp:extent cx="6263640" cy="2783840"/>
            <wp:docPr id="4" name="Picture 4" descr="Figure 4. Each case's final variance under load balance over b's, sorted, on a log scale. The black line is the median, the grey band its 95 percent interval, the dashed line the 5 percent tolerance. Points are colored by workload. A very large ratio is a day where b came close to a perfectly even plan, so a small absolute gap divides into a large number; the appendices give the variances themselves."/>
            <wp:cNvGraphicFramePr>
              <a:graphicFrameLocks noChangeAspect="1"/>
            </wp:cNvGraphicFramePr>
            <a:graphic>
              <a:graphicData uri="http://schemas.openxmlformats.org/drawingml/2006/picture">
                <pic:pic>
                  <pic:nvPicPr>
                    <pic:cNvPr id="0" name="ratios.png"/>
                    <pic:cNvPicPr/>
                  </pic:nvPicPr>
                  <pic:blipFill>
                    <a:blip r:embed="rId13"/>
                    <a:stretch>
                      <a:fillRect/>
                    </a:stretch>
                  </pic:blipFill>
                  <pic:spPr>
                    <a:xfrm>
                      <a:off x="0" y="0"/>
                      <a:ext cx="6263640" cy="2783840"/>
                    </a:xfrm>
                    <a:prstGeom prst="rect"/>
                  </pic:spPr>
                </pic:pic>
              </a:graphicData>
            </a:graphic>
          </wp:inline>
        </w:drawing>
      </w:r>
    </w:p>
    <w:p>
      <w:pPr>
        <w:pStyle w:val="Caption"/>
        <w:widowControl/>
        <w:spacing w:after="140"/>
      </w:pPr>
      <w:r>
        <w:rPr>
          <w:b w:val="0"/>
          <w:i/>
          <w:color w:val="000000"/>
        </w:rPr>
        <w:t>Figure 4. Each case's final variance under load balance over b's, sorted, on a log scale. The black line is the median, the grey band its 95 percent interval, the dashed line the 5 percent tolerance. Points are colored by workload. A very large ratio is a day where b came close to a perfectly even plan, so a small absolute gap divides into a large number; the appendices give the variances themselves.</w:t>
      </w:r>
    </w:p>
    <w:p>
      <w:pPr>
        <w:widowControl/>
      </w:pPr>
      <w:r>
        <w:t>At 15 s, load balance's variance was lower than b's in 29 of 120 cases and higher in 35, 28 of them by more than 5%. Its median ratio is 1.00 (1.00 to 1.00).</w:t>
      </w:r>
    </w:p>
    <w:p>
      <w:pPr>
        <w:widowControl/>
      </w:pPr>
      <w:r>
        <w:t>At 30 s, load balance's variance was lower than b's in 21 of 120 cases and higher in 36, 26 of them by more than 5%. Its median ratio is 1.00 (1.00 to 1.00).</w:t>
      </w:r>
    </w:p>
    <w:p>
      <w:pPr>
        <w:keepNext/>
        <w:widowControl/>
        <w:jc w:val="center"/>
      </w:pPr>
      <w:r>
        <w:drawing>
          <wp:inline xmlns:a="http://schemas.openxmlformats.org/drawingml/2006/main" xmlns:pic="http://schemas.openxmlformats.org/drawingml/2006/picture">
            <wp:extent cx="6263640" cy="2783840"/>
            <wp:docPr id="5" name="Picture 5" descr="Figure 5. On each measure and budget, how many of the 120 days load balance's final plan was fairer than b's (left of the line) or less fair (right), split at the 5 percent tolerance; ties are centered on the line. Every median ratio and interval is exactly 1.00, so the lean is the reading."/>
            <wp:cNvGraphicFramePr>
              <a:graphicFrameLocks noChangeAspect="1"/>
            </wp:cNvGraphicFramePr>
            <a:graphic>
              <a:graphicData uri="http://schemas.openxmlformats.org/drawingml/2006/picture">
                <pic:pic>
                  <pic:nvPicPr>
                    <pic:cNvPr id="0" name="measures.png"/>
                    <pic:cNvPicPr/>
                  </pic:nvPicPr>
                  <pic:blipFill>
                    <a:blip r:embed="rId14"/>
                    <a:stretch>
                      <a:fillRect/>
                    </a:stretch>
                  </pic:blipFill>
                  <pic:spPr>
                    <a:xfrm>
                      <a:off x="0" y="0"/>
                      <a:ext cx="6263640" cy="2783840"/>
                    </a:xfrm>
                    <a:prstGeom prst="rect"/>
                  </pic:spPr>
                </pic:pic>
              </a:graphicData>
            </a:graphic>
          </wp:inline>
        </w:drawing>
      </w:r>
    </w:p>
    <w:p>
      <w:pPr>
        <w:pStyle w:val="Caption"/>
        <w:widowControl/>
        <w:spacing w:after="140"/>
      </w:pPr>
      <w:r>
        <w:rPr>
          <w:b w:val="0"/>
          <w:i/>
          <w:color w:val="000000"/>
        </w:rPr>
        <w:t>Figure 5. On each measure and budget, how many of the 120 days load balance's final plan was fairer than b's (left of the line) or less fair (right), split at the 5 percent tolerance; ties are centered on the line. Every median ratio and interval is exactly 1.00, so the lean is the reading.</w:t>
      </w:r>
    </w:p>
    <w:p>
      <w:pPr>
        <w:widowControl/>
      </w:pPr>
      <w:r>
        <w:t>At 15 s: variance 1.00 (1.00 to 1.00), lower in 29 and higher in 35 cases; highest utilization 1.00 (1.00 to 1.00), lower in 22 and higher in 28 cases; utilization spread 1.00 (1.00 to 1.00), lower in 24 and higher in 26 cases; absolute deviation 1.00 (1.00 to 1.00), lower in 27 and higher in 34 cases; load balance 1.00 (1.00 to 1.00), lower in 35 and higher in 29 cases.</w:t>
      </w:r>
    </w:p>
    <w:p>
      <w:pPr>
        <w:widowControl/>
      </w:pPr>
      <w:r>
        <w:t>At 30 s: variance 1.00 (1.00 to 1.00), lower in 21 and higher in 36 cases; highest utilization 1.00 (1.00 to 1.00), lower in 24 and higher in 24 cases; utilization spread 1.00 (1.00 to 1.00), lower in 25 and higher in 23 cases; absolute deviation 1.00 (1.00 to 1.00), lower in 20 and higher in 35 cases; load balance 1.00 (1.00 to 1.00), lower in 28 and higher in 29 cases.</w:t>
      </w:r>
    </w:p>
    <w:p>
      <w:pPr>
        <w:pStyle w:val="Heading2"/>
        <w:widowControl/>
      </w:pPr>
      <w:r>
        <w:t>How often the two arms reach the same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016"/>
        <w:gridCol w:w="1872"/>
        <w:gridCol w:w="2304"/>
        <w:gridCol w:w="2304"/>
      </w:tblGrid>
      <w:tr>
        <w:trPr>
          <w:cantSplit/>
          <w:tblHeader/>
        </w:trPr>
        <w:tc>
          <w:tcPr>
            <w:tcW w:type="dxa" w:w="1440"/>
            <w:vAlign w:val="center"/>
            <w:shd w:fill="DCE6EF"/>
            <w:tcMar>
              <w:top w:w="65" w:type="dxa"/>
              <w:left w:w="65" w:type="dxa"/>
              <w:bottom w:w="65" w:type="dxa"/>
              <w:right w:w="65" w:type="dxa"/>
            </w:tcMar>
          </w:tcPr>
          <w:p>
            <w:pPr>
              <w:keepNext/>
              <w:spacing w:after="40" w:before="40" w:line="240" w:lineRule="auto"/>
            </w:pPr>
            <w:r>
              <w:rPr>
                <w:rFonts w:ascii="Calibri" w:hAnsi="Calibri"/>
                <w:b/>
                <w:sz w:val="20"/>
              </w:rPr>
              <w:t>Budget</w:t>
            </w:r>
          </w:p>
        </w:tc>
        <w:tc>
          <w:tcPr>
            <w:tcW w:type="dxa" w:w="201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Same reference plan</w:t>
            </w:r>
          </w:p>
        </w:tc>
        <w:tc>
          <w:tcPr>
            <w:tcW w:type="dxa" w:w="187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Same final plan</w:t>
            </w:r>
          </w:p>
        </w:tc>
        <w:tc>
          <w:tcPr>
            <w:tcW w:type="dxa" w:w="230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b's final plan perfectly even</w:t>
            </w:r>
          </w:p>
        </w:tc>
        <w:tc>
          <w:tcPr>
            <w:tcW w:type="dxa" w:w="230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Load balance's perfectly even</w:t>
            </w:r>
          </w:p>
        </w:tc>
      </w:tr>
      <w:tr>
        <w:trPr>
          <w:cantSplit/>
        </w:trPr>
        <w:tc>
          <w:tcPr>
            <w:tcW w:type="dxa" w:w="144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15 s</w:t>
            </w:r>
          </w:p>
        </w:tc>
        <w:tc>
          <w:tcPr>
            <w:tcW w:type="dxa" w:w="20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98</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55</w:t>
            </w:r>
          </w:p>
        </w:tc>
        <w:tc>
          <w:tcPr>
            <w:tcW w:type="dxa" w:w="23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13</w:t>
            </w:r>
          </w:p>
        </w:tc>
        <w:tc>
          <w:tcPr>
            <w:tcW w:type="dxa" w:w="23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13</w:t>
            </w:r>
          </w:p>
        </w:tc>
      </w:tr>
      <w:tr>
        <w:trPr>
          <w:cantSplit/>
        </w:trPr>
        <w:tc>
          <w:tcPr>
            <w:tcW w:type="dxa" w:w="1440"/>
            <w:vAlign w:val="center"/>
            <w:shd w:fill="F4F6F8"/>
            <w:tcMar>
              <w:top w:w="65" w:type="dxa"/>
              <w:left w:w="65" w:type="dxa"/>
              <w:bottom w:w="65" w:type="dxa"/>
              <w:right w:w="65" w:type="dxa"/>
            </w:tcMar>
          </w:tcPr>
          <w:p>
            <w:pPr>
              <w:spacing w:after="40" w:before="40" w:line="240" w:lineRule="auto"/>
            </w:pPr>
            <w:r>
              <w:rPr>
                <w:rFonts w:ascii="Calibri" w:hAnsi="Calibri"/>
                <w:b w:val="0"/>
                <w:sz w:val="20"/>
              </w:rPr>
              <w:t>30 s</w:t>
            </w:r>
          </w:p>
        </w:tc>
        <w:tc>
          <w:tcPr>
            <w:tcW w:type="dxa" w:w="201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99</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61</w:t>
            </w:r>
          </w:p>
        </w:tc>
        <w:tc>
          <w:tcPr>
            <w:tcW w:type="dxa" w:w="23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16</w:t>
            </w:r>
          </w:p>
        </w:tc>
        <w:tc>
          <w:tcPr>
            <w:tcW w:type="dxa" w:w="23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16</w:t>
            </w:r>
          </w:p>
        </w:tc>
      </w:tr>
    </w:tbl>
    <w:p>
      <w:pPr>
        <w:widowControl/>
        <w:spacing w:after="0" w:line="60" w:lineRule="exact"/>
      </w:pPr>
    </w:p>
    <w:p>
      <w:pPr>
        <w:widowControl/>
      </w:pPr>
      <w:r>
        <w:t>A plan is the same when both arms ended on the same cost and the same value on all five measures; perfectly even means a variance of zero, every counted technician at the fleet's utilization. These counts are derived from the recorded runs, not recorded by the harness. A median ratio of exactly 1 follows from them: when a large share of days ends on the same plan under both measures, the middle case is one of them.</w:t>
      </w:r>
    </w:p>
    <w:p>
      <w:pPr>
        <w:widowControl/>
      </w:pPr>
      <w:r>
        <w:t>The road matrix study is often quoted as load balance at 0.58 of production's variance against b's 0.74. Both figures were medians against the old decimal production, not against each other, and two medians against a third arm do not give the ratio between the two. Read the way this study reads it, each case's load balance variance over b's, the road matrix study's median is 0.93 over its 35 cases with a nonzero variance (10, 30, 50 technicians, four workloads, one drawn day, two repetitions), with 11 of 36 cases on the same plan. [4]</w:t>
      </w:r>
    </w:p>
    <w:p>
      <w:pPr>
        <w:pStyle w:val="Heading1"/>
        <w:pageBreakBefore/>
        <w:widowControl/>
      </w:pPr>
      <w:r>
        <w:t>4 By fleet size and workload</w:t>
      </w:r>
    </w:p>
    <w:p>
      <w:pPr>
        <w:keepNext/>
        <w:widowControl/>
        <w:jc w:val="center"/>
      </w:pPr>
      <w:r>
        <w:drawing>
          <wp:inline xmlns:a="http://schemas.openxmlformats.org/drawingml/2006/main" xmlns:pic="http://schemas.openxmlformats.org/drawingml/2006/picture">
            <wp:extent cx="6263640" cy="2714244"/>
            <wp:docPr id="6" name="Picture 6" descr="Figure 6. The median variance ratio, load balance over b, in each workload and fleet size (five days per cell). Teal is fairer under load balance, red less fair."/>
            <wp:cNvGraphicFramePr>
              <a:graphicFrameLocks noChangeAspect="1"/>
            </wp:cNvGraphicFramePr>
            <a:graphic>
              <a:graphicData uri="http://schemas.openxmlformats.org/drawingml/2006/picture">
                <pic:pic>
                  <pic:nvPicPr>
                    <pic:cNvPr id="0" name="grid.png"/>
                    <pic:cNvPicPr/>
                  </pic:nvPicPr>
                  <pic:blipFill>
                    <a:blip r:embed="rId15"/>
                    <a:stretch>
                      <a:fillRect/>
                    </a:stretch>
                  </pic:blipFill>
                  <pic:spPr>
                    <a:xfrm>
                      <a:off x="0" y="0"/>
                      <a:ext cx="6263640" cy="2714244"/>
                    </a:xfrm>
                    <a:prstGeom prst="rect"/>
                  </pic:spPr>
                </pic:pic>
              </a:graphicData>
            </a:graphic>
          </wp:inline>
        </w:drawing>
      </w:r>
    </w:p>
    <w:p>
      <w:pPr>
        <w:pStyle w:val="Caption"/>
        <w:widowControl/>
        <w:spacing w:after="140"/>
      </w:pPr>
      <w:r>
        <w:rPr>
          <w:b w:val="0"/>
          <w:i/>
          <w:color w:val="000000"/>
        </w:rPr>
        <w:t>Figure 6. The median variance ratio, load balance over b, in each workload and fleet size (five days per cell). Teal is fairer under load balance, red less fair.</w:t>
      </w:r>
    </w:p>
    <w:p>
      <w:pPr>
        <w:pStyle w:val="Heading2"/>
        <w:widowControl/>
      </w:pPr>
      <w:r>
        <w:t>At 15 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736"/>
        <w:gridCol w:w="1872"/>
        <w:gridCol w:w="1872"/>
        <w:gridCol w:w="1152"/>
      </w:tblGrid>
      <w:tr>
        <w:trPr>
          <w:cantSplit/>
          <w:tblHeader/>
        </w:trPr>
        <w:tc>
          <w:tcPr>
            <w:tcW w:type="dxa" w:w="2304"/>
            <w:vAlign w:val="center"/>
            <w:shd w:fill="DCE6EF"/>
            <w:tcMar>
              <w:top w:w="65" w:type="dxa"/>
              <w:left w:w="65" w:type="dxa"/>
              <w:bottom w:w="65" w:type="dxa"/>
              <w:right w:w="65" w:type="dxa"/>
            </w:tcMar>
          </w:tcPr>
          <w:p>
            <w:pPr>
              <w:keepNext/>
              <w:spacing w:after="40" w:before="40" w:line="240" w:lineRule="auto"/>
            </w:pPr>
            <w:r>
              <w:rPr>
                <w:rFonts w:ascii="Calibri" w:hAnsi="Calibri"/>
                <w:b/>
                <w:sz w:val="18"/>
              </w:rPr>
              <w:t>Group</w:t>
            </w:r>
          </w:p>
        </w:tc>
        <w:tc>
          <w:tcPr>
            <w:tcW w:type="dxa" w:w="27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Variance ratio</w:t>
            </w:r>
          </w:p>
        </w:tc>
        <w:tc>
          <w:tcPr>
            <w:tcW w:type="dxa" w:w="187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Highest utilization ratio</w:t>
            </w:r>
          </w:p>
        </w:tc>
        <w:tc>
          <w:tcPr>
            <w:tcW w:type="dxa" w:w="187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Median cost difference</w:t>
            </w:r>
          </w:p>
        </w:tc>
        <w:tc>
          <w:tcPr>
            <w:tcW w:type="dxa" w:w="11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Cases</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5 technicians</w:t>
            </w:r>
          </w:p>
        </w:tc>
        <w:tc>
          <w:tcPr>
            <w:tcW w:type="dxa" w:w="27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 c</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30</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10 technicians</w:t>
            </w:r>
          </w:p>
        </w:tc>
        <w:tc>
          <w:tcPr>
            <w:tcW w:type="dxa" w:w="27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 c</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30</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20 technicians</w:t>
            </w:r>
          </w:p>
        </w:tc>
        <w:tc>
          <w:tcPr>
            <w:tcW w:type="dxa" w:w="27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 c</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30</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50 technicians</w:t>
            </w:r>
          </w:p>
        </w:tc>
        <w:tc>
          <w:tcPr>
            <w:tcW w:type="dxa" w:w="27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0.99</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+24 c</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30</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Absence</w:t>
            </w:r>
          </w:p>
        </w:tc>
        <w:tc>
          <w:tcPr>
            <w:tcW w:type="dxa" w:w="27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 c</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20</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Clustered</w:t>
            </w:r>
          </w:p>
        </w:tc>
        <w:tc>
          <w:tcPr>
            <w:tcW w:type="dxa" w:w="27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 c</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20</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Dispersed</w:t>
            </w:r>
          </w:p>
        </w:tc>
        <w:tc>
          <w:tcPr>
            <w:tcW w:type="dxa" w:w="27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 c</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20</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Mixed Shift</w:t>
            </w:r>
          </w:p>
        </w:tc>
        <w:tc>
          <w:tcPr>
            <w:tcW w:type="dxa" w:w="27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1.04</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-25 c</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20</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Near Capacity</w:t>
            </w:r>
          </w:p>
        </w:tc>
        <w:tc>
          <w:tcPr>
            <w:tcW w:type="dxa" w:w="27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0.88</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 c</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20</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Tight Window</w:t>
            </w:r>
          </w:p>
        </w:tc>
        <w:tc>
          <w:tcPr>
            <w:tcW w:type="dxa" w:w="27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c</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r>
    </w:tbl>
    <w:p>
      <w:pPr>
        <w:widowControl/>
        <w:spacing w:after="0" w:line="60" w:lineRule="exact"/>
      </w:pPr>
    </w:p>
    <w:p>
      <w:pPr>
        <w:pStyle w:val="Heading2"/>
        <w:widowControl/>
      </w:pPr>
      <w:r>
        <w:t>At 30 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736"/>
        <w:gridCol w:w="1872"/>
        <w:gridCol w:w="1872"/>
        <w:gridCol w:w="1152"/>
      </w:tblGrid>
      <w:tr>
        <w:trPr>
          <w:cantSplit/>
          <w:tblHeader/>
        </w:trPr>
        <w:tc>
          <w:tcPr>
            <w:tcW w:type="dxa" w:w="2304"/>
            <w:vAlign w:val="center"/>
            <w:shd w:fill="DCE6EF"/>
            <w:tcMar>
              <w:top w:w="65" w:type="dxa"/>
              <w:left w:w="65" w:type="dxa"/>
              <w:bottom w:w="65" w:type="dxa"/>
              <w:right w:w="65" w:type="dxa"/>
            </w:tcMar>
          </w:tcPr>
          <w:p>
            <w:pPr>
              <w:keepNext/>
              <w:spacing w:after="40" w:before="40" w:line="240" w:lineRule="auto"/>
            </w:pPr>
            <w:r>
              <w:rPr>
                <w:rFonts w:ascii="Calibri" w:hAnsi="Calibri"/>
                <w:b/>
                <w:sz w:val="18"/>
              </w:rPr>
              <w:t>Group</w:t>
            </w:r>
          </w:p>
        </w:tc>
        <w:tc>
          <w:tcPr>
            <w:tcW w:type="dxa" w:w="27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Variance ratio</w:t>
            </w:r>
          </w:p>
        </w:tc>
        <w:tc>
          <w:tcPr>
            <w:tcW w:type="dxa" w:w="187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Highest utilization ratio</w:t>
            </w:r>
          </w:p>
        </w:tc>
        <w:tc>
          <w:tcPr>
            <w:tcW w:type="dxa" w:w="187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Median cost difference</w:t>
            </w:r>
          </w:p>
        </w:tc>
        <w:tc>
          <w:tcPr>
            <w:tcW w:type="dxa" w:w="11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Cases</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5 technicians</w:t>
            </w:r>
          </w:p>
        </w:tc>
        <w:tc>
          <w:tcPr>
            <w:tcW w:type="dxa" w:w="27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 c</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30</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10 technicians</w:t>
            </w:r>
          </w:p>
        </w:tc>
        <w:tc>
          <w:tcPr>
            <w:tcW w:type="dxa" w:w="27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 c</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30</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20 technicians</w:t>
            </w:r>
          </w:p>
        </w:tc>
        <w:tc>
          <w:tcPr>
            <w:tcW w:type="dxa" w:w="27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 c</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30</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50 technicians</w:t>
            </w:r>
          </w:p>
        </w:tc>
        <w:tc>
          <w:tcPr>
            <w:tcW w:type="dxa" w:w="27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1.01</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+57 c</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30</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Absence</w:t>
            </w:r>
          </w:p>
        </w:tc>
        <w:tc>
          <w:tcPr>
            <w:tcW w:type="dxa" w:w="27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 c</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20</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Clustered</w:t>
            </w:r>
          </w:p>
        </w:tc>
        <w:tc>
          <w:tcPr>
            <w:tcW w:type="dxa" w:w="27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 c</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20</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Dispersed</w:t>
            </w:r>
          </w:p>
        </w:tc>
        <w:tc>
          <w:tcPr>
            <w:tcW w:type="dxa" w:w="27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 c</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20</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Mixed Shift</w:t>
            </w:r>
          </w:p>
        </w:tc>
        <w:tc>
          <w:tcPr>
            <w:tcW w:type="dxa" w:w="27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1.12</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+9 c</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20</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Near Capacity</w:t>
            </w:r>
          </w:p>
        </w:tc>
        <w:tc>
          <w:tcPr>
            <w:tcW w:type="dxa" w:w="27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 c</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20</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Tight Window</w:t>
            </w:r>
          </w:p>
        </w:tc>
        <w:tc>
          <w:tcPr>
            <w:tcW w:type="dxa" w:w="27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c</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r>
    </w:tbl>
    <w:p>
      <w:pPr>
        <w:widowControl/>
        <w:spacing w:after="0" w:line="60" w:lineRule="exact"/>
      </w:pPr>
    </w:p>
    <w:p>
      <w:pPr>
        <w:pStyle w:val="Heading1"/>
        <w:pageBreakBefore/>
        <w:widowControl/>
      </w:pPr>
      <w:r>
        <w:t>5 What it costs and why results were accepted</w:t>
      </w:r>
    </w:p>
    <w:p>
      <w:pPr>
        <w:keepNext/>
        <w:widowControl/>
        <w:jc w:val="center"/>
      </w:pPr>
      <w:r>
        <w:drawing>
          <wp:inline xmlns:a="http://schemas.openxmlformats.org/drawingml/2006/main" xmlns:pic="http://schemas.openxmlformats.org/drawingml/2006/picture">
            <wp:extent cx="6263640" cy="2575052"/>
            <wp:docPr id="7" name="Picture 7" descr="Figure 7. Each case's final cost under load balance minus b's, in dollars, by fleet size; pale at the short budget, solid at the long. The black bar is the median."/>
            <wp:cNvGraphicFramePr>
              <a:graphicFrameLocks noChangeAspect="1"/>
            </wp:cNvGraphicFramePr>
            <a:graphic>
              <a:graphicData uri="http://schemas.openxmlformats.org/drawingml/2006/picture">
                <pic:pic>
                  <pic:nvPicPr>
                    <pic:cNvPr id="0" name="cost.png"/>
                    <pic:cNvPicPr/>
                  </pic:nvPicPr>
                  <pic:blipFill>
                    <a:blip r:embed="rId16"/>
                    <a:stretch>
                      <a:fillRect/>
                    </a:stretch>
                  </pic:blipFill>
                  <pic:spPr>
                    <a:xfrm>
                      <a:off x="0" y="0"/>
                      <a:ext cx="6263640" cy="2575052"/>
                    </a:xfrm>
                    <a:prstGeom prst="rect"/>
                  </pic:spPr>
                </pic:pic>
              </a:graphicData>
            </a:graphic>
          </wp:inline>
        </w:drawing>
      </w:r>
    </w:p>
    <w:p>
      <w:pPr>
        <w:pStyle w:val="Caption"/>
        <w:widowControl/>
        <w:spacing w:after="140"/>
      </w:pPr>
      <w:r>
        <w:rPr>
          <w:b w:val="0"/>
          <w:i/>
          <w:color w:val="000000"/>
        </w:rPr>
        <w:t>Figure 7. Each case's final cost under load balance minus b's, in dollars, by fleet size; pale at the short budget, solid at the long. The black bar is the median.</w:t>
      </w:r>
    </w:p>
    <w:p>
      <w:pPr>
        <w:widowControl/>
      </w:pPr>
      <w:r>
        <w:t>At 15 s load balance ended cheaper than b in 27 cases, the same in 61 and dearer in 32; the median difference is +0 cents and the mean +23.5.</w:t>
      </w:r>
    </w:p>
    <w:p>
      <w:pPr>
        <w:widowControl/>
      </w:pPr>
      <w:r>
        <w:t>At 30 s load balance ended cheaper than b in 22 cases, the same in 65 and dearer in 33; the median difference is +0 cents and the mean +54.2.</w:t>
      </w:r>
    </w:p>
    <w:p>
      <w:pPr>
        <w:pStyle w:val="Heading2"/>
        <w:widowControl/>
      </w:pPr>
      <w:r>
        <w:t>The starting plan</w:t>
      </w:r>
    </w:p>
    <w:p>
      <w:pPr>
        <w:widowControl/>
      </w:pPr>
      <w:r>
        <w:t>Both arms run the same cost objective in the cost phase, so any difference in the reference plan comes from how many moves each phase evaluated in its share of the budget. The reference plans were the same on 98 and 99 of the 120 days. Where they differ, load balance's was dearer on 20 days and cheaper on 2 at 15 s, and dearer on 21 and cheaper on 0 at 30 s. This is derived from the recorded reference costs. Because the cost ceiling is set from the reference plan, a dearer start carries through to a dearer final plan: at 50 technicians load balance's final plans cost a mean +80.4 cents a day more than b's at 15 s and +207.1 at 30 s, while the median day costs the same.</w:t>
      </w:r>
    </w:p>
    <w:p>
      <w:pPr>
        <w:keepNext/>
        <w:widowControl/>
        <w:jc w:val="center"/>
      </w:pPr>
      <w:r>
        <w:drawing>
          <wp:inline xmlns:a="http://schemas.openxmlformats.org/drawingml/2006/main" xmlns:pic="http://schemas.openxmlformats.org/drawingml/2006/picture">
            <wp:extent cx="6263640" cy="2366264"/>
            <wp:docPr id="8" name="Picture 8" descr="Figure 8. Left: the share of the 2 percent allowance each run spent above its own reference plan; the black bar is the median. Right: how each arm's results were accepted, fairness improvements darkest."/>
            <wp:cNvGraphicFramePr>
              <a:graphicFrameLocks noChangeAspect="1"/>
            </wp:cNvGraphicFramePr>
            <a:graphic>
              <a:graphicData uri="http://schemas.openxmlformats.org/drawingml/2006/picture">
                <pic:pic>
                  <pic:nvPicPr>
                    <pic:cNvPr id="0" name="allowance.png"/>
                    <pic:cNvPicPr/>
                  </pic:nvPicPr>
                  <pic:blipFill>
                    <a:blip r:embed="rId17"/>
                    <a:stretch>
                      <a:fillRect/>
                    </a:stretch>
                  </pic:blipFill>
                  <pic:spPr>
                    <a:xfrm>
                      <a:off x="0" y="0"/>
                      <a:ext cx="6263640" cy="2366264"/>
                    </a:xfrm>
                    <a:prstGeom prst="rect"/>
                  </pic:spPr>
                </pic:pic>
              </a:graphicData>
            </a:graphic>
          </wp:inline>
        </w:drawing>
      </w:r>
    </w:p>
    <w:p>
      <w:pPr>
        <w:pStyle w:val="Caption"/>
        <w:widowControl/>
        <w:spacing w:after="140"/>
      </w:pPr>
      <w:r>
        <w:rPr>
          <w:b w:val="0"/>
          <w:i/>
          <w:color w:val="000000"/>
        </w:rPr>
        <w:t>Figure 8. Left: the share of the 2 percent allowance each run spent above its own reference plan; the black bar is the median. Right: how each arm's results were accepted, fairness improvements darkest.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2160"/>
        <w:gridCol w:w="2520"/>
        <w:gridCol w:w="2520"/>
      </w:tblGrid>
      <w:tr>
        <w:trPr>
          <w:cantSplit/>
          <w:tblHeader/>
        </w:trPr>
        <w:tc>
          <w:tcPr>
            <w:tcW w:type="dxa" w:w="2736"/>
            <w:vAlign w:val="center"/>
            <w:shd w:fill="DCE6EF"/>
            <w:tcMar>
              <w:top w:w="65" w:type="dxa"/>
              <w:left w:w="65" w:type="dxa"/>
              <w:bottom w:w="65" w:type="dxa"/>
              <w:right w:w="65" w:type="dxa"/>
            </w:tcMar>
          </w:tcPr>
          <w:p>
            <w:pPr>
              <w:keepNext/>
              <w:spacing w:after="40" w:before="40" w:line="240" w:lineRule="auto"/>
            </w:pPr>
            <w:r>
              <w:rPr>
                <w:rFonts w:ascii="Calibri" w:hAnsi="Calibri"/>
                <w:b/>
                <w:sz w:val="20"/>
              </w:rPr>
              <w:t>Arm, budget</w:t>
            </w:r>
          </w:p>
        </w:tc>
        <w:tc>
          <w:tcPr>
            <w:tcW w:type="dxa" w:w="216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Allowance spent (median)</w:t>
            </w:r>
          </w:p>
        </w:tc>
        <w:tc>
          <w:tcPr>
            <w:tcW w:type="dxa" w:w="252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Cost reduction</w:t>
            </w:r>
          </w:p>
        </w:tc>
        <w:tc>
          <w:tcPr>
            <w:tcW w:type="dxa" w:w="252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Fairness improvement</w:t>
            </w:r>
          </w:p>
        </w:tc>
      </w:tr>
      <w:tr>
        <w:trPr>
          <w:cantSplit/>
        </w:trPr>
        <w:tc>
          <w:tcPr>
            <w:tcW w:type="dxa" w:w="273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b (variance), 15 s</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98%</w:t>
            </w:r>
          </w:p>
        </w:tc>
        <w:tc>
          <w:tcPr>
            <w:tcW w:type="dxa" w:w="252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23</w:t>
            </w:r>
          </w:p>
        </w:tc>
        <w:tc>
          <w:tcPr>
            <w:tcW w:type="dxa" w:w="252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97</w:t>
            </w:r>
          </w:p>
        </w:tc>
      </w:tr>
      <w:tr>
        <w:trPr>
          <w:cantSplit/>
        </w:trPr>
        <w:tc>
          <w:tcPr>
            <w:tcW w:type="dxa" w:w="273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load balance, 15 s</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98%</w:t>
            </w:r>
          </w:p>
        </w:tc>
        <w:tc>
          <w:tcPr>
            <w:tcW w:type="dxa" w:w="252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28</w:t>
            </w:r>
          </w:p>
        </w:tc>
        <w:tc>
          <w:tcPr>
            <w:tcW w:type="dxa" w:w="252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92</w:t>
            </w:r>
          </w:p>
        </w:tc>
      </w:tr>
      <w:tr>
        <w:trPr>
          <w:cantSplit/>
        </w:trPr>
        <w:tc>
          <w:tcPr>
            <w:tcW w:type="dxa" w:w="273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b (variance), 30 s</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98%</w:t>
            </w:r>
          </w:p>
        </w:tc>
        <w:tc>
          <w:tcPr>
            <w:tcW w:type="dxa" w:w="252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21</w:t>
            </w:r>
          </w:p>
        </w:tc>
        <w:tc>
          <w:tcPr>
            <w:tcW w:type="dxa" w:w="252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99</w:t>
            </w:r>
          </w:p>
        </w:tc>
      </w:tr>
      <w:tr>
        <w:trPr>
          <w:cantSplit/>
        </w:trPr>
        <w:tc>
          <w:tcPr>
            <w:tcW w:type="dxa" w:w="2736"/>
            <w:vAlign w:val="center"/>
            <w:shd w:fill="F4F6F8"/>
            <w:tcMar>
              <w:top w:w="65" w:type="dxa"/>
              <w:left w:w="65" w:type="dxa"/>
              <w:bottom w:w="65" w:type="dxa"/>
              <w:right w:w="65" w:type="dxa"/>
            </w:tcMar>
          </w:tcPr>
          <w:p>
            <w:pPr>
              <w:spacing w:after="40" w:before="40" w:line="240" w:lineRule="auto"/>
            </w:pPr>
            <w:r>
              <w:rPr>
                <w:rFonts w:ascii="Calibri" w:hAnsi="Calibri"/>
                <w:b w:val="0"/>
                <w:sz w:val="20"/>
              </w:rPr>
              <w:t>load balance, 30 s</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98%</w:t>
            </w:r>
          </w:p>
        </w:tc>
        <w:tc>
          <w:tcPr>
            <w:tcW w:type="dxa" w:w="25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26</w:t>
            </w:r>
          </w:p>
        </w:tc>
        <w:tc>
          <w:tcPr>
            <w:tcW w:type="dxa" w:w="25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94</w:t>
            </w:r>
          </w:p>
        </w:tc>
      </w:tr>
    </w:tbl>
    <w:p>
      <w:pPr>
        <w:widowControl/>
        <w:spacing w:after="0" w:line="60" w:lineRule="exact"/>
      </w:pPr>
    </w:p>
    <w:p>
      <w:pPr>
        <w:pStyle w:val="Heading1"/>
        <w:pageBreakBefore/>
        <w:widowControl/>
      </w:pPr>
      <w:r>
        <w:t>6 Search speed and convergence</w:t>
      </w:r>
    </w:p>
    <w:p>
      <w:pPr>
        <w:widowControl/>
      </w:pPr>
      <w:r>
        <w:t>The two arms differ in when their fairness work runs. Production's constraint filters on the fairness target before it computes the variance, so the variance is computed only in the fairness phase. Load balance's constraint groups the routes into Timefold's loadBalance collector first and filters on the target after, so the collector is updated on every move of both phases, even though its penalty only counts once the fairness phase has a target. [2] The table gives the median of paired ratios, load balance's moves per second over b's in the same case.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016"/>
        <w:gridCol w:w="2016"/>
        <w:gridCol w:w="2016"/>
        <w:gridCol w:w="2016"/>
      </w:tblGrid>
      <w:tr>
        <w:trPr>
          <w:cantSplit/>
          <w:tblHeader/>
        </w:trPr>
        <w:tc>
          <w:tcPr>
            <w:tcW w:type="dxa" w:w="1872"/>
            <w:vAlign w:val="center"/>
            <w:shd w:fill="DCE6EF"/>
            <w:tcMar>
              <w:top w:w="65" w:type="dxa"/>
              <w:left w:w="65" w:type="dxa"/>
              <w:bottom w:w="65" w:type="dxa"/>
              <w:right w:w="65" w:type="dxa"/>
            </w:tcMar>
          </w:tcPr>
          <w:p>
            <w:pPr>
              <w:keepNext/>
              <w:spacing w:after="40" w:before="40" w:line="240" w:lineRule="auto"/>
            </w:pPr>
            <w:r>
              <w:rPr>
                <w:rFonts w:ascii="Calibri" w:hAnsi="Calibri"/>
                <w:b/>
                <w:sz w:val="20"/>
              </w:rPr>
              <w:t>Fleet</w:t>
            </w:r>
          </w:p>
        </w:tc>
        <w:tc>
          <w:tcPr>
            <w:tcW w:type="dxa" w:w="201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Cost phase, 15 s</w:t>
            </w:r>
          </w:p>
        </w:tc>
        <w:tc>
          <w:tcPr>
            <w:tcW w:type="dxa" w:w="201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Fairness phase, 15 s</w:t>
            </w:r>
          </w:p>
        </w:tc>
        <w:tc>
          <w:tcPr>
            <w:tcW w:type="dxa" w:w="201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Cost phase, 30 s</w:t>
            </w:r>
          </w:p>
        </w:tc>
        <w:tc>
          <w:tcPr>
            <w:tcW w:type="dxa" w:w="201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Fairness phase, 30 s</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5 technicians</w:t>
            </w:r>
          </w:p>
        </w:tc>
        <w:tc>
          <w:tcPr>
            <w:tcW w:type="dxa" w:w="20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0.88x</w:t>
            </w:r>
          </w:p>
        </w:tc>
        <w:tc>
          <w:tcPr>
            <w:tcW w:type="dxa" w:w="20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0.85x</w:t>
            </w:r>
          </w:p>
        </w:tc>
        <w:tc>
          <w:tcPr>
            <w:tcW w:type="dxa" w:w="20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0.90x</w:t>
            </w:r>
          </w:p>
        </w:tc>
        <w:tc>
          <w:tcPr>
            <w:tcW w:type="dxa" w:w="20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0.86x</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10 technicians</w:t>
            </w:r>
          </w:p>
        </w:tc>
        <w:tc>
          <w:tcPr>
            <w:tcW w:type="dxa" w:w="201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0.90x</w:t>
            </w:r>
          </w:p>
        </w:tc>
        <w:tc>
          <w:tcPr>
            <w:tcW w:type="dxa" w:w="201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0.86x</w:t>
            </w:r>
          </w:p>
        </w:tc>
        <w:tc>
          <w:tcPr>
            <w:tcW w:type="dxa" w:w="201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0.90x</w:t>
            </w:r>
          </w:p>
        </w:tc>
        <w:tc>
          <w:tcPr>
            <w:tcW w:type="dxa" w:w="201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0.87x</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20 technicians</w:t>
            </w:r>
          </w:p>
        </w:tc>
        <w:tc>
          <w:tcPr>
            <w:tcW w:type="dxa" w:w="20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0.90x</w:t>
            </w:r>
          </w:p>
        </w:tc>
        <w:tc>
          <w:tcPr>
            <w:tcW w:type="dxa" w:w="20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0.86x</w:t>
            </w:r>
          </w:p>
        </w:tc>
        <w:tc>
          <w:tcPr>
            <w:tcW w:type="dxa" w:w="20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0.90x</w:t>
            </w:r>
          </w:p>
        </w:tc>
        <w:tc>
          <w:tcPr>
            <w:tcW w:type="dxa" w:w="20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0.87x</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50 technicians</w:t>
            </w:r>
          </w:p>
        </w:tc>
        <w:tc>
          <w:tcPr>
            <w:tcW w:type="dxa" w:w="201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0.91x</w:t>
            </w:r>
          </w:p>
        </w:tc>
        <w:tc>
          <w:tcPr>
            <w:tcW w:type="dxa" w:w="201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0.89x</w:t>
            </w:r>
          </w:p>
        </w:tc>
        <w:tc>
          <w:tcPr>
            <w:tcW w:type="dxa" w:w="201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0.90x</w:t>
            </w:r>
          </w:p>
        </w:tc>
        <w:tc>
          <w:tcPr>
            <w:tcW w:type="dxa" w:w="201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0.90x</w:t>
            </w:r>
          </w:p>
        </w:tc>
      </w:tr>
      <w:tr>
        <w:trPr>
          <w:cantSplit/>
        </w:trPr>
        <w:tc>
          <w:tcPr>
            <w:tcW w:type="dxa" w:w="1872"/>
            <w:vAlign w:val="center"/>
            <w:shd w:fill="FFFFFF"/>
            <w:tcMar>
              <w:top w:w="65" w:type="dxa"/>
              <w:left w:w="65" w:type="dxa"/>
              <w:bottom w:w="65" w:type="dxa"/>
              <w:right w:w="65" w:type="dxa"/>
            </w:tcMar>
          </w:tcPr>
          <w:p>
            <w:pPr>
              <w:spacing w:after="40" w:before="40" w:line="240" w:lineRule="auto"/>
            </w:pPr>
            <w:r>
              <w:rPr>
                <w:rFonts w:ascii="Calibri" w:hAnsi="Calibri"/>
                <w:b w:val="0"/>
                <w:sz w:val="20"/>
              </w:rPr>
              <w:t>All</w:t>
            </w:r>
          </w:p>
        </w:tc>
        <w:tc>
          <w:tcPr>
            <w:tcW w:type="dxa" w:w="201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0.89x</w:t>
            </w:r>
          </w:p>
        </w:tc>
        <w:tc>
          <w:tcPr>
            <w:tcW w:type="dxa" w:w="201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0.86x</w:t>
            </w:r>
          </w:p>
        </w:tc>
        <w:tc>
          <w:tcPr>
            <w:tcW w:type="dxa" w:w="201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0.90x</w:t>
            </w:r>
          </w:p>
        </w:tc>
        <w:tc>
          <w:tcPr>
            <w:tcW w:type="dxa" w:w="201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0.87x</w:t>
            </w:r>
          </w:p>
        </w:tc>
      </w:tr>
    </w:tbl>
    <w:p>
      <w:pPr>
        <w:widowControl/>
        <w:spacing w:after="0" w:line="60" w:lineRule="exact"/>
      </w:pPr>
    </w:p>
    <w:p>
      <w:pPr>
        <w:keepNext/>
        <w:widowControl/>
        <w:jc w:val="center"/>
      </w:pPr>
      <w:r>
        <w:drawing>
          <wp:inline xmlns:a="http://schemas.openxmlformats.org/drawingml/2006/main" xmlns:pic="http://schemas.openxmlformats.org/drawingml/2006/picture">
            <wp:extent cx="6263640" cy="2575052"/>
            <wp:docPr id="9" name="Picture 9" descr="Figure 9. Moves per second of load balance over b in the same case, in each phase, by fleet size and budget. The black bar is the median."/>
            <wp:cNvGraphicFramePr>
              <a:graphicFrameLocks noChangeAspect="1"/>
            </wp:cNvGraphicFramePr>
            <a:graphic>
              <a:graphicData uri="http://schemas.openxmlformats.org/drawingml/2006/picture">
                <pic:pic>
                  <pic:nvPicPr>
                    <pic:cNvPr id="0" name="speed.png"/>
                    <pic:cNvPicPr/>
                  </pic:nvPicPr>
                  <pic:blipFill>
                    <a:blip r:embed="rId18"/>
                    <a:stretch>
                      <a:fillRect/>
                    </a:stretch>
                  </pic:blipFill>
                  <pic:spPr>
                    <a:xfrm>
                      <a:off x="0" y="0"/>
                      <a:ext cx="6263640" cy="2575052"/>
                    </a:xfrm>
                    <a:prstGeom prst="rect"/>
                  </pic:spPr>
                </pic:pic>
              </a:graphicData>
            </a:graphic>
          </wp:inline>
        </w:drawing>
      </w:r>
    </w:p>
    <w:p>
      <w:pPr>
        <w:pStyle w:val="Caption"/>
        <w:widowControl/>
        <w:spacing w:after="140"/>
      </w:pPr>
      <w:r>
        <w:rPr>
          <w:b w:val="0"/>
          <w:i/>
          <w:color w:val="000000"/>
        </w:rPr>
        <w:t>Figure 9. Moves per second of load balance over b in the same case, in each phase, by fleet size and budget. The black bar is the median.</w:t>
      </w:r>
    </w:p>
    <w:p>
      <w:pPr>
        <w:widowControl/>
      </w:pPr>
      <w:r>
        <w:t>In absolute terms b's cost phase evaluated a median 511,764 moves per second at 15 s and load balance's 462,798; these are the harness's rates, not the service's. Fewer moves in the same seconds means a less thorough cost search, which shows in the reference plan's cost before any fairness is spent.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1728"/>
        <w:gridCol w:w="1728"/>
        <w:gridCol w:w="1728"/>
        <w:gridCol w:w="1728"/>
      </w:tblGrid>
      <w:tr>
        <w:trPr>
          <w:cantSplit/>
          <w:tblHeader/>
        </w:trPr>
        <w:tc>
          <w:tcPr>
            <w:tcW w:type="dxa" w:w="3024"/>
            <w:vAlign w:val="center"/>
            <w:shd w:fill="DCE6EF"/>
            <w:tcMar>
              <w:top w:w="65" w:type="dxa"/>
              <w:left w:w="65" w:type="dxa"/>
              <w:bottom w:w="65" w:type="dxa"/>
              <w:right w:w="65" w:type="dxa"/>
            </w:tcMar>
          </w:tcPr>
          <w:p>
            <w:pPr>
              <w:keepNext/>
              <w:spacing w:after="40" w:before="40" w:line="240" w:lineRule="auto"/>
            </w:pPr>
            <w:r>
              <w:rPr>
                <w:rFonts w:ascii="Calibri" w:hAnsi="Calibri"/>
                <w:b/>
                <w:sz w:val="20"/>
              </w:rPr>
              <w:t>Arm, phase</w:t>
            </w:r>
          </w:p>
        </w:tc>
        <w:tc>
          <w:tcPr>
            <w:tcW w:type="dxa" w:w="172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Median share of budget to best, 15 s</w:t>
            </w:r>
          </w:p>
        </w:tc>
        <w:tc>
          <w:tcPr>
            <w:tcW w:type="dxa" w:w="172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Median share of budget to best, 30 s</w:t>
            </w:r>
          </w:p>
        </w:tc>
        <w:tc>
          <w:tcPr>
            <w:tcW w:type="dxa" w:w="172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Runs past 90%, 15 s</w:t>
            </w:r>
          </w:p>
        </w:tc>
        <w:tc>
          <w:tcPr>
            <w:tcW w:type="dxa" w:w="172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Runs past 90%, 30 s</w:t>
            </w:r>
          </w:p>
        </w:tc>
      </w:tr>
      <w:tr>
        <w:trPr>
          <w:cantSplit/>
        </w:trPr>
        <w:tc>
          <w:tcPr>
            <w:tcW w:type="dxa" w:w="302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b (variance), cost phase</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61%</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63%</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24</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21</w:t>
            </w:r>
          </w:p>
        </w:tc>
      </w:tr>
      <w:tr>
        <w:trPr>
          <w:cantSplit/>
        </w:trPr>
        <w:tc>
          <w:tcPr>
            <w:tcW w:type="dxa" w:w="302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b (variance), fairness phase</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35%</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23%</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25</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17</w:t>
            </w:r>
          </w:p>
        </w:tc>
      </w:tr>
      <w:tr>
        <w:trPr>
          <w:cantSplit/>
        </w:trPr>
        <w:tc>
          <w:tcPr>
            <w:tcW w:type="dxa" w:w="302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load balance, cost phase</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67%</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66%</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32</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26</w:t>
            </w:r>
          </w:p>
        </w:tc>
      </w:tr>
      <w:tr>
        <w:trPr>
          <w:cantSplit/>
        </w:trPr>
        <w:tc>
          <w:tcPr>
            <w:tcW w:type="dxa" w:w="3024"/>
            <w:vAlign w:val="center"/>
            <w:shd w:fill="F4F6F8"/>
            <w:tcMar>
              <w:top w:w="65" w:type="dxa"/>
              <w:left w:w="65" w:type="dxa"/>
              <w:bottom w:w="65" w:type="dxa"/>
              <w:right w:w="65" w:type="dxa"/>
            </w:tcMar>
          </w:tcPr>
          <w:p>
            <w:pPr>
              <w:spacing w:after="40" w:before="40" w:line="240" w:lineRule="auto"/>
            </w:pPr>
            <w:r>
              <w:rPr>
                <w:rFonts w:ascii="Calibri" w:hAnsi="Calibri"/>
                <w:b w:val="0"/>
                <w:sz w:val="20"/>
              </w:rPr>
              <w:t>load balance, fairness phase</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36%</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28%</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21</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21</w:t>
            </w:r>
          </w:p>
        </w:tc>
      </w:tr>
    </w:tbl>
    <w:p>
      <w:pPr>
        <w:widowControl/>
        <w:spacing w:after="0" w:line="60" w:lineRule="exact"/>
      </w:pPr>
    </w:p>
    <w:p>
      <w:pPr>
        <w:keepNext/>
        <w:widowControl/>
        <w:jc w:val="center"/>
      </w:pPr>
      <w:r>
        <w:drawing>
          <wp:inline xmlns:a="http://schemas.openxmlformats.org/drawingml/2006/main" xmlns:pic="http://schemas.openxmlformats.org/drawingml/2006/picture">
            <wp:extent cx="6263640" cy="2227072"/>
            <wp:docPr id="10" name="Picture 10" descr="Figure 10. How far into each phase's budget each arm found its best plan, the median over cases. A share near 100 percent means the search was still improving when time ran out."/>
            <wp:cNvGraphicFramePr>
              <a:graphicFrameLocks noChangeAspect="1"/>
            </wp:cNvGraphicFramePr>
            <a:graphic>
              <a:graphicData uri="http://schemas.openxmlformats.org/drawingml/2006/picture">
                <pic:pic>
                  <pic:nvPicPr>
                    <pic:cNvPr id="0" name="convergence.png"/>
                    <pic:cNvPicPr/>
                  </pic:nvPicPr>
                  <pic:blipFill>
                    <a:blip r:embed="rId19"/>
                    <a:stretch>
                      <a:fillRect/>
                    </a:stretch>
                  </pic:blipFill>
                  <pic:spPr>
                    <a:xfrm>
                      <a:off x="0" y="0"/>
                      <a:ext cx="6263640" cy="2227072"/>
                    </a:xfrm>
                    <a:prstGeom prst="rect"/>
                  </pic:spPr>
                </pic:pic>
              </a:graphicData>
            </a:graphic>
          </wp:inline>
        </w:drawing>
      </w:r>
    </w:p>
    <w:p>
      <w:pPr>
        <w:pStyle w:val="Caption"/>
        <w:widowControl/>
        <w:spacing w:after="140"/>
      </w:pPr>
      <w:r>
        <w:rPr>
          <w:b w:val="0"/>
          <w:i/>
          <w:color w:val="000000"/>
        </w:rPr>
        <w:t>Figure 10. How far into each phase's budget each arm found its best plan, the median over cases. A share near 100 percent means the search was still improving when time ran out.</w:t>
      </w:r>
    </w:p>
    <w:p>
      <w:pPr>
        <w:pStyle w:val="Heading1"/>
        <w:pageBreakBefore/>
        <w:widowControl/>
      </w:pPr>
      <w:r>
        <w:t>7 Where the time goes</w:t>
      </w:r>
    </w:p>
    <w:p>
      <w:pPr>
        <w:keepNext/>
        <w:widowControl/>
        <w:jc w:val="center"/>
      </w:pPr>
      <w:r>
        <w:drawing>
          <wp:inline xmlns:a="http://schemas.openxmlformats.org/drawingml/2006/main" xmlns:pic="http://schemas.openxmlformats.org/drawingml/2006/picture">
            <wp:extent cx="6263640" cy="2366264"/>
            <wp:docPr id="11" name="Picture 11" descr="Figure 11. Share of CPU samples in each phase by kind of work, from the flight recordings at 15 s. Score engine is Timefold's constraint streams, where the load balance collector runs."/>
            <wp:cNvGraphicFramePr>
              <a:graphicFrameLocks noChangeAspect="1"/>
            </wp:cNvGraphicFramePr>
            <a:graphic>
              <a:graphicData uri="http://schemas.openxmlformats.org/drawingml/2006/picture">
                <pic:pic>
                  <pic:nvPicPr>
                    <pic:cNvPr id="0" name="profile.png"/>
                    <pic:cNvPicPr/>
                  </pic:nvPicPr>
                  <pic:blipFill>
                    <a:blip r:embed="rId20"/>
                    <a:stretch>
                      <a:fillRect/>
                    </a:stretch>
                  </pic:blipFill>
                  <pic:spPr>
                    <a:xfrm>
                      <a:off x="0" y="0"/>
                      <a:ext cx="6263640" cy="2366264"/>
                    </a:xfrm>
                    <a:prstGeom prst="rect"/>
                  </pic:spPr>
                </pic:pic>
              </a:graphicData>
            </a:graphic>
          </wp:inline>
        </w:drawing>
      </w:r>
    </w:p>
    <w:p>
      <w:pPr>
        <w:pStyle w:val="Caption"/>
        <w:widowControl/>
        <w:spacing w:after="140"/>
      </w:pPr>
      <w:r>
        <w:rPr>
          <w:b w:val="0"/>
          <w:i/>
          <w:color w:val="000000"/>
        </w:rPr>
        <w:t>Figure 11. Share of CPU samples in each phase by kind of work, from the flight recordings at 15 s. Score engine is Timefold's constraint streams, where the load balance collector runs.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1800"/>
        <w:gridCol w:w="1800"/>
        <w:gridCol w:w="1800"/>
        <w:gridCol w:w="1800"/>
      </w:tblGrid>
      <w:tr>
        <w:trPr>
          <w:cantSplit/>
          <w:tblHeader/>
        </w:trPr>
        <w:tc>
          <w:tcPr>
            <w:tcW w:type="dxa" w:w="2736"/>
            <w:vAlign w:val="center"/>
            <w:shd w:fill="DCE6EF"/>
            <w:tcMar>
              <w:top w:w="65" w:type="dxa"/>
              <w:left w:w="65" w:type="dxa"/>
              <w:bottom w:w="65" w:type="dxa"/>
              <w:right w:w="65" w:type="dxa"/>
            </w:tcMar>
          </w:tcPr>
          <w:p>
            <w:pPr>
              <w:keepNext/>
              <w:spacing w:after="40" w:before="40" w:line="240" w:lineRule="auto"/>
            </w:pPr>
            <w:r>
              <w:rPr>
                <w:rFonts w:ascii="Calibri" w:hAnsi="Calibri"/>
                <w:b/>
                <w:sz w:val="20"/>
              </w:rPr>
              <w:t>Kind of work</w:t>
            </w:r>
          </w:p>
        </w:tc>
        <w:tc>
          <w:tcPr>
            <w:tcW w:type="dxa" w:w="180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b, cost</w:t>
            </w:r>
          </w:p>
        </w:tc>
        <w:tc>
          <w:tcPr>
            <w:tcW w:type="dxa" w:w="180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load balance, cost</w:t>
            </w:r>
          </w:p>
        </w:tc>
        <w:tc>
          <w:tcPr>
            <w:tcW w:type="dxa" w:w="180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b, fairness</w:t>
            </w:r>
          </w:p>
        </w:tc>
        <w:tc>
          <w:tcPr>
            <w:tcW w:type="dxa" w:w="180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load balance, fairness</w:t>
            </w:r>
          </w:p>
        </w:tc>
      </w:tr>
      <w:tr>
        <w:trPr>
          <w:cantSplit/>
        </w:trPr>
        <w:tc>
          <w:tcPr>
            <w:tcW w:type="dxa" w:w="273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variance (non-decimal)</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2.6%</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w:t>
            </w:r>
          </w:p>
        </w:tc>
      </w:tr>
      <w:tr>
        <w:trPr>
          <w:cantSplit/>
        </w:trPr>
        <w:tc>
          <w:tcPr>
            <w:tcW w:type="dxa" w:w="273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decimal: score impacts</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3.0%</w:t>
            </w:r>
          </w:p>
        </w:tc>
      </w:tr>
      <w:tr>
        <w:trPr>
          <w:cantSplit/>
        </w:trPr>
        <w:tc>
          <w:tcPr>
            <w:tcW w:type="dxa" w:w="273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collections</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21.9%</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26.5%</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21.5%</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24.8%</w:t>
            </w:r>
          </w:p>
        </w:tc>
      </w:tr>
      <w:tr>
        <w:trPr>
          <w:cantSplit/>
        </w:trPr>
        <w:tc>
          <w:tcPr>
            <w:tcW w:type="dxa" w:w="273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engine</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35.1%</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32.8%</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35.6%</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32.9%</w:t>
            </w:r>
          </w:p>
        </w:tc>
      </w:tr>
      <w:tr>
        <w:trPr>
          <w:cantSplit/>
        </w:trPr>
        <w:tc>
          <w:tcPr>
            <w:tcW w:type="dxa" w:w="273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scheduler code</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31.0%</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28.0%</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29.4%</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26.3%</w:t>
            </w:r>
          </w:p>
        </w:tc>
      </w:tr>
      <w:tr>
        <w:trPr>
          <w:cantSplit/>
        </w:trPr>
        <w:tc>
          <w:tcPr>
            <w:tcW w:type="dxa" w:w="273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score engine</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11.5%</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12.1%</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10.5%</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11.4%</w:t>
            </w:r>
          </w:p>
        </w:tc>
      </w:tr>
      <w:tr>
        <w:trPr>
          <w:cantSplit/>
        </w:trPr>
        <w:tc>
          <w:tcPr>
            <w:tcW w:type="dxa" w:w="2736"/>
            <w:vAlign w:val="center"/>
            <w:shd w:fill="FFFFFF"/>
            <w:tcMar>
              <w:top w:w="65" w:type="dxa"/>
              <w:left w:w="65" w:type="dxa"/>
              <w:bottom w:w="65" w:type="dxa"/>
              <w:right w:w="65" w:type="dxa"/>
            </w:tcMar>
          </w:tcPr>
          <w:p>
            <w:pPr>
              <w:spacing w:after="40" w:before="40" w:line="240" w:lineRule="auto"/>
            </w:pPr>
            <w:r>
              <w:rPr>
                <w:rFonts w:ascii="Calibri" w:hAnsi="Calibri"/>
                <w:b w:val="0"/>
                <w:sz w:val="20"/>
              </w:rPr>
              <w:t>other</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0.4%</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0.6%</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0.4%</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1.6%</w:t>
            </w:r>
          </w:p>
        </w:tc>
      </w:tr>
    </w:tbl>
    <w:p>
      <w:pPr>
        <w:widowControl/>
        <w:spacing w:after="0" w:line="60" w:lineRule="exac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192"/>
        <w:gridCol w:w="1872"/>
        <w:gridCol w:w="1872"/>
      </w:tblGrid>
      <w:tr>
        <w:trPr>
          <w:cantSplit/>
          <w:tblHeader/>
        </w:trPr>
        <w:tc>
          <w:tcPr>
            <w:tcW w:type="dxa" w:w="6192"/>
            <w:vAlign w:val="center"/>
            <w:shd w:fill="DCE6EF"/>
            <w:tcMar>
              <w:top w:w="65" w:type="dxa"/>
              <w:left w:w="65" w:type="dxa"/>
              <w:bottom w:w="65" w:type="dxa"/>
              <w:right w:w="65" w:type="dxa"/>
            </w:tcMar>
          </w:tcPr>
          <w:p>
            <w:pPr>
              <w:keepNext/>
              <w:spacing w:after="40" w:before="40" w:line="240" w:lineRule="auto"/>
            </w:pPr>
            <w:r>
              <w:rPr>
                <w:rFonts w:ascii="Calibri" w:hAnsi="Calibri"/>
                <w:b/>
                <w:sz w:val="18"/>
              </w:rPr>
              <w:t>Leaf frame, load balance's cost phase</w:t>
            </w:r>
          </w:p>
        </w:tc>
        <w:tc>
          <w:tcPr>
            <w:tcW w:type="dxa" w:w="187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Load balance</w:t>
            </w:r>
          </w:p>
        </w:tc>
        <w:tc>
          <w:tcPr>
            <w:tcW w:type="dxa" w:w="187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b</w:t>
            </w:r>
          </w:p>
        </w:tc>
      </w:tr>
      <w:tr>
        <w:trPr>
          <w:cantSplit/>
        </w:trPr>
        <w:tc>
          <w:tcPr>
            <w:tcW w:type="dxa" w:w="619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PlanVisit.roadNumber</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11.0%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11.6%</w:t>
            </w:r>
          </w:p>
        </w:tc>
      </w:tr>
      <w:tr>
        <w:trPr>
          <w:cantSplit/>
        </w:trPr>
        <w:tc>
          <w:tcPr>
            <w:tcW w:type="dxa" w:w="619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VariableDescriptor.getValue</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5.5%</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6.0%</w:t>
            </w:r>
          </w:p>
        </w:tc>
      </w:tr>
      <w:tr>
        <w:trPr>
          <w:cantSplit/>
        </w:trPr>
        <w:tc>
          <w:tcPr>
            <w:tcW w:type="dxa" w:w="619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RouteTimeline.evaluate</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5.2%</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5.9%</w:t>
            </w:r>
          </w:p>
        </w:tc>
      </w:tr>
      <w:tr>
        <w:trPr>
          <w:cantSplit/>
        </w:trPr>
        <w:tc>
          <w:tcPr>
            <w:tcW w:type="dxa" w:w="619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HashMap.getNode</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4.2%</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4.3%</w:t>
            </w:r>
          </w:p>
        </w:tc>
      </w:tr>
      <w:tr>
        <w:trPr>
          <w:cantSplit/>
        </w:trPr>
        <w:tc>
          <w:tcPr>
            <w:tcW w:type="dxa" w:w="619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StaticPropagationQueue lambda.accept</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3.5%</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3.8%</w:t>
            </w:r>
          </w:p>
        </w:tc>
      </w:tr>
      <w:tr>
        <w:trPr>
          <w:cantSplit/>
        </w:trPr>
        <w:tc>
          <w:tcPr>
            <w:tcW w:type="dxa" w:w="619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UniLongImpactHandler.impactNaked</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3.0%</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3.4%</w:t>
            </w:r>
          </w:p>
        </w:tc>
      </w:tr>
      <w:tr>
        <w:trPr>
          <w:cantSplit/>
        </w:trPr>
        <w:tc>
          <w:tcPr>
            <w:tcW w:type="dxa" w:w="619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VariableChangeRecordingScoreDirector.undoChanges</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2.9%</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3.3%</w:t>
            </w:r>
          </w:p>
        </w:tc>
      </w:tr>
      <w:tr>
        <w:trPr>
          <w:cantSplit/>
        </w:trPr>
        <w:tc>
          <w:tcPr>
            <w:tcW w:type="dxa" w:w="619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HashMap.compute</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2.9%</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below top 20</w:t>
            </w:r>
          </w:p>
        </w:tc>
      </w:tr>
      <w:tr>
        <w:trPr>
          <w:cantSplit/>
        </w:trPr>
        <w:tc>
          <w:tcPr>
            <w:tcW w:type="dxa" w:w="619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IdentityHashMap.get</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2.7%</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2.6%</w:t>
            </w:r>
          </w:p>
        </w:tc>
      </w:tr>
      <w:tr>
        <w:trPr>
          <w:cantSplit/>
        </w:trPr>
        <w:tc>
          <w:tcPr>
            <w:tcW w:type="dxa" w:w="6192"/>
            <w:vAlign w:val="center"/>
            <w:shd w:fill="F4F6F8"/>
            <w:tcMar>
              <w:top w:w="65" w:type="dxa"/>
              <w:left w:w="65" w:type="dxa"/>
              <w:bottom w:w="65" w:type="dxa"/>
              <w:right w:w="65" w:type="dxa"/>
            </w:tcMar>
          </w:tcPr>
          <w:p>
            <w:pPr>
              <w:spacing w:after="40" w:before="40" w:line="240" w:lineRule="auto"/>
            </w:pPr>
            <w:r>
              <w:rPr>
                <w:rFonts w:ascii="Calibri" w:hAnsi="Calibri"/>
                <w:b w:val="0"/>
                <w:sz w:val="18"/>
              </w:rPr>
              <w:t>TupleLifecycle.lambda$conditionally$1</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w:t>
            </w:r>
          </w:p>
        </w:tc>
      </w:tr>
    </w:tbl>
    <w:p>
      <w:pPr>
        <w:widowControl/>
        <w:spacing w:after="0" w:line="60" w:lineRule="exact"/>
      </w:pPr>
    </w:p>
    <w:p>
      <w:pPr>
        <w:widowControl/>
      </w:pPr>
      <w:r>
        <w:t>Each leaf frame is the method running when a sample was taken, as a share of the phase's samples; b's share is shown where the frame is among b's top twenty.</w:t>
      </w:r>
    </w:p>
    <w:p>
      <w:pPr>
        <w:widowControl/>
      </w:pPr>
      <w:r>
        <w:t>The two cost phases do the same search, so their profiles differ only by the collector. Collections take 26.5 percent of load balance's cost-phase samples against 21.9 percent of b's, and the score engine 12.1 against 11.5; the rest of the profile, led by PlanVisit.roadNumber and the route walk, is in the same order in both. Reading the extra collections time as the collector's own per-technician map is an interpretation: the recordings keep leaf frames, not the callers that would confirm it. In the fairness phase, load balance shows 3.0 percent in decimal score work that b does not have, most likely the collector's unfairness, a BigDecimal, converted to the long score on each move.</w:t>
      </w:r>
    </w:p>
    <w:p>
      <w:pPr>
        <w:pStyle w:val="Heading1"/>
        <w:pageBreakBefore/>
        <w:widowControl/>
      </w:pPr>
      <w:r>
        <w:t>8 Conclusions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480"/>
      </w:tblGrid>
      <w:tr>
        <w:trPr>
          <w:cantSplit/>
          <w:tblHeader/>
        </w:trPr>
        <w:tc>
          <w:tcPr>
            <w:tcW w:type="dxa" w:w="3456"/>
            <w:vAlign w:val="center"/>
            <w:shd w:fill="DCE6EF"/>
            <w:tcMar>
              <w:top w:w="65" w:type="dxa"/>
              <w:left w:w="65" w:type="dxa"/>
              <w:bottom w:w="65" w:type="dxa"/>
              <w:right w:w="65" w:type="dxa"/>
            </w:tcMar>
          </w:tcPr>
          <w:p>
            <w:pPr>
              <w:keepNext/>
              <w:spacing w:after="40" w:before="40" w:line="240" w:lineRule="auto"/>
            </w:pPr>
            <w:r>
              <w:rPr>
                <w:rFonts w:ascii="Calibri" w:hAnsi="Calibri"/>
                <w:b/>
                <w:sz w:val="20"/>
              </w:rPr>
              <w:t>Question</w:t>
            </w:r>
          </w:p>
        </w:tc>
        <w:tc>
          <w:tcPr>
            <w:tcW w:type="dxa" w:w="6480"/>
            <w:vAlign w:val="center"/>
            <w:shd w:fill="DCE6EF"/>
            <w:tcMar>
              <w:top w:w="65" w:type="dxa"/>
              <w:left w:w="65" w:type="dxa"/>
              <w:bottom w:w="65" w:type="dxa"/>
              <w:right w:w="65" w:type="dxa"/>
            </w:tcMar>
          </w:tcPr>
          <w:p>
            <w:pPr>
              <w:keepNext/>
              <w:spacing w:after="40" w:before="40" w:line="240" w:lineRule="auto"/>
            </w:pPr>
            <w:r>
              <w:rPr>
                <w:rFonts w:ascii="Calibri" w:hAnsi="Calibri"/>
                <w:b/>
                <w:sz w:val="20"/>
              </w:rPr>
              <w:t>Answer from the evidence</w:t>
            </w:r>
          </w:p>
        </w:tc>
      </w:tr>
      <w:tr>
        <w:trPr>
          <w:cantSplit/>
        </w:trPr>
        <w:tc>
          <w:tcPr>
            <w:tcW w:type="dxa" w:w="345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Is load balance fairer than the variance by production's own measure?</w:t>
            </w:r>
          </w:p>
        </w:tc>
        <w:tc>
          <w:tcPr>
            <w:tcW w:type="dxa" w:w="648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No. At 15 s its median ratio is 1.00 (1.00 to 1.00); it was fairer on 29 days and less fair on 35, 28 of them by more than 5%. At 30 s its median ratio is 1.00 (1.00 to 1.00); it was fairer on 21 days and less fair on 36, 26 of them by more than 5%.</w:t>
            </w:r>
          </w:p>
        </w:tc>
      </w:tr>
      <w:tr>
        <w:trPr>
          <w:cantSplit/>
        </w:trPr>
        <w:tc>
          <w:tcPr>
            <w:tcW w:type="dxa" w:w="345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Does it make the busiest day lighter?</w:t>
            </w:r>
          </w:p>
        </w:tc>
        <w:tc>
          <w:tcPr>
            <w:tcW w:type="dxa" w:w="648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No. At 15 s the median ratio is 1.00 (1.00 to 1.00), lighter on 22 days and heavier on 28. At 30 s the median ratio is 1.00 (1.00 to 1.00), lighter on 24 days and heavier on 24.</w:t>
            </w:r>
          </w:p>
        </w:tc>
      </w:tr>
      <w:tr>
        <w:trPr>
          <w:cantSplit/>
        </w:trPr>
        <w:tc>
          <w:tcPr>
            <w:tcW w:type="dxa" w:w="345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What does it cost?</w:t>
            </w:r>
          </w:p>
        </w:tc>
        <w:tc>
          <w:tcPr>
            <w:tcW w:type="dxa" w:w="648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At 15 s a median +0 cents a day and a mean +23.5. At 30 s a median +0 cents a day and a mean +54.2. The mean comes from 50-technician days, where the slower cost phase leaves a dearer starting plan.</w:t>
            </w:r>
          </w:p>
        </w:tc>
      </w:tr>
      <w:tr>
        <w:trPr>
          <w:cantSplit/>
        </w:trPr>
        <w:tc>
          <w:tcPr>
            <w:tcW w:type="dxa" w:w="345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Does it slow the search?</w:t>
            </w:r>
          </w:p>
        </w:tc>
        <w:tc>
          <w:tcPr>
            <w:tcW w:type="dxa" w:w="648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Yes. At 15 s its cost phase runs at 0.89x b's and its fairness phase at 0.86x. At 30 s its cost phase runs at 0.90x b's and its fairness phase at 0.87x.</w:t>
            </w:r>
          </w:p>
        </w:tc>
      </w:tr>
      <w:tr>
        <w:trPr>
          <w:cantSplit/>
        </w:trPr>
        <w:tc>
          <w:tcPr>
            <w:tcW w:type="dxa" w:w="345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Why is the median ratio exactly 1?</w:t>
            </w:r>
          </w:p>
        </w:tc>
        <w:tc>
          <w:tcPr>
            <w:tcW w:type="dxa" w:w="648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two arms ended on the same plan on 55 and 61 of 120 days; the middle day is one of those.</w:t>
            </w:r>
          </w:p>
        </w:tc>
      </w:tr>
      <w:tr>
        <w:trPr>
          <w:cantSplit/>
        </w:trPr>
        <w:tc>
          <w:tcPr>
            <w:tcW w:type="dxa" w:w="345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Where do the measures disagree?</w:t>
            </w:r>
          </w:p>
        </w:tc>
        <w:tc>
          <w:tcPr>
            <w:tcW w:type="dxa" w:w="648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On mixed shifts: load balance's plans are less fair by production's variance (1.04 and 1.12) and slightly fairer by its own (1.00 and 1.00).</w:t>
            </w:r>
          </w:p>
        </w:tc>
      </w:tr>
      <w:tr>
        <w:trPr>
          <w:cantSplit/>
        </w:trPr>
        <w:tc>
          <w:tcPr>
            <w:tcW w:type="dxa" w:w="3456"/>
            <w:vAlign w:val="center"/>
            <w:shd w:fill="FFFFFF"/>
            <w:tcMar>
              <w:top w:w="65" w:type="dxa"/>
              <w:left w:w="65" w:type="dxa"/>
              <w:bottom w:w="65" w:type="dxa"/>
              <w:right w:w="65" w:type="dxa"/>
            </w:tcMar>
          </w:tcPr>
          <w:p>
            <w:pPr>
              <w:spacing w:after="40" w:before="40" w:line="240" w:lineRule="auto"/>
            </w:pPr>
            <w:r>
              <w:rPr>
                <w:rFonts w:ascii="Calibri" w:hAnsi="Calibri"/>
                <w:b w:val="0"/>
                <w:sz w:val="20"/>
              </w:rPr>
              <w:t>Does the rule support switching?</w:t>
            </w:r>
          </w:p>
        </w:tc>
        <w:tc>
          <w:tcPr>
            <w:tcW w:type="dxa" w:w="6480"/>
            <w:vAlign w:val="center"/>
            <w:shd w:fill="FFFFFF"/>
            <w:tcMar>
              <w:top w:w="65" w:type="dxa"/>
              <w:left w:w="65" w:type="dxa"/>
              <w:bottom w:w="65" w:type="dxa"/>
              <w:right w:w="65" w:type="dxa"/>
            </w:tcMar>
          </w:tcPr>
          <w:p>
            <w:pPr>
              <w:spacing w:after="40" w:before="40" w:line="240" w:lineRule="auto"/>
            </w:pPr>
            <w:r>
              <w:rPr>
                <w:rFonts w:ascii="Calibri" w:hAnsi="Calibri"/>
                <w:b w:val="0"/>
                <w:sz w:val="20"/>
              </w:rPr>
              <w:t>No. At 15 s it fails on variance; At 30 s it fails on variance.</w:t>
            </w:r>
          </w:p>
        </w:tc>
      </w:tr>
    </w:tbl>
    <w:p>
      <w:pPr>
        <w:widowControl/>
        <w:spacing w:after="0" w:line="60" w:lineRule="exact"/>
      </w:pPr>
    </w:p>
    <w:p>
      <w:pPr>
        <w:widowControl/>
      </w:pPr>
      <w:r>
        <w:t>Two cautions carry over. The days are synthetic and at most 50 technicians, and each solve was limited to two processors on a workstation, so the absolute rates are the harness's; the paired ratios are what transfers. And fairer is fairer by a measure's definition: whether planners see the difference is a question for the pilot.</w:t>
      </w:r>
    </w:p>
    <w:p>
      <w:pPr>
        <w:pStyle w:val="Heading1"/>
        <w:pageBreakBefore/>
        <w:widowControl/>
      </w:pPr>
      <w:r>
        <w:t>9 What should happen next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5328"/>
        <w:gridCol w:w="2520"/>
      </w:tblGrid>
      <w:tr>
        <w:trPr>
          <w:cantSplit/>
          <w:tblHeader/>
        </w:trPr>
        <w:tc>
          <w:tcPr>
            <w:tcW w:type="dxa" w:w="2088"/>
            <w:vAlign w:val="center"/>
            <w:shd w:fill="DCE6EF"/>
            <w:tcMar>
              <w:top w:w="65" w:type="dxa"/>
              <w:left w:w="65" w:type="dxa"/>
              <w:bottom w:w="65" w:type="dxa"/>
              <w:right w:w="65" w:type="dxa"/>
            </w:tcMar>
          </w:tcPr>
          <w:p>
            <w:pPr>
              <w:keepNext/>
              <w:spacing w:after="40" w:before="40" w:line="240" w:lineRule="auto"/>
            </w:pPr>
            <w:r>
              <w:rPr>
                <w:rFonts w:ascii="Calibri" w:hAnsi="Calibri"/>
                <w:b/>
                <w:sz w:val="20"/>
              </w:rPr>
              <w:t>Next step</w:t>
            </w:r>
          </w:p>
        </w:tc>
        <w:tc>
          <w:tcPr>
            <w:tcW w:type="dxa" w:w="532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What to do</w:t>
            </w:r>
          </w:p>
        </w:tc>
        <w:tc>
          <w:tcPr>
            <w:tcW w:type="dxa" w:w="252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What it decides</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Keep the variance</w:t>
            </w:r>
          </w:p>
        </w:tc>
        <w:tc>
          <w:tcPr>
            <w:tcW w:type="dxa" w:w="53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Make no policy change. Record in scheduler-policy.md that load balance was measured head to head and why it was not chosen.</w:t>
            </w:r>
          </w:p>
        </w:tc>
        <w:tc>
          <w:tcPr>
            <w:tcW w:type="dxa" w:w="252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The owner's policy decision, on this evidence.</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Remove the study arm</w:t>
            </w:r>
          </w:p>
        </w:tc>
        <w:tc>
          <w:tcPr>
            <w:tcW w:type="dxa" w:w="53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Remove TABU_KOPT_LOAD_BALANCE and FairnessMeasures.LoadBalance from main with file edits, keeping them on this branch.</w:t>
            </w:r>
          </w:p>
        </w:tc>
        <w:tc>
          <w:tcPr>
            <w:tcW w:type="dxa" w:w="252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A smaller solver surface.</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Keep Mixed Shift</w:t>
            </w:r>
          </w:p>
        </w:tc>
        <w:tc>
          <w:tcPr>
            <w:tcW w:type="dxa" w:w="53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Keep the Mixed Shift fixture in the benchmark set so later fairness and speed studies see mixed capacities.</w:t>
            </w:r>
          </w:p>
        </w:tc>
        <w:tc>
          <w:tcPr>
            <w:tcW w:type="dxa" w:w="252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Coverage of part-time technicians.</w:t>
            </w:r>
          </w:p>
        </w:tc>
      </w:tr>
      <w:tr>
        <w:trPr>
          <w:cantSplit/>
        </w:trPr>
        <w:tc>
          <w:tcPr>
            <w:tcW w:type="dxa" w:w="2088"/>
            <w:vAlign w:val="center"/>
            <w:shd w:fill="F4F6F8"/>
            <w:tcMar>
              <w:top w:w="65" w:type="dxa"/>
              <w:left w:w="65" w:type="dxa"/>
              <w:bottom w:w="65" w:type="dxa"/>
              <w:right w:w="65" w:type="dxa"/>
            </w:tcMar>
          </w:tcPr>
          <w:p>
            <w:pPr>
              <w:spacing w:after="40" w:before="40" w:line="240" w:lineRule="auto"/>
            </w:pPr>
            <w:r>
              <w:rPr>
                <w:rFonts w:ascii="Calibri" w:hAnsi="Calibri"/>
                <w:b w:val="0"/>
                <w:sz w:val="20"/>
              </w:rPr>
              <w:t>If load balance returns</w:t>
            </w:r>
          </w:p>
        </w:tc>
        <w:tc>
          <w:tcPr>
            <w:tcW w:type="dxa" w:w="53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Filter on the fairness target before the loadBalance collector, as production's variance does, so the cost phase does not pay for it; and test a capacity-weighted load balance on Mixed Shift days.</w:t>
            </w:r>
          </w:p>
        </w:tc>
        <w:tc>
          <w:tcPr>
            <w:tcW w:type="dxa" w:w="25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Whether the slower cost phase and the weighting are what held it back.</w:t>
            </w:r>
          </w:p>
        </w:tc>
      </w:tr>
    </w:tbl>
    <w:p>
      <w:pPr>
        <w:widowControl/>
        <w:spacing w:after="0" w:line="60" w:lineRule="exact"/>
      </w:pPr>
    </w:p>
    <w:p>
      <w:pPr>
        <w:pStyle w:val="Heading2"/>
        <w:widowControl/>
      </w:pPr>
      <w:r>
        <w:t>How the calculations were checked</w:t>
      </w:r>
    </w:p>
    <w:p>
      <w:pPr>
        <w:widowControl/>
      </w:pPr>
      <w:r>
        <w:t>Every table and chart value is computed from the evidence file at build time; nothing is typed in. report_data.py checks the evidence before use: it is the full run on the pinned revision with the planned matrix; every arm, case and budget is present exactly once; no run has a violation or an accepted result over its ceiling. It then recomputes from the individual runs every reading the rule rests on, the bootstrap intervals included, and requires them to equal the recorded ones, and recomputes each part of the rule and the decision. verify_report.py recomputes the tables a second time from the raw JSON without the builder's helpers, and checks the figure captions, the template parts and the absence of dashes. [3]</w:t>
      </w:r>
    </w:p>
    <w:p>
      <w:pPr>
        <w:pStyle w:val="Heading1"/>
        <w:pageBreakBefore/>
        <w:widowControl/>
      </w:pPr>
      <w:r>
        <w:t>Appendix A Every case at 15 s</w:t>
      </w:r>
    </w:p>
    <w:p>
      <w:pPr>
        <w:widowControl/>
      </w:pPr>
      <w:r>
        <w:t>Each row is one day: both arms' final variance in thousandths, load balance's over b's, both arms' highest utilization, load balance's cost minus b's in cents, and how each result was accepted (F fairness improvement, C cost reduction, O overtime reduction, R rejected).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1440"/>
        <w:gridCol w:w="648"/>
        <w:gridCol w:w="1008"/>
        <w:gridCol w:w="1080"/>
        <w:gridCol w:w="720"/>
        <w:gridCol w:w="1008"/>
        <w:gridCol w:w="1080"/>
        <w:gridCol w:w="1152"/>
        <w:gridCol w:w="1152"/>
      </w:tblGrid>
      <w:tr>
        <w:trPr>
          <w:cantSplit/>
          <w:tblHeader/>
        </w:trPr>
        <w:tc>
          <w:tcPr>
            <w:tcW w:type="dxa" w:w="648"/>
            <w:vAlign w:val="center"/>
            <w:shd w:fill="DCE6EF"/>
            <w:tcMar>
              <w:top w:w="65" w:type="dxa"/>
              <w:left w:w="65" w:type="dxa"/>
              <w:bottom w:w="65" w:type="dxa"/>
              <w:right w:w="65" w:type="dxa"/>
            </w:tcMar>
          </w:tcPr>
          <w:p>
            <w:pPr>
              <w:spacing w:after="40" w:before="40" w:line="240" w:lineRule="auto"/>
            </w:pPr>
            <w:r>
              <w:rPr>
                <w:rFonts w:ascii="Calibri" w:hAnsi="Calibri"/>
                <w:b/>
                <w:sz w:val="17"/>
              </w:rPr>
              <w:t>Techs</w:t>
            </w:r>
          </w:p>
        </w:tc>
        <w:tc>
          <w:tcPr>
            <w:tcW w:type="dxa" w:w="1440"/>
            <w:vAlign w:val="center"/>
            <w:shd w:fill="DCE6EF"/>
            <w:tcMar>
              <w:top w:w="65" w:type="dxa"/>
              <w:left w:w="65" w:type="dxa"/>
              <w:bottom w:w="65" w:type="dxa"/>
              <w:right w:w="65" w:type="dxa"/>
            </w:tcMar>
          </w:tcPr>
          <w:p>
            <w:pPr>
              <w:spacing w:after="40" w:before="40" w:line="240" w:lineRule="auto"/>
              <w:jc w:val="center"/>
            </w:pPr>
            <w:r>
              <w:rPr>
                <w:rFonts w:ascii="Calibri" w:hAnsi="Calibri"/>
                <w:b/>
                <w:sz w:val="17"/>
              </w:rPr>
              <w:t>Workload</w:t>
            </w:r>
          </w:p>
        </w:tc>
        <w:tc>
          <w:tcPr>
            <w:tcW w:type="dxa" w:w="648"/>
            <w:vAlign w:val="center"/>
            <w:shd w:fill="DCE6EF"/>
            <w:tcMar>
              <w:top w:w="65" w:type="dxa"/>
              <w:left w:w="65" w:type="dxa"/>
              <w:bottom w:w="65" w:type="dxa"/>
              <w:right w:w="65" w:type="dxa"/>
            </w:tcMar>
          </w:tcPr>
          <w:p>
            <w:pPr>
              <w:spacing w:after="40" w:before="40" w:line="240" w:lineRule="auto"/>
              <w:jc w:val="center"/>
            </w:pPr>
            <w:r>
              <w:rPr>
                <w:rFonts w:ascii="Calibri" w:hAnsi="Calibri"/>
                <w:b/>
                <w:sz w:val="17"/>
              </w:rPr>
              <w:t>Day</w:t>
            </w:r>
          </w:p>
        </w:tc>
        <w:tc>
          <w:tcPr>
            <w:tcW w:type="dxa" w:w="1008"/>
            <w:vAlign w:val="center"/>
            <w:shd w:fill="DCE6EF"/>
            <w:tcMar>
              <w:top w:w="65" w:type="dxa"/>
              <w:left w:w="65" w:type="dxa"/>
              <w:bottom w:w="65" w:type="dxa"/>
              <w:right w:w="65" w:type="dxa"/>
            </w:tcMar>
          </w:tcPr>
          <w:p>
            <w:pPr>
              <w:spacing w:after="40" w:before="40" w:line="240" w:lineRule="auto"/>
              <w:jc w:val="center"/>
            </w:pPr>
            <w:r>
              <w:rPr>
                <w:rFonts w:ascii="Calibri" w:hAnsi="Calibri"/>
                <w:b/>
                <w:sz w:val="17"/>
              </w:rPr>
              <w:t>b variance</w:t>
            </w:r>
          </w:p>
        </w:tc>
        <w:tc>
          <w:tcPr>
            <w:tcW w:type="dxa" w:w="1080"/>
            <w:vAlign w:val="center"/>
            <w:shd w:fill="DCE6EF"/>
            <w:tcMar>
              <w:top w:w="65" w:type="dxa"/>
              <w:left w:w="65" w:type="dxa"/>
              <w:bottom w:w="65" w:type="dxa"/>
              <w:right w:w="65" w:type="dxa"/>
            </w:tcMar>
          </w:tcPr>
          <w:p>
            <w:pPr>
              <w:spacing w:after="40" w:before="40" w:line="240" w:lineRule="auto"/>
              <w:jc w:val="center"/>
            </w:pPr>
            <w:r>
              <w:rPr>
                <w:rFonts w:ascii="Calibri" w:hAnsi="Calibri"/>
                <w:b/>
                <w:sz w:val="17"/>
              </w:rPr>
              <w:t>Load bal. variance</w:t>
            </w:r>
          </w:p>
        </w:tc>
        <w:tc>
          <w:tcPr>
            <w:tcW w:type="dxa" w:w="720"/>
            <w:vAlign w:val="center"/>
            <w:shd w:fill="DCE6EF"/>
            <w:tcMar>
              <w:top w:w="65" w:type="dxa"/>
              <w:left w:w="65" w:type="dxa"/>
              <w:bottom w:w="65" w:type="dxa"/>
              <w:right w:w="65" w:type="dxa"/>
            </w:tcMar>
          </w:tcPr>
          <w:p>
            <w:pPr>
              <w:spacing w:after="40" w:before="40" w:line="240" w:lineRule="auto"/>
              <w:jc w:val="center"/>
            </w:pPr>
            <w:r>
              <w:rPr>
                <w:rFonts w:ascii="Calibri" w:hAnsi="Calibri"/>
                <w:b/>
                <w:sz w:val="17"/>
              </w:rPr>
              <w:t>Ratio</w:t>
            </w:r>
          </w:p>
        </w:tc>
        <w:tc>
          <w:tcPr>
            <w:tcW w:type="dxa" w:w="1008"/>
            <w:vAlign w:val="center"/>
            <w:shd w:fill="DCE6EF"/>
            <w:tcMar>
              <w:top w:w="65" w:type="dxa"/>
              <w:left w:w="65" w:type="dxa"/>
              <w:bottom w:w="65" w:type="dxa"/>
              <w:right w:w="65" w:type="dxa"/>
            </w:tcMar>
          </w:tcPr>
          <w:p>
            <w:pPr>
              <w:spacing w:after="40" w:before="40" w:line="240" w:lineRule="auto"/>
              <w:jc w:val="center"/>
            </w:pPr>
            <w:r>
              <w:rPr>
                <w:rFonts w:ascii="Calibri" w:hAnsi="Calibri"/>
                <w:b/>
                <w:sz w:val="17"/>
              </w:rPr>
              <w:t>b highest</w:t>
            </w:r>
          </w:p>
        </w:tc>
        <w:tc>
          <w:tcPr>
            <w:tcW w:type="dxa" w:w="1080"/>
            <w:vAlign w:val="center"/>
            <w:shd w:fill="DCE6EF"/>
            <w:tcMar>
              <w:top w:w="65" w:type="dxa"/>
              <w:left w:w="65" w:type="dxa"/>
              <w:bottom w:w="65" w:type="dxa"/>
              <w:right w:w="65" w:type="dxa"/>
            </w:tcMar>
          </w:tcPr>
          <w:p>
            <w:pPr>
              <w:spacing w:after="40" w:before="40" w:line="240" w:lineRule="auto"/>
              <w:jc w:val="center"/>
            </w:pPr>
            <w:r>
              <w:rPr>
                <w:rFonts w:ascii="Calibri" w:hAnsi="Calibri"/>
                <w:b/>
                <w:sz w:val="17"/>
              </w:rPr>
              <w:t>Load bal. highest</w:t>
            </w:r>
          </w:p>
        </w:tc>
        <w:tc>
          <w:tcPr>
            <w:tcW w:type="dxa" w:w="1152"/>
            <w:vAlign w:val="center"/>
            <w:shd w:fill="DCE6EF"/>
            <w:tcMar>
              <w:top w:w="65" w:type="dxa"/>
              <w:left w:w="65" w:type="dxa"/>
              <w:bottom w:w="65" w:type="dxa"/>
              <w:right w:w="65" w:type="dxa"/>
            </w:tcMar>
          </w:tcPr>
          <w:p>
            <w:pPr>
              <w:spacing w:after="40" w:before="40" w:line="240" w:lineRule="auto"/>
              <w:jc w:val="center"/>
            </w:pPr>
            <w:r>
              <w:rPr>
                <w:rFonts w:ascii="Calibri" w:hAnsi="Calibri"/>
                <w:b/>
                <w:sz w:val="17"/>
              </w:rPr>
              <w:t>Cost difference</w:t>
            </w:r>
          </w:p>
        </w:tc>
        <w:tc>
          <w:tcPr>
            <w:tcW w:type="dxa" w:w="1152"/>
            <w:vAlign w:val="center"/>
            <w:shd w:fill="DCE6EF"/>
            <w:tcMar>
              <w:top w:w="65" w:type="dxa"/>
              <w:left w:w="65" w:type="dxa"/>
              <w:bottom w:w="65" w:type="dxa"/>
              <w:right w:w="65" w:type="dxa"/>
            </w:tcMar>
          </w:tcPr>
          <w:p>
            <w:pPr>
              <w:spacing w:after="40" w:before="40" w:line="240" w:lineRule="auto"/>
              <w:jc w:val="center"/>
            </w:pPr>
            <w:r>
              <w:rPr>
                <w:rFonts w:ascii="Calibri" w:hAnsi="Calibri"/>
                <w:b/>
                <w:sz w:val="17"/>
              </w:rPr>
              <w:t>Accepted b / LB</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19.42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19.31</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0.99</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0.378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0.372</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19.19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19.19</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0.369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0.369</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19.08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19.08</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0.367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0.367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1.89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1.89</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0.367</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0.367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28.79</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28.79</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0.515</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0.515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9.79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9.79</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0.454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0.454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14.18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14.18</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0.452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0.452</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9.51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9.51</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0.450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0.450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14.35</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14.35</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0.452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0.452</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9.66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9.66</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0.452</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0.452</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13.64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13.64</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0.465</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0.465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30.25</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30.25</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0.474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0.474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0.97</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0.320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0.320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3.42</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3.42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0.396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0.396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14.67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14.67</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0.465</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0.465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28.90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32.44</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1.12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0.442</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0.507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58.69</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58.69</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0.658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0.658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8.16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8.16</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0.435</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20.76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18.89</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0.447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0.441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-3</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3.05</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18.23</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5.97</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0.363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0.431</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-508</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C</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0.948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0.948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n/a</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0.952</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0.952</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n/a</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0.950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0.950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n/a</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0.957</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0.957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n/a</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0.950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0.950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1.96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1.96</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0.407</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0.407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1.85</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1.85</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0.407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0.407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1.71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1.71</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0.406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0.406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1.87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1.87</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0.407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0.407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2.12</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2.12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0.411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0.411</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4.56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2.28</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0.361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11.52</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29.02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2.52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0.435</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0.578</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+132</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C</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2.05</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0.26</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0.13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0.365</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0.346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17.42</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18.72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1.08</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0.504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-33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15.53</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28.11</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1.81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0.567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-200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4.19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4.19</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0.381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0.381</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3.15</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3.15</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0.380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0.380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4.12</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4.12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0.383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0.383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4.09</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4.09</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0.381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0.381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4.08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4.08</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0.380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0.380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34.41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34.41</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0.535</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0.535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19.10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19.10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0.533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0.533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16.60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16.60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0.465</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0.465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15.11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15.11</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0.463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0.463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19.37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19.37</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0.467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0.467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9.71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23.22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2.39</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0.444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0.492</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-30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C</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21.08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20.61</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0.98</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0.504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0.504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+111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9.77</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9.92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0.442</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+33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C</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19.57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19.89</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0.442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0.439</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19.24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20.01</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0.443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n/a</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0.952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0.952</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n/a</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0.948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0.948</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n/a</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0.950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0.950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n/a</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0.948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0.950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+710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0.950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0.950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0.409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0.409</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n/a</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0.411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0.411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0.411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0.409</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-50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1.52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1.52</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0.409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0.409</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20.14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20.15</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0.502</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21.38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21.26</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0.99</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0.569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0.567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12.42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20.39</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1.64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21.47</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27.52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1.28</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0.567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+42</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C</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8.19</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13.08</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1.60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0.431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-49</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4.12</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4.12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0.437</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2.47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2.47</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0.437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0.437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2.61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2.61</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0.439</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11.75</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11.75</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0.578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0.578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2.17</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2.17</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0.437</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8.57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14.46</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1.69</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0.459</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0.461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13.94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14.46</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0.461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0.531</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-50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6.96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7.34</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0.461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0.461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+207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16.59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16.59</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0.531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0.531</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31.92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31.92</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0.537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0.537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9.87</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13.08</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1.33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0.500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-29</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C</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14.07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14.52</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0.442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0.436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-324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19.19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10.83</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0.56</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0.444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+169</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14.07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27.85</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1.98</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0.439</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0.504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-44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C</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14.56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9.86</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0.68</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-281</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0.946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0.946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n/a</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0.943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0.943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n/a</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0.944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0.944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n/a</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0.943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0.943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n/a</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0.946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0.948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+50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1.49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1.45</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0.98</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0.72</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994.33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0.407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0.74</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902.88</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0.407</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+405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1.54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0.74</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0.48</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+96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0.76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1.47</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1.94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0.498</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+95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28.32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24.53</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0.87</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0.635</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0.502</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+92</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18.75</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22.95</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1.22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0.498</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17.15</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13.61</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0.79</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0.502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+235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15.43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18.82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1.22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-87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19.62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19.99</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0.563</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0.569</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29.67</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39.26</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1.32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0.578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0.578</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25.37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25.21</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0.99</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0.578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0.520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21.70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7.49</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0.35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0.591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0.450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-109</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8.78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5.37</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0.61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0.450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0.450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+145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7.66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0.37</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0.507</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0.367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-790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29.77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28.70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0.96</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0.533</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0.533</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18.03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18.02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0.463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0.533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+46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16.26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33.68</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2.07</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0.530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0.533</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+375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C</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26.36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21.36</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0.81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0.533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0.530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+90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22.37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21.44</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0.96</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0.533</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0.533</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+79</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14.70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17.20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1.17</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-67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18.47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25.52</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1.38</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0.436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-62</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16.67</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22.65</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1.36</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0.442</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-385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18.71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16.96</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+118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18.46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20.19</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1.09</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0.498</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+255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1.22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0.944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0.944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-55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0.17</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0.944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0.946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+2,874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0.75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0.944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0.944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-150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0.77</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0.944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0.944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-260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0.944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0.944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-564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1.47</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1.45</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0.99</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+150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1.17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0.60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+195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0.89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1.17</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1.31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+160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1.19</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1.17</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0.98</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+55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0.57</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0.89</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1.55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bl>
    <w:p>
      <w:pPr>
        <w:widowControl/>
        <w:spacing w:after="0" w:line="60" w:lineRule="exact"/>
      </w:pPr>
    </w:p>
    <w:p>
      <w:pPr>
        <w:pStyle w:val="Heading1"/>
        <w:pageBreakBefore/>
        <w:widowControl/>
      </w:pPr>
      <w:r>
        <w:t>Appendix B Every case at 30 s</w:t>
      </w:r>
    </w:p>
    <w:p>
      <w:pPr>
        <w:widowControl/>
      </w:pPr>
      <w:r>
        <w:t>Each row is one day: both arms' final variance in thousandths, load balance's over b's, both arms' highest utilization, load balance's cost minus b's in cents, and how each result was accepted (F fairness improvement, C cost reduction, O overtime reduction, R rejected).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1440"/>
        <w:gridCol w:w="648"/>
        <w:gridCol w:w="1008"/>
        <w:gridCol w:w="1080"/>
        <w:gridCol w:w="720"/>
        <w:gridCol w:w="1008"/>
        <w:gridCol w:w="1080"/>
        <w:gridCol w:w="1152"/>
        <w:gridCol w:w="1152"/>
      </w:tblGrid>
      <w:tr>
        <w:trPr>
          <w:cantSplit/>
          <w:tblHeader/>
        </w:trPr>
        <w:tc>
          <w:tcPr>
            <w:tcW w:type="dxa" w:w="648"/>
            <w:vAlign w:val="center"/>
            <w:shd w:fill="DCE6EF"/>
            <w:tcMar>
              <w:top w:w="65" w:type="dxa"/>
              <w:left w:w="65" w:type="dxa"/>
              <w:bottom w:w="65" w:type="dxa"/>
              <w:right w:w="65" w:type="dxa"/>
            </w:tcMar>
          </w:tcPr>
          <w:p>
            <w:pPr>
              <w:spacing w:after="40" w:before="40" w:line="240" w:lineRule="auto"/>
            </w:pPr>
            <w:r>
              <w:rPr>
                <w:rFonts w:ascii="Calibri" w:hAnsi="Calibri"/>
                <w:b/>
                <w:sz w:val="17"/>
              </w:rPr>
              <w:t>Techs</w:t>
            </w:r>
          </w:p>
        </w:tc>
        <w:tc>
          <w:tcPr>
            <w:tcW w:type="dxa" w:w="1440"/>
            <w:vAlign w:val="center"/>
            <w:shd w:fill="DCE6EF"/>
            <w:tcMar>
              <w:top w:w="65" w:type="dxa"/>
              <w:left w:w="65" w:type="dxa"/>
              <w:bottom w:w="65" w:type="dxa"/>
              <w:right w:w="65" w:type="dxa"/>
            </w:tcMar>
          </w:tcPr>
          <w:p>
            <w:pPr>
              <w:spacing w:after="40" w:before="40" w:line="240" w:lineRule="auto"/>
              <w:jc w:val="center"/>
            </w:pPr>
            <w:r>
              <w:rPr>
                <w:rFonts w:ascii="Calibri" w:hAnsi="Calibri"/>
                <w:b/>
                <w:sz w:val="17"/>
              </w:rPr>
              <w:t>Workload</w:t>
            </w:r>
          </w:p>
        </w:tc>
        <w:tc>
          <w:tcPr>
            <w:tcW w:type="dxa" w:w="648"/>
            <w:vAlign w:val="center"/>
            <w:shd w:fill="DCE6EF"/>
            <w:tcMar>
              <w:top w:w="65" w:type="dxa"/>
              <w:left w:w="65" w:type="dxa"/>
              <w:bottom w:w="65" w:type="dxa"/>
              <w:right w:w="65" w:type="dxa"/>
            </w:tcMar>
          </w:tcPr>
          <w:p>
            <w:pPr>
              <w:spacing w:after="40" w:before="40" w:line="240" w:lineRule="auto"/>
              <w:jc w:val="center"/>
            </w:pPr>
            <w:r>
              <w:rPr>
                <w:rFonts w:ascii="Calibri" w:hAnsi="Calibri"/>
                <w:b/>
                <w:sz w:val="17"/>
              </w:rPr>
              <w:t>Day</w:t>
            </w:r>
          </w:p>
        </w:tc>
        <w:tc>
          <w:tcPr>
            <w:tcW w:type="dxa" w:w="1008"/>
            <w:vAlign w:val="center"/>
            <w:shd w:fill="DCE6EF"/>
            <w:tcMar>
              <w:top w:w="65" w:type="dxa"/>
              <w:left w:w="65" w:type="dxa"/>
              <w:bottom w:w="65" w:type="dxa"/>
              <w:right w:w="65" w:type="dxa"/>
            </w:tcMar>
          </w:tcPr>
          <w:p>
            <w:pPr>
              <w:spacing w:after="40" w:before="40" w:line="240" w:lineRule="auto"/>
              <w:jc w:val="center"/>
            </w:pPr>
            <w:r>
              <w:rPr>
                <w:rFonts w:ascii="Calibri" w:hAnsi="Calibri"/>
                <w:b/>
                <w:sz w:val="17"/>
              </w:rPr>
              <w:t>b variance</w:t>
            </w:r>
          </w:p>
        </w:tc>
        <w:tc>
          <w:tcPr>
            <w:tcW w:type="dxa" w:w="1080"/>
            <w:vAlign w:val="center"/>
            <w:shd w:fill="DCE6EF"/>
            <w:tcMar>
              <w:top w:w="65" w:type="dxa"/>
              <w:left w:w="65" w:type="dxa"/>
              <w:bottom w:w="65" w:type="dxa"/>
              <w:right w:w="65" w:type="dxa"/>
            </w:tcMar>
          </w:tcPr>
          <w:p>
            <w:pPr>
              <w:spacing w:after="40" w:before="40" w:line="240" w:lineRule="auto"/>
              <w:jc w:val="center"/>
            </w:pPr>
            <w:r>
              <w:rPr>
                <w:rFonts w:ascii="Calibri" w:hAnsi="Calibri"/>
                <w:b/>
                <w:sz w:val="17"/>
              </w:rPr>
              <w:t>Load bal. variance</w:t>
            </w:r>
          </w:p>
        </w:tc>
        <w:tc>
          <w:tcPr>
            <w:tcW w:type="dxa" w:w="720"/>
            <w:vAlign w:val="center"/>
            <w:shd w:fill="DCE6EF"/>
            <w:tcMar>
              <w:top w:w="65" w:type="dxa"/>
              <w:left w:w="65" w:type="dxa"/>
              <w:bottom w:w="65" w:type="dxa"/>
              <w:right w:w="65" w:type="dxa"/>
            </w:tcMar>
          </w:tcPr>
          <w:p>
            <w:pPr>
              <w:spacing w:after="40" w:before="40" w:line="240" w:lineRule="auto"/>
              <w:jc w:val="center"/>
            </w:pPr>
            <w:r>
              <w:rPr>
                <w:rFonts w:ascii="Calibri" w:hAnsi="Calibri"/>
                <w:b/>
                <w:sz w:val="17"/>
              </w:rPr>
              <w:t>Ratio</w:t>
            </w:r>
          </w:p>
        </w:tc>
        <w:tc>
          <w:tcPr>
            <w:tcW w:type="dxa" w:w="1008"/>
            <w:vAlign w:val="center"/>
            <w:shd w:fill="DCE6EF"/>
            <w:tcMar>
              <w:top w:w="65" w:type="dxa"/>
              <w:left w:w="65" w:type="dxa"/>
              <w:bottom w:w="65" w:type="dxa"/>
              <w:right w:w="65" w:type="dxa"/>
            </w:tcMar>
          </w:tcPr>
          <w:p>
            <w:pPr>
              <w:spacing w:after="40" w:before="40" w:line="240" w:lineRule="auto"/>
              <w:jc w:val="center"/>
            </w:pPr>
            <w:r>
              <w:rPr>
                <w:rFonts w:ascii="Calibri" w:hAnsi="Calibri"/>
                <w:b/>
                <w:sz w:val="17"/>
              </w:rPr>
              <w:t>b highest</w:t>
            </w:r>
          </w:p>
        </w:tc>
        <w:tc>
          <w:tcPr>
            <w:tcW w:type="dxa" w:w="1080"/>
            <w:vAlign w:val="center"/>
            <w:shd w:fill="DCE6EF"/>
            <w:tcMar>
              <w:top w:w="65" w:type="dxa"/>
              <w:left w:w="65" w:type="dxa"/>
              <w:bottom w:w="65" w:type="dxa"/>
              <w:right w:w="65" w:type="dxa"/>
            </w:tcMar>
          </w:tcPr>
          <w:p>
            <w:pPr>
              <w:spacing w:after="40" w:before="40" w:line="240" w:lineRule="auto"/>
              <w:jc w:val="center"/>
            </w:pPr>
            <w:r>
              <w:rPr>
                <w:rFonts w:ascii="Calibri" w:hAnsi="Calibri"/>
                <w:b/>
                <w:sz w:val="17"/>
              </w:rPr>
              <w:t>Load bal. highest</w:t>
            </w:r>
          </w:p>
        </w:tc>
        <w:tc>
          <w:tcPr>
            <w:tcW w:type="dxa" w:w="1152"/>
            <w:vAlign w:val="center"/>
            <w:shd w:fill="DCE6EF"/>
            <w:tcMar>
              <w:top w:w="65" w:type="dxa"/>
              <w:left w:w="65" w:type="dxa"/>
              <w:bottom w:w="65" w:type="dxa"/>
              <w:right w:w="65" w:type="dxa"/>
            </w:tcMar>
          </w:tcPr>
          <w:p>
            <w:pPr>
              <w:spacing w:after="40" w:before="40" w:line="240" w:lineRule="auto"/>
              <w:jc w:val="center"/>
            </w:pPr>
            <w:r>
              <w:rPr>
                <w:rFonts w:ascii="Calibri" w:hAnsi="Calibri"/>
                <w:b/>
                <w:sz w:val="17"/>
              </w:rPr>
              <w:t>Cost difference</w:t>
            </w:r>
          </w:p>
        </w:tc>
        <w:tc>
          <w:tcPr>
            <w:tcW w:type="dxa" w:w="1152"/>
            <w:vAlign w:val="center"/>
            <w:shd w:fill="DCE6EF"/>
            <w:tcMar>
              <w:top w:w="65" w:type="dxa"/>
              <w:left w:w="65" w:type="dxa"/>
              <w:bottom w:w="65" w:type="dxa"/>
              <w:right w:w="65" w:type="dxa"/>
            </w:tcMar>
          </w:tcPr>
          <w:p>
            <w:pPr>
              <w:spacing w:after="40" w:before="40" w:line="240" w:lineRule="auto"/>
              <w:jc w:val="center"/>
            </w:pPr>
            <w:r>
              <w:rPr>
                <w:rFonts w:ascii="Calibri" w:hAnsi="Calibri"/>
                <w:b/>
                <w:sz w:val="17"/>
              </w:rPr>
              <w:t>Accepted b / LB</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19.42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19.31</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0.99</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0.378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0.372</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19.19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19.19</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0.369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0.369</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19.08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19.08</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0.367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0.367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1.89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1.89</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0.367</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0.367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1.92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1.92</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0.338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0.338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9.79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9.79</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0.454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0.454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14.18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14.18</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0.452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0.452</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9.51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9.51</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0.450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0.450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14.35</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14.35</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0.452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0.452</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9.66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9.66</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0.452</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0.452</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13.64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13.64</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0.465</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0.465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30.25</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30.25</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0.474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0.474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0.97</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0.320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0.320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17.08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17.08</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0.472</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0.472</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14.67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14.67</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0.465</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0.465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28.90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32.44</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1.12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0.442</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0.507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58.69</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58.69</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0.658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0.658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8.16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8.16</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0.435</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20.76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18.89</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0.447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0.441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-3</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3.05</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18.23</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5.97</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0.363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0.431</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-508</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C</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n/a</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0.948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0.948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n/a</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0.952</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0.952</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n/a</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0.950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0.950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n/a</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0.957</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0.957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n/a</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0.954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0.954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1.96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1.96</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0.407</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0.407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1.85</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1.85</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0.407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0.407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1.71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1.71</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0.406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0.406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1.87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1.87</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0.407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0.407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2.12</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2.12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0.411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0.411</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0.67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0.57</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0.84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0.363</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0.361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43.79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34.13</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0.78</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0.580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0.572</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-164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0.69</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0.69</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0.363</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0.363</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17.42</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17.74</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0.502</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16.97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37.91</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2.23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0.502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0.641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-51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C</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4.19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4.19</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0.381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0.381</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3.15</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3.15</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0.380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0.380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4.12</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4.12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0.383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0.383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4.09</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4.09</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0.381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0.381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4.08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4.08</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0.380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0.380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37.95</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19.84</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0.537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0.472</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+337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5.66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5.66</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0.457</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0.457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15.27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34.91</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2.29</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0.463</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0.537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C</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15.11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15.11</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0.463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0.463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13.16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13.16</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0.459</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0.459</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9.87</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0.18</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0.367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+45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20.23</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20.61</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0.504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+153</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10.38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11.77</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1.13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0.500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+50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C</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19.57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19.89</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0.442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0.439</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19.39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19.64</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0.444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0.439</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-112</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n/a</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0.952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0.952</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n/a</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0.948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0.948</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n/a</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0.950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0.950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n/a</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0.946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0.948</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+605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n/a</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0.950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0.950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0.409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0.409</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n/a</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0.411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0.411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0.409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0.409</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1.48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1.48</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10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0.409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0.409</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11.52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19.18</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1.66</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0.402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0.500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15.09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21.95</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1.45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0.569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0.570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28.19</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32.29</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1.15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0.569</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0.570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17.36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16.16</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0.498</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+122</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15.98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15.14</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-30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4.12</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4.12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0.437</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2.47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2.47</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0.437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0.437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4.76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4.76</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0.439</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14.20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14.20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0.578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0.578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2.17</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2.17</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0.437</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15.07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13.86</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0.459</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0.461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23.08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15.60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0.68</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0.533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0.463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8.54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24.19</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2.83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0.459</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0.533</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+240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15.72</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15.72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0.465</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0.465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16.20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23.35</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1.44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0.531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0.537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-256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14.13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20.37</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1.44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0.504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14.05</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24.12</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1.72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0.442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0.444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-278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19.15</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10.83</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0.57</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0.444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+164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14.13</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21.81</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1.54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0.436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0.435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9.69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12.15</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1.25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0.492</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C</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n/a</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0.944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0.944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n/a</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0.943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0.943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n/a</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0.944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0.944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n/a</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0.943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0.943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n/a</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0.944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0.944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0.76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0.76</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0.498</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0.72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0.72</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0.500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0.407</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0.407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0.74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0.74</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1.52</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1.52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0.498</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25.57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21.89</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0.86</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-50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20.09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20.29</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+167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14.90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13.59</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0.426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15.19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16.18</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1.07</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0.500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+594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15.38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15.46</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0.431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+68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23.99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39.06</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1.63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0.520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0.578</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16.25</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21.43</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1.32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0.578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0.520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+30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19.84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12.43</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0.63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0.533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0.507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+50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17.67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14.02</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0.79</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0.520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0.507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7.66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0.37</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0.507</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0.367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-795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17.64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13.90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0.79</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0.461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0.461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29.45</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26.04</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0.88</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0.531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0.533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+64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22.46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8.87</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0.39</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0.531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0.531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+778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24.86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25.15</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0.533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0.531</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+486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C</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20.66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17.76</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0.86</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0.531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0.461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18.56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19.30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+320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18.59</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20.76</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1.12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0.442</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+256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18.64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21.18</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1.14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+430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16.57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19.76</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1.19</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0.436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+289</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Mixed Shift</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20.34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25.29</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1.24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0.436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0.500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+292</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C / C</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0.944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0.944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0.944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0.944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0.33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0.944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0.944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+3,234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1.43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0.944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0.944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Near Capacity</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1.12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0.944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0.944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-409</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0.57</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0.84</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1.48</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0.29</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0.59</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2.02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+255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0.88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0.88</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7004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0.29</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0.29</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1.00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0.494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7"/>
              </w:rPr>
              <w:t>F / F</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7"/>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7005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0.60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0.89</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1.49</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0.496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+145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7"/>
              </w:rPr>
              <w:t>F / F</w:t>
            </w:r>
          </w:p>
        </w:tc>
      </w:tr>
    </w:tbl>
    <w:p>
      <w:pPr>
        <w:widowControl/>
        <w:spacing w:after="0" w:line="60" w:lineRule="exact"/>
      </w:pPr>
    </w:p>
    <w:p>
      <w:pPr>
        <w:pStyle w:val="Heading1"/>
        <w:pageBreakBefore/>
        <w:widowControl/>
      </w:pPr>
      <w:r>
        <w:t>Appendix C Every profile by fleet</w:t>
      </w:r>
    </w:p>
    <w:p>
      <w:pPr>
        <w:widowControl/>
      </w:pPr>
      <w:r>
        <w:t>Each column is one arm and phase at one fleet size: the share of its CPU samples by kind of work. A blank is a kind with no samples. [3]</w:t>
      </w:r>
    </w:p>
    <w:p>
      <w:pPr>
        <w:pStyle w:val="Heading2"/>
        <w:widowControl/>
      </w:pPr>
      <w:r>
        <w:t>B (variance)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936"/>
        <w:gridCol w:w="936"/>
        <w:gridCol w:w="936"/>
        <w:gridCol w:w="936"/>
        <w:gridCol w:w="936"/>
        <w:gridCol w:w="936"/>
        <w:gridCol w:w="936"/>
        <w:gridCol w:w="936"/>
      </w:tblGrid>
      <w:tr>
        <w:trPr>
          <w:cantSplit/>
          <w:tblHeader/>
        </w:trPr>
        <w:tc>
          <w:tcPr>
            <w:tcW w:type="dxa" w:w="2448"/>
            <w:vAlign w:val="center"/>
            <w:shd w:fill="DCE6EF"/>
            <w:tcMar>
              <w:top w:w="65" w:type="dxa"/>
              <w:left w:w="65" w:type="dxa"/>
              <w:bottom w:w="65" w:type="dxa"/>
              <w:right w:w="65" w:type="dxa"/>
            </w:tcMar>
          </w:tcPr>
          <w:p>
            <w:pPr>
              <w:keepNext/>
              <w:spacing w:after="40" w:before="40" w:line="240" w:lineRule="auto"/>
            </w:pPr>
            <w:r>
              <w:rPr>
                <w:rFonts w:ascii="Calibri" w:hAnsi="Calibri"/>
                <w:b/>
                <w:sz w:val="18"/>
              </w:rPr>
              <w:t>Kind of work</w:t>
            </w:r>
          </w:p>
        </w:tc>
        <w:tc>
          <w:tcPr>
            <w:tcW w:type="dxa" w:w="9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cost, 5</w:t>
            </w:r>
          </w:p>
        </w:tc>
        <w:tc>
          <w:tcPr>
            <w:tcW w:type="dxa" w:w="9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cost, 10</w:t>
            </w:r>
          </w:p>
        </w:tc>
        <w:tc>
          <w:tcPr>
            <w:tcW w:type="dxa" w:w="9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cost, 20</w:t>
            </w:r>
          </w:p>
        </w:tc>
        <w:tc>
          <w:tcPr>
            <w:tcW w:type="dxa" w:w="9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cost, 50</w:t>
            </w:r>
          </w:p>
        </w:tc>
        <w:tc>
          <w:tcPr>
            <w:tcW w:type="dxa" w:w="9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fairness, 5</w:t>
            </w:r>
          </w:p>
        </w:tc>
        <w:tc>
          <w:tcPr>
            <w:tcW w:type="dxa" w:w="9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fairness, 10</w:t>
            </w:r>
          </w:p>
        </w:tc>
        <w:tc>
          <w:tcPr>
            <w:tcW w:type="dxa" w:w="9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fairness, 20</w:t>
            </w:r>
          </w:p>
        </w:tc>
        <w:tc>
          <w:tcPr>
            <w:tcW w:type="dxa" w:w="9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fairness, 50</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decimal: variance</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variance (non-decimal)</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1.3</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2.1</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2.6</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4.4</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decimal: score impacts</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decimal: money</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collections</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23.7</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23.2</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22.4</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18.5</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23.2</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23.0</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21.1</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18.5</w:t>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engine</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38.8</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36.3</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34.6</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30.9</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40.2</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35.6</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35.5</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31.0</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scheduler code</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26.1</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28.4</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30.8</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38.6</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24.9</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28.0</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28.7</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36.1</w:t>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score engine</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11.0</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11.8</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11.9</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11.5</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11.0</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11.4</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9.4</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time</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other</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0.4</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0.4</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0.4</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0.5</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0.3</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0.3</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0.6</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0.6</w:t>
            </w:r>
          </w:p>
        </w:tc>
      </w:tr>
      <w:tr>
        <w:trPr>
          <w:cantSplit/>
        </w:trPr>
        <w:tc>
          <w:tcPr>
            <w:tcW w:type="dxa" w:w="2448"/>
            <w:vAlign w:val="center"/>
            <w:shd w:fill="FFFFFF"/>
            <w:tcMar>
              <w:top w:w="65" w:type="dxa"/>
              <w:left w:w="65" w:type="dxa"/>
              <w:bottom w:w="65" w:type="dxa"/>
              <w:right w:w="65" w:type="dxa"/>
            </w:tcMar>
          </w:tcPr>
          <w:p>
            <w:pPr>
              <w:spacing w:after="40" w:before="40" w:line="240" w:lineRule="auto"/>
            </w:pPr>
            <w:r>
              <w:rPr>
                <w:rFonts w:ascii="Calibri" w:hAnsi="Calibri"/>
                <w:b w:val="0"/>
                <w:sz w:val="18"/>
              </w:rPr>
              <w:t>Recordings</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w:t>
            </w:r>
          </w:p>
        </w:tc>
      </w:tr>
    </w:tbl>
    <w:p>
      <w:pPr>
        <w:widowControl/>
        <w:spacing w:after="0" w:line="60" w:lineRule="exact"/>
      </w:pPr>
    </w:p>
    <w:p>
      <w:pPr>
        <w:pStyle w:val="Heading2"/>
        <w:widowControl/>
      </w:pPr>
      <w:r>
        <w:t>Load balance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936"/>
        <w:gridCol w:w="936"/>
        <w:gridCol w:w="936"/>
        <w:gridCol w:w="936"/>
        <w:gridCol w:w="936"/>
        <w:gridCol w:w="936"/>
        <w:gridCol w:w="936"/>
        <w:gridCol w:w="936"/>
      </w:tblGrid>
      <w:tr>
        <w:trPr>
          <w:cantSplit/>
          <w:tblHeader/>
        </w:trPr>
        <w:tc>
          <w:tcPr>
            <w:tcW w:type="dxa" w:w="2448"/>
            <w:vAlign w:val="center"/>
            <w:shd w:fill="DCE6EF"/>
            <w:tcMar>
              <w:top w:w="65" w:type="dxa"/>
              <w:left w:w="65" w:type="dxa"/>
              <w:bottom w:w="65" w:type="dxa"/>
              <w:right w:w="65" w:type="dxa"/>
            </w:tcMar>
          </w:tcPr>
          <w:p>
            <w:pPr>
              <w:keepNext/>
              <w:spacing w:after="40" w:before="40" w:line="240" w:lineRule="auto"/>
            </w:pPr>
            <w:r>
              <w:rPr>
                <w:rFonts w:ascii="Calibri" w:hAnsi="Calibri"/>
                <w:b/>
                <w:sz w:val="18"/>
              </w:rPr>
              <w:t>Kind of work</w:t>
            </w:r>
          </w:p>
        </w:tc>
        <w:tc>
          <w:tcPr>
            <w:tcW w:type="dxa" w:w="9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cost, 5</w:t>
            </w:r>
          </w:p>
        </w:tc>
        <w:tc>
          <w:tcPr>
            <w:tcW w:type="dxa" w:w="9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cost, 10</w:t>
            </w:r>
          </w:p>
        </w:tc>
        <w:tc>
          <w:tcPr>
            <w:tcW w:type="dxa" w:w="9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cost, 20</w:t>
            </w:r>
          </w:p>
        </w:tc>
        <w:tc>
          <w:tcPr>
            <w:tcW w:type="dxa" w:w="9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cost, 50</w:t>
            </w:r>
          </w:p>
        </w:tc>
        <w:tc>
          <w:tcPr>
            <w:tcW w:type="dxa" w:w="9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fairness, 5</w:t>
            </w:r>
          </w:p>
        </w:tc>
        <w:tc>
          <w:tcPr>
            <w:tcW w:type="dxa" w:w="9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fairness, 10</w:t>
            </w:r>
          </w:p>
        </w:tc>
        <w:tc>
          <w:tcPr>
            <w:tcW w:type="dxa" w:w="9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fairness, 20</w:t>
            </w:r>
          </w:p>
        </w:tc>
        <w:tc>
          <w:tcPr>
            <w:tcW w:type="dxa" w:w="9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fairness, 50</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decimal: variance</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variance (non-decimal)</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decimal: score impacts</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3.7</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3.3</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3.1</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1.9</w:t>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decimal: money</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collections</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28.0</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26.1</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26.4</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25.5</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24.9</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26.1</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24.8</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23.3</w:t>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engine</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36.0</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34.4</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31.8</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28.9</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35.0</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33.9</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32.1</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30.4</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scheduler code</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23.5</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26.5</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28.5</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33.5</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23.0</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23.5</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26.6</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32.7</w:t>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score engine</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11.9</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12.3</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12.7</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11.5</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11.1</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11.8</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12.2</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10.3</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time</w:t>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9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other</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0.7</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0.6</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0.6</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0.6</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2.3</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1.5</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1.3</w:t>
            </w:r>
          </w:p>
        </w:tc>
        <w:tc>
          <w:tcPr>
            <w:tcW w:type="dxa" w:w="9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1.4</w:t>
            </w:r>
          </w:p>
        </w:tc>
      </w:tr>
      <w:tr>
        <w:trPr>
          <w:cantSplit/>
        </w:trPr>
        <w:tc>
          <w:tcPr>
            <w:tcW w:type="dxa" w:w="2448"/>
            <w:vAlign w:val="center"/>
            <w:shd w:fill="FFFFFF"/>
            <w:tcMar>
              <w:top w:w="65" w:type="dxa"/>
              <w:left w:w="65" w:type="dxa"/>
              <w:bottom w:w="65" w:type="dxa"/>
              <w:right w:w="65" w:type="dxa"/>
            </w:tcMar>
          </w:tcPr>
          <w:p>
            <w:pPr>
              <w:spacing w:after="40" w:before="40" w:line="240" w:lineRule="auto"/>
            </w:pPr>
            <w:r>
              <w:rPr>
                <w:rFonts w:ascii="Calibri" w:hAnsi="Calibri"/>
                <w:b w:val="0"/>
                <w:sz w:val="18"/>
              </w:rPr>
              <w:t>Recordings</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w:t>
            </w:r>
          </w:p>
        </w:tc>
      </w:tr>
    </w:tbl>
    <w:p>
      <w:pPr>
        <w:widowControl/>
        <w:spacing w:after="0" w:line="60" w:lineRule="exact"/>
      </w:pPr>
    </w:p>
    <w:p>
      <w:pPr>
        <w:pStyle w:val="Heading1"/>
        <w:pageBreakBefore/>
        <w:widowControl/>
      </w:pPr>
      <w:r>
        <w:t>Appendix D Definitions and sources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632"/>
      </w:tblGrid>
      <w:tr>
        <w:trPr>
          <w:cantSplit/>
          <w:tblHeader/>
        </w:trPr>
        <w:tc>
          <w:tcPr>
            <w:tcW w:type="dxa" w:w="2304"/>
            <w:vAlign w:val="center"/>
            <w:shd w:fill="DCE6EF"/>
            <w:tcMar>
              <w:top w:w="65" w:type="dxa"/>
              <w:left w:w="65" w:type="dxa"/>
              <w:bottom w:w="65" w:type="dxa"/>
              <w:right w:w="65" w:type="dxa"/>
            </w:tcMar>
          </w:tcPr>
          <w:p>
            <w:pPr>
              <w:keepNext/>
              <w:spacing w:after="40" w:before="40" w:line="240" w:lineRule="auto"/>
            </w:pPr>
            <w:r>
              <w:rPr>
                <w:rFonts w:ascii="Calibri" w:hAnsi="Calibri"/>
                <w:b/>
                <w:sz w:val="20"/>
              </w:rPr>
              <w:t>Term</w:t>
            </w:r>
          </w:p>
        </w:tc>
        <w:tc>
          <w:tcPr>
            <w:tcW w:type="dxa" w:w="7632"/>
            <w:vAlign w:val="center"/>
            <w:shd w:fill="DCE6EF"/>
            <w:tcMar>
              <w:top w:w="65" w:type="dxa"/>
              <w:left w:w="65" w:type="dxa"/>
              <w:bottom w:w="65" w:type="dxa"/>
              <w:right w:w="65" w:type="dxa"/>
            </w:tcMar>
          </w:tcPr>
          <w:p>
            <w:pPr>
              <w:keepNext/>
              <w:spacing w:after="40" w:before="40" w:line="240" w:lineRule="auto"/>
            </w:pPr>
            <w:r>
              <w:rPr>
                <w:rFonts w:ascii="Calibri" w:hAnsi="Calibri"/>
                <w:b/>
                <w:sz w:val="20"/>
              </w:rPr>
              <w:t>Meaning in this report</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Arm</w:t>
            </w:r>
          </w:p>
        </w:tc>
        <w:tc>
          <w:tcPr>
            <w:tcW w:type="dxa" w:w="76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One fairness objective under test, run as its own solver variant in every case.</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Case, day</w:t>
            </w:r>
          </w:p>
        </w:tc>
        <w:tc>
          <w:tcPr>
            <w:tcW w:type="dxa" w:w="76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One fleet size, workload and fixture seed: a drawn day of that shape. Every case is a different problem.</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Reference plan</w:t>
            </w:r>
          </w:p>
        </w:tc>
        <w:tc>
          <w:tcPr>
            <w:tcW w:type="dxa" w:w="76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plan the cost phase ends with; the fairness phase starts from it.</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Allowance and ceiling</w:t>
            </w:r>
          </w:p>
        </w:tc>
        <w:tc>
          <w:tcPr>
            <w:tcW w:type="dxa" w:w="76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fairness phase may spend up to 2 percent above the reference plan's cost; the ceiling is that cost times 1.02, rounded down to a cent.</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Utilization</w:t>
            </w:r>
          </w:p>
        </w:tc>
        <w:tc>
          <w:tcPr>
            <w:tcW w:type="dxa" w:w="76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A technician's paid minutes divided by their regular capacity minutes for the day.</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Ratio to b</w:t>
            </w:r>
          </w:p>
        </w:tc>
        <w:tc>
          <w:tcPr>
            <w:tcW w:type="dxa" w:w="76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Load balance's final value on a measure divided by b's in the same case; the report gives the median over cases.</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Bootstrap interval</w:t>
            </w:r>
          </w:p>
        </w:tc>
        <w:tc>
          <w:tcPr>
            <w:tcW w:type="dxa" w:w="76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middle 95 percent of the medians of 10,000 resamples of the cases, drawn with a fixed seed.</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Moves per second</w:t>
            </w:r>
          </w:p>
        </w:tc>
        <w:tc>
          <w:tcPr>
            <w:tcW w:type="dxa" w:w="76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Candidate moves a phase evaluated per second; more moves in the same budget is a more thorough search.</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Share of budget to best</w:t>
            </w:r>
          </w:p>
        </w:tc>
        <w:tc>
          <w:tcPr>
            <w:tcW w:type="dxa" w:w="76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time a phase took to find its best plan over the phase's budget.</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Leaf frame</w:t>
            </w:r>
          </w:p>
        </w:tc>
        <w:tc>
          <w:tcPr>
            <w:tcW w:type="dxa" w:w="76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method at the top of a sampled stack in a flight recording.</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20"/>
              </w:rPr>
              <w:t>Thousandths</w:t>
            </w:r>
          </w:p>
        </w:tc>
        <w:tc>
          <w:tcPr>
            <w:tcW w:type="dxa" w:w="7632"/>
            <w:vAlign w:val="center"/>
            <w:shd w:fill="FFFFFF"/>
            <w:tcMar>
              <w:top w:w="65" w:type="dxa"/>
              <w:left w:w="65" w:type="dxa"/>
              <w:bottom w:w="65" w:type="dxa"/>
              <w:right w:w="65" w:type="dxa"/>
            </w:tcMar>
          </w:tcPr>
          <w:p>
            <w:pPr>
              <w:spacing w:after="40" w:before="40" w:line="240" w:lineRule="auto"/>
            </w:pPr>
            <w:r>
              <w:rPr>
                <w:rFonts w:ascii="Calibri" w:hAnsi="Calibri"/>
                <w:b w:val="0"/>
                <w:sz w:val="20"/>
              </w:rPr>
              <w:t>Variances in this report are shown multiplied by 1000.</w:t>
            </w:r>
          </w:p>
        </w:tc>
      </w:tr>
    </w:tbl>
    <w:p>
      <w:pPr>
        <w:widowControl/>
        <w:spacing w:after="0" w:line="60" w:lineRule="exact"/>
      </w:pPr>
    </w:p>
    <w:p>
      <w:pPr>
        <w:widowControl/>
      </w:pPr>
      <w:r>
        <w:t>[1] docs/scheduler-policy.md: the fairness phase, the allowance, the acceptance rule and the numeric contract.</w:t>
      </w:r>
    </w:p>
    <w:p>
      <w:pPr>
        <w:widowControl/>
      </w:pPr>
      <w:r>
        <w:t>[2] The constraint providers: calculation-engine/src/main/java/dev/waterflex/scheduler/optimizer, DayConstraintProvider (production) and FairnessMeasures.LoadBalance; Timefold Solver documentation 13.4.5.9 (the loadBalance collector) and chapter 15 (load balancing and fairness).</w:t>
      </w:r>
    </w:p>
    <w:p>
      <w:pPr>
        <w:widowControl/>
      </w:pPr>
      <w:r>
        <w:t>[3] Evidence: docs/evidence/solver-load-balance-2026-10-23.json, written by infra/load_balance_study.py from the run infra/run-load-balance-study.ps1 made (manifest, every run, both budgets' readings, the rule, the decision and the profiles). docs/solver-benchmarks.md, 'Load balance head to head', is the narrative kept with the code.</w:t>
      </w:r>
    </w:p>
    <w:p>
      <w:pPr>
        <w:widowControl/>
      </w:pPr>
      <w:r>
        <w:t>[4] The road matrix study: docs/evidence/solver-matrix-2026-10-20.json (its runs block), and docs/solver-benchmarks.md, 'Road matrix numbering (PR 187)'.</w:t>
      </w:r>
    </w:p>
    <w:p>
      <w:pPr>
        <w:widowControl/>
      </w:pPr>
      <w:r>
        <w:t>Reproduce with docs/load-balance-2026-10-23/requirements.txt: render the two diagrams as EVIDENCE.md says, then run report_data.py, build_report.py and verify_report.py there. The builder regenerates the charts and chart_data.json and writes this editable Word file.</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WaterFlex scheduler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WaterFlex scheduler: load balance against the variance</dc:title>
  <dc:subject>Timefold's load balance against production's capacity-weighted variance as the daily fairness policy, 2026-10-23</dc:subject>
  <dc:creator>WaterFlex</dc:creator>
  <cp:keywords/>
  <dc:description>generated by python-docx</dc:description>
  <cp:lastModifiedBy>WaterFlex</cp:lastModifiedBy>
  <cp:revision>1</cp:revision>
  <dcterms:created xsi:type="dcterms:W3CDTF">2026-10-23T00:00:00Z</dcterms:created>
  <dcterms:modified xsi:type="dcterms:W3CDTF">2026-10-23T00:00:00Z</dcterms:modified>
  <cp:category/>
</cp:coreProperties>
</file>