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line="245" w:lineRule="auto" w:before="0" w:after="200"/>
      </w:pPr>
      <w:r>
        <w:t xml:space="preserve">WaterFlex Timefold Audit </w:t>
        <w:br/>
      </w:r>
      <w:r>
        <w:t>and Benchmark Design</w:t>
      </w:r>
    </w:p>
    <w:p>
      <w:pPr>
        <w:keepLines w:val="0"/>
        <w:spacing w:after="200"/>
      </w:pPr>
      <w:r>
        <w:rPr>
          <w:color w:val="555555"/>
          <w:sz w:val="18"/>
        </w:rPr>
        <w:t>Prepared 6 October 2026 for the WaterFlex scheduler owner and implementing engineer.</w:t>
      </w:r>
    </w:p>
    <w:p>
      <w:pPr>
        <w:pStyle w:val="Heading1"/>
      </w:pPr>
      <w:r>
        <w:t>Executive assessment</w:t>
      </w:r>
    </w:p>
    <w:p>
      <w:pPr>
        <w:keepLines w:val="0"/>
      </w:pPr>
      <w:r>
        <w:t>WaterFlex has a useful scheduling foundation: booking preserves promises and validates offers, daily optimization separates reference cost from fairness, and experiments preserve unusually detailed provenance. The next step is to make those safeguards explicit at the solver boundary and make the experiments answer narrower, comparable questions. Replacing the application with a Timefold example would discard working policy without proving better outcomes.</w:t>
      </w:r>
    </w:p>
    <w:p>
      <w:pPr>
        <w:keepLines w:val="0"/>
      </w:pPr>
      <w:r>
        <w:t>The most immediate deployment risks remain unvalidated core datasets, incomplete initialization, and a daily deadline that does not cover the whole request. Monetary arithmetic also needs an exact contract before we use small cost differences to select algorithms. These are different problems from choosing Tabu Search or Late Acceptance. A stronger search algorithm cannot repair a dataset whose visits disappeared during copying or a result whose score omitted unassigned work.</w:t>
      </w:r>
    </w:p>
    <w:p>
      <w:pPr>
        <w:keepLines w:val="0"/>
      </w:pPr>
      <w:r>
        <w:t>Our benchmarking is inadequate for some decisions we want to make, especially warmed-service performance, general algorithm selection across customer workloads, and production capacity. It is still useful evidence about the specific archived synthetic cases. The remedy is to preserve the evidence system and add controlled solver experiments, representative datasets, explicit warmup and process repetitions, and complete workflow measurements. More runs of the same geometry do not create more independent operating scenarios.</w:t>
      </w:r>
    </w:p>
    <w:p>
      <w:pPr>
        <w:keepLines w:val="0"/>
      </w:pPr>
      <w:r>
        <w:t>This report is a complete rewrite of the earlier audit. It retains TF01 through TF14 for traceability, integrates their explanations into the relevant chapters, and expands TF07 into a benchmark implementation specification. It proposes runtime changes but implements none. No new performance campaign, production savings estimate, or capacity certification accompanies this revision.</w:t>
      </w:r>
    </w:p>
    <w:p>
      <w:pPr>
        <w:pStyle w:val="Heading2"/>
      </w:pPr>
      <w:r>
        <w:t>Decisions to make first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160"/>
        <w:gridCol w:w="7920"/>
      </w:tblGrid>
      <w:tr>
        <w:trPr>
          <w:cantSplit/>
          <w:tblHeader/>
        </w:trPr>
        <w:tc>
          <w:tcPr>
            <w:tcW w:type="dxa" w:w="2160"/>
            <w:vAlign w:val="center"/>
            <w:tcMar>
              <w:top w:w="100" w:type="dxa"/>
              <w:left w:w="100" w:type="dxa"/>
              <w:bottom w:w="100" w:type="dxa"/>
              <w:right w:w="100" w:type="dxa"/>
            </w:tcMar>
            <w:shd w:fill="DDEBF7"/>
          </w:tcPr>
          <w:p>
            <w:pPr>
              <w:keepNext/>
              <w:widowControl/>
              <w:spacing w:after="40" w:before="40" w:line="250" w:lineRule="auto"/>
            </w:pPr>
            <w:r>
              <w:rPr>
                <w:b/>
                <w:color w:val="000000"/>
                <w:sz w:val="20"/>
              </w:rPr>
              <w:t>Decision</w:t>
            </w:r>
          </w:p>
        </w:tc>
        <w:tc>
          <w:tcPr>
            <w:tcW w:type="dxa" w:w="7920"/>
            <w:vAlign w:val="center"/>
            <w:tcMar>
              <w:top w:w="100" w:type="dxa"/>
              <w:left w:w="100" w:type="dxa"/>
              <w:bottom w:w="100" w:type="dxa"/>
              <w:right w:w="100" w:type="dxa"/>
            </w:tcMar>
            <w:shd w:fill="DDEBF7"/>
          </w:tcPr>
          <w:p>
            <w:pPr>
              <w:keepNext/>
              <w:widowControl/>
              <w:spacing w:after="40" w:before="40" w:line="250" w:lineRule="auto"/>
            </w:pPr>
            <w:r>
              <w:rPr>
                <w:b/>
                <w:color w:val="000000"/>
                <w:sz w:val="20"/>
              </w:rPr>
              <w:t>Recommended direction and reason</w:t>
            </w:r>
          </w:p>
        </w:tc>
      </w:tr>
      <w:tr>
        <w:trPr>
          <w:cantSplit/>
        </w:trPr>
        <w:tc>
          <w:tcPr>
            <w:tcW w:type="dxa" w:w="2160"/>
            <w:vAlign w:val="center"/>
            <w:tcMar>
              <w:top w:w="100" w:type="dxa"/>
              <w:left w:w="100" w:type="dxa"/>
              <w:bottom w:w="100" w:type="dxa"/>
              <w:right w:w="100" w:type="dxa"/>
            </w:tcMar>
            <w:shd w:fill="FFFFFF"/>
          </w:tcPr>
          <w:p>
            <w:pPr>
              <w:widowControl/>
              <w:spacing w:after="40" w:before="40" w:line="250" w:lineRule="auto"/>
            </w:pPr>
            <w:r>
              <w:rPr>
                <w:b/>
                <w:color w:val="000000"/>
                <w:sz w:val="20"/>
              </w:rPr>
              <w:t>Solver service boundary</w:t>
            </w:r>
          </w:p>
        </w:tc>
        <w:tc>
          <w:tcPr>
            <w:tcW w:type="dxa" w:w="7920"/>
            <w:vAlign w:val="center"/>
            <w:tcMar>
              <w:top w:w="100" w:type="dxa"/>
              <w:left w:w="100" w:type="dxa"/>
              <w:bottom w:w="100" w:type="dxa"/>
              <w:right w:w="100" w:type="dxa"/>
            </w:tcMar>
            <w:shd w:fill="FFFFFF"/>
          </w:tcPr>
          <w:p>
            <w:pPr>
              <w:widowControl/>
              <w:spacing w:after="40" w:before="40" w:line="250" w:lineRule="auto"/>
            </w:pPr>
            <w:r>
              <w:rPr>
                <w:b w:val="0"/>
                <w:color w:val="000000"/>
                <w:sz w:val="20"/>
              </w:rPr>
              <w:t>Keep persistence and commit authority in the caller; pass complete validated datasets into calculation. This enables reproducible offline solving without weakening reservation safety.</w:t>
            </w:r>
          </w:p>
        </w:tc>
      </w:tr>
      <w:tr>
        <w:trPr>
          <w:cantSplit/>
        </w:trPr>
        <w:tc>
          <w:tcPr>
            <w:tcW w:type="dxa" w:w="2160"/>
            <w:vAlign w:val="center"/>
            <w:tcMar>
              <w:top w:w="100" w:type="dxa"/>
              <w:left w:w="100" w:type="dxa"/>
              <w:bottom w:w="100" w:type="dxa"/>
              <w:right w:w="100" w:type="dxa"/>
            </w:tcMar>
            <w:shd w:fill="F4F8FB"/>
          </w:tcPr>
          <w:p>
            <w:pPr>
              <w:widowControl/>
              <w:spacing w:after="40" w:before="40" w:line="250" w:lineRule="auto"/>
            </w:pPr>
            <w:r>
              <w:rPr>
                <w:b/>
                <w:color w:val="000000"/>
                <w:sz w:val="20"/>
              </w:rPr>
              <w:t>Daily algorithm</w:t>
            </w:r>
          </w:p>
        </w:tc>
        <w:tc>
          <w:tcPr>
            <w:tcW w:type="dxa" w:w="7920"/>
            <w:vAlign w:val="center"/>
            <w:tcMar>
              <w:top w:w="100" w:type="dxa"/>
              <w:left w:w="100" w:type="dxa"/>
              <w:bottom w:w="100" w:type="dxa"/>
              <w:right w:w="100" w:type="dxa"/>
            </w:tcMar>
            <w:shd w:fill="F4F8FB"/>
          </w:tcPr>
          <w:p>
            <w:pPr>
              <w:widowControl/>
              <w:spacing w:after="40" w:before="40" w:line="250" w:lineRule="auto"/>
            </w:pPr>
            <w:r>
              <w:rPr>
                <w:b w:val="0"/>
                <w:color w:val="000000"/>
                <w:sz w:val="20"/>
              </w:rPr>
              <w:t>Retain current TABU as the control. Compare acceptance methods with matched moves before attributing results to an algorithm family.</w:t>
            </w:r>
          </w:p>
        </w:tc>
      </w:tr>
      <w:tr>
        <w:trPr>
          <w:cantSplit/>
        </w:trPr>
        <w:tc>
          <w:tcPr>
            <w:tcW w:type="dxa" w:w="2160"/>
            <w:vAlign w:val="center"/>
            <w:tcMar>
              <w:top w:w="100" w:type="dxa"/>
              <w:left w:w="100" w:type="dxa"/>
              <w:bottom w:w="100" w:type="dxa"/>
              <w:right w:w="100" w:type="dxa"/>
            </w:tcMar>
            <w:shd w:fill="FFFFFF"/>
          </w:tcPr>
          <w:p>
            <w:pPr>
              <w:widowControl/>
              <w:spacing w:after="40" w:before="40" w:line="250" w:lineRule="auto"/>
            </w:pPr>
            <w:r>
              <w:rPr>
                <w:b/>
                <w:color w:val="000000"/>
                <w:sz w:val="20"/>
              </w:rPr>
              <w:t>Booking algorithm</w:t>
            </w:r>
          </w:p>
        </w:tc>
        <w:tc>
          <w:tcPr>
            <w:tcW w:type="dxa" w:w="7920"/>
            <w:vAlign w:val="center"/>
            <w:tcMar>
              <w:top w:w="100" w:type="dxa"/>
              <w:left w:w="100" w:type="dxa"/>
              <w:bottom w:w="100" w:type="dxa"/>
              <w:right w:w="100" w:type="dxa"/>
            </w:tcMar>
            <w:shd w:fill="FFFFFF"/>
          </w:tcPr>
          <w:p>
            <w:pPr>
              <w:widowControl/>
              <w:spacing w:after="40" w:before="40" w:line="250" w:lineRule="auto"/>
            </w:pPr>
            <w:r>
              <w:rPr>
                <w:b w:val="0"/>
                <w:color w:val="000000"/>
                <w:sz w:val="20"/>
              </w:rPr>
              <w:t>Retain insertion and optional bounded refinement as the control. A Timefold alternative must reproduce promises, completion semantics, and independent validation before timing comparisons matter.</w:t>
            </w:r>
          </w:p>
        </w:tc>
      </w:tr>
      <w:tr>
        <w:trPr>
          <w:cantSplit/>
        </w:trPr>
        <w:tc>
          <w:tcPr>
            <w:tcW w:type="dxa" w:w="2160"/>
            <w:vAlign w:val="center"/>
            <w:tcMar>
              <w:top w:w="100" w:type="dxa"/>
              <w:left w:w="100" w:type="dxa"/>
              <w:bottom w:w="100" w:type="dxa"/>
              <w:right w:w="100" w:type="dxa"/>
            </w:tcMar>
            <w:shd w:fill="F4F8FB"/>
          </w:tcPr>
          <w:p>
            <w:pPr>
              <w:widowControl/>
              <w:spacing w:after="40" w:before="40" w:line="250" w:lineRule="auto"/>
            </w:pPr>
            <w:r>
              <w:rPr>
                <w:b/>
                <w:color w:val="000000"/>
                <w:sz w:val="20"/>
              </w:rPr>
              <w:t>Benchmark architecture</w:t>
            </w:r>
          </w:p>
        </w:tc>
        <w:tc>
          <w:tcPr>
            <w:tcW w:type="dxa" w:w="7920"/>
            <w:vAlign w:val="center"/>
            <w:tcMar>
              <w:top w:w="100" w:type="dxa"/>
              <w:left w:w="100" w:type="dxa"/>
              <w:bottom w:w="100" w:type="dxa"/>
              <w:right w:w="100" w:type="dxa"/>
            </w:tcMar>
            <w:shd w:fill="F4F8FB"/>
          </w:tcPr>
          <w:p>
            <w:pPr>
              <w:widowControl/>
              <w:spacing w:after="40" w:before="40" w:line="250" w:lineRule="auto"/>
            </w:pPr>
            <w:r>
              <w:rPr>
                <w:b w:val="0"/>
                <w:color w:val="000000"/>
                <w:sz w:val="20"/>
              </w:rPr>
              <w:t>Add native Benchmarker for fixed daily subproblems, retain the policy pipeline harness, and measure application latency separately. Each layer answers a different question.</w:t>
            </w:r>
          </w:p>
        </w:tc>
      </w:tr>
      <w:tr>
        <w:trPr>
          <w:cantSplit/>
        </w:trPr>
        <w:tc>
          <w:tcPr>
            <w:tcW w:type="dxa" w:w="2160"/>
            <w:vAlign w:val="center"/>
            <w:tcMar>
              <w:top w:w="100" w:type="dxa"/>
              <w:left w:w="100" w:type="dxa"/>
              <w:bottom w:w="100" w:type="dxa"/>
              <w:right w:w="100" w:type="dxa"/>
            </w:tcMar>
            <w:shd w:fill="FFFFFF"/>
          </w:tcPr>
          <w:p>
            <w:pPr>
              <w:widowControl/>
              <w:spacing w:after="40" w:before="40" w:line="250" w:lineRule="auto"/>
            </w:pPr>
            <w:r>
              <w:rPr>
                <w:b/>
                <w:color w:val="000000"/>
                <w:sz w:val="20"/>
              </w:rPr>
              <w:t>Production promotion</w:t>
            </w:r>
          </w:p>
        </w:tc>
        <w:tc>
          <w:tcPr>
            <w:tcW w:type="dxa" w:w="7920"/>
            <w:vAlign w:val="center"/>
            <w:tcMar>
              <w:top w:w="100" w:type="dxa"/>
              <w:left w:w="100" w:type="dxa"/>
              <w:bottom w:w="100" w:type="dxa"/>
              <w:right w:w="100" w:type="dxa"/>
            </w:tcMar>
            <w:shd w:fill="FFFFFF"/>
          </w:tcPr>
          <w:p>
            <w:pPr>
              <w:widowControl/>
              <w:spacing w:after="40" w:before="40" w:line="250" w:lineRule="auto"/>
            </w:pPr>
            <w:r>
              <w:rPr>
                <w:b w:val="0"/>
                <w:color w:val="000000"/>
                <w:sz w:val="20"/>
              </w:rPr>
              <w:t>Require correctness, held-out quality, and complete-request performance gates. A lower pooled synthetic cost is insufficient.</w:t>
            </w:r>
          </w:p>
        </w:tc>
      </w:tr>
    </w:tbl>
    <w:p>
      <w:pPr>
        <w:spacing w:after="80" w:line="60" w:lineRule="exact"/>
      </w:pPr>
    </w:p>
    <w:p>
      <w:pPr>
        <w:pStyle w:val="Heading2"/>
      </w:pPr>
      <w:r>
        <w:t>How to read the evidence</w:t>
      </w:r>
    </w:p>
    <w:p>
      <w:pPr>
        <w:keepLines w:val="0"/>
      </w:pPr>
      <w:r>
        <w:t>High priority means a blocker for the proposed dataset service or a substantial lifecycle gap. Medium means a bounded defect, method gap, or improvement needing engineering work. Low means a localized consistency risk with an existing mitigation. These are engineering priorities, not security ratings.</w:t>
      </w:r>
    </w:p>
    <w:p>
      <w:pPr>
        <w:keepLines w:val="0"/>
      </w:pPr>
      <w:r>
        <w:t>Reproduced means an executable characterization demonstrates the behavior. Source-confirmed means the control flow or configuration establishes the finding, without measuring its operational impact. Opportunity means the mechanism is plausible but its speed or quality benefit has not been measured. None of these labels establishes that a current HTTP endpoint accepted malformed input or applied an invalid schedule.</w:t>
      </w:r>
    </w:p>
    <w:p>
      <w:pPr>
        <w:pStyle w:val="Heading1"/>
      </w:pPr>
      <w:r>
        <w:t>Current system and review boundaries</w:t>
      </w:r>
    </w:p>
    <w:p>
      <w:pPr>
        <w:pStyle w:val="Heading2"/>
      </w:pPr>
      <w:r>
        <w:t>Sources and version applicability</w:t>
      </w:r>
    </w:p>
    <w:p>
      <w:pPr>
        <w:keepLines w:val="0"/>
      </w:pPr>
      <w:r>
        <w:t>The reviewed repository baseline is 499fde2cc3fe79a8b7413a942a66cfc97b5d0e94. Runtime and benchmark sources under scheduler-service/src, infra, and web/scripts have no differences from the previous expanded review baseline afa035ddf2101d26c12508067d2d9016601db6c3. Findings were traced again against this checkout; historical measurements keep their original revisions.</w:t>
      </w:r>
    </w:p>
    <w:p>
      <w:pPr>
        <w:keepLines w:val="0"/>
      </w:pPr>
      <w:r>
        <w:t>The primary documentation is the supplied docs/timefold-documentation/Timefold-Solver-Docs.md and its PDF. This Markdown edition has a different hash and section layout from the conversion used in the previous review. The new source register records its hashes and exact section ranges. This revision reads the relevant local sections, not every page of the PDF; PDF examples must be checked before copying visually wrapped code. The previous 66-chapter coverage inventory remains historical and is not presented as a new exhaustive crawl.</w:t>
      </w:r>
    </w:p>
    <w:p>
      <w:pPr>
        <w:keepLines w:val="0"/>
      </w:pPr>
      <w:r>
        <w:t>The installed solver is 2.6.0. The local guide describes 2.7-era functionality. Live official checks on 6 October returned a 2.7.0 benchmarking page and 2.7.1 performance and local-search pages. Latest URLs are therefore navigation aids, not immutable version evidence. Proposed APIs and XML must be compiled and exercised against the selected installed version. An upgrade is a separate treatment, not an invisible prerequisite for this report.</w:t>
      </w:r>
    </w:p>
    <w:p>
      <w:pPr>
        <w:keepLines w:val="0"/>
      </w:pPr>
      <w:r>
        <w:t>Source references below combine explained guidance with the guide chapter/section. The code reference register links to immutable repository files. Review receipts, test logs, and source hashes are recorded separately so that a future documentation change cannot silently change what was reviewed.</w:t>
      </w:r>
    </w:p>
    <w:p>
      <w:pPr>
        <w:pStyle w:val="Heading2"/>
      </w:pPr>
      <w:r>
        <w:t>Booking and daily optimization solve different problems</w:t>
      </w:r>
    </w:p>
    <w:p>
      <w:pPr>
        <w:keepLines w:val="0"/>
      </w:pPr>
      <w:r>
        <w:t>Booking must return useful appointment offers within a short customer-facing deadline. BookingSearchPipeline first attempts insertion into the existing plan. Bounded refinement is disabled by default even though the configured variant name defaults to BOUNDED; a variant name alone does not activate the gate. When enabled, the custom search explores relocations, swaps, and reversals. Its ordinary limits include six shortlisted routes, depth two, beam eight, and 500 arrangements per window. Expanded experiments increase these limits and change reconstruction and shared-window behavior. These are WaterFlex Java algorithms, not Timefold acceptors. See C01 and C02.</w:t>
      </w:r>
    </w:p>
    <w:p>
      <w:pPr>
        <w:keepLines w:val="0"/>
      </w:pPr>
      <w:r>
        <w:t>Booking compares cost strictly, uses fairness to break cost ties, preserves customer windows, and prohibits new overtime. Offers require routing completeness and independent validation, then reservations and guarded confirmation. A completed bounded search means the prescribed bounded search finished; it does not prove that no feasible arrangement exists outside its neighborhood.</w:t>
      </w:r>
    </w:p>
    <w:p>
      <w:pPr>
        <w:keepLines w:val="0"/>
      </w:pPr>
      <w:r>
        <w:t>Daily optimization starts from an assigned, validated schedule. DailySolver builds a fresh solver and copied plan for each phase. The reference phase minimizes overtime before cost. The fairness phase fixes the reference overtime target and permits cost up to the policy ceiling, normally two percent above reference cost. The application independently checks the result before preview and again before guarded application. Ordinary preview allocates ten seconds to reference and the remainder of a nominal fifteen seconds to fairness. Absence repair is a separate workload. See C03 through C06.</w:t>
      </w:r>
    </w:p>
    <w:p>
      <w:pPr>
        <w:keepLines w:val="0"/>
      </w:pPr>
      <w:r>
        <w:t>The current daily control is TABU with seed 17, entity tabu size seven, accepted-count limit 1,000, selected-count limit 10,000, and list change/swap weights 45/45. Existing LA experiments use history 400 and accepted-count one. SUBLIST, KOPT, and RUIN_RECREATE add progressively larger moves under LA. Consequently, comparing an advanced variant with TABU changes both moves and acceptance settings.</w:t>
      </w:r>
    </w:p>
    <w:p>
      <w:pPr>
        <w:pStyle w:val="Heading2"/>
      </w:pPr>
      <w:r>
        <w:t>What should be preserved</w:t>
      </w:r>
    </w:p>
    <w:p>
      <w:pPr>
        <w:keepLines w:val="0"/>
      </w:pPr>
      <w:r>
        <w:t>Keep independent feasibility and policy validation, copied planning state, immutable booking snapshots, explicit missing-road failures, reservations, the 6 a.m. America/Chicago cutoff, and no-new-overtime booking policy. Keep reference and fairness in one policy workflow even when measuring their calculations separately. Preserve archive hashes, frozen artifacts, saved case order, isolated booking schemas, failed attempts, and explicit incomplete outcomes. These mechanisms make later changes reviewable.</w:t>
      </w:r>
    </w:p>
    <w:p>
      <w:pPr>
        <w:pStyle w:val="Heading1"/>
      </w:pPr>
      <w:r>
        <w:t>Architecture and correctness</w:t>
      </w:r>
    </w:p>
    <w:p>
      <w:pPr>
        <w:pStyle w:val="Heading2"/>
      </w:pPr>
      <w:r>
        <w:t>TF01 Separate calculation from business persistence</w:t>
      </w:r>
    </w:p>
    <w:p>
      <w:pPr>
        <w:keepLines w:val="0"/>
      </w:pPr>
      <w:r>
        <w:rPr>
          <w:b/>
        </w:rPr>
        <w:t xml:space="preserve">Current behavior: </w:t>
      </w:r>
      <w:r>
        <w:t>The core DailySolver accepts a DayPlan, but OptimizationService builds it through database and routing work and persists the preview. Booking similarly surrounds its calculation with durable search and reservation workflows. These are reasonable application responsibilities, but the current endpoints are not a standalone dataset-in, results-out calculation boundary. Evidence: C01, C03, and C04. Classification: High, source-confirmed architecture gap relative to the intended service.</w:t>
      </w:r>
    </w:p>
    <w:p>
      <w:pPr>
        <w:keepLines w:val="0"/>
      </w:pPr>
      <w:r>
        <w:rPr>
          <w:b/>
        </w:rPr>
        <w:t xml:space="preserve">Consequence: </w:t>
      </w:r>
      <w:r>
        <w:t>A benchmark of these endpoints combines database, routing, queueing, and solving. A core benchmark bypasses those costs. Without an explicit boundary, the same phrase such as solver latency can describe two different operations. Extracting the service without identifying commit authority would also leave uncertainty about who checks that a result is still applicable when another booking changes capacity.</w:t>
      </w:r>
    </w:p>
    <w:p>
      <w:pPr>
        <w:keepLines w:val="0"/>
      </w:pPr>
      <w:r>
        <w:rPr>
          <w:b/>
        </w:rPr>
        <w:t xml:space="preserve">Guidance and change: </w:t>
      </w:r>
      <w:r>
        <w:t xml:space="preserve">The guide distinguishes running a solver as a service from embedding it as a library. Its service model motivates a complete input dataset and a result contract, but does not require WaterFlex to abandon Spring Boot. Define validated input snapshots containing facts, policy, routing identity, and versions. Return proposals and diagnostics. The caller retains persistence, reservations, idempotency, and the atomic decision to apply a proposal. </w:t>
      </w:r>
      <w:hyperlink r:id="rId12">
        <w:r>
          <w:rPr>
            <w:color w:val="205781"/>
          </w:rPr>
          <w:t>Guide chapter 17</w:t>
        </w:r>
      </w:hyperlink>
      <w:r/>
    </w:p>
    <w:p>
      <w:pPr>
        <w:keepLines w:val="0"/>
      </w:pPr>
      <w:r>
        <w:rPr>
          <w:b/>
        </w:rPr>
        <w:t xml:space="preserve">Why this helps: </w:t>
      </w:r>
      <w:r>
        <w:t>The same snapshot can drive production calculation and offline comparison. Failures become attributable to preparation, solving, validation, or commit rather than being hidden inside one endpoint. The additional cost is snapshot serialization, versioning, and a network boundary if deployed remotely. Remote queueing and transport must consume the existing deadline; this design does not establish a latency improvement.</w:t>
      </w:r>
    </w:p>
    <w:p>
      <w:pPr>
        <w:keepLines w:val="0"/>
      </w:pPr>
      <w:r>
        <w:rPr>
          <w:b/>
        </w:rPr>
        <w:t xml:space="preserve">Acceptance: </w:t>
      </w:r>
      <w:r>
        <w:t>A snapshot reproduces the same problem facts without database access during solving. A stale proposal cannot commit after a relevant schedule, hold, policy, or routing change. Concurrent requests never share mutable planning entities. Keep caller-side locked revalidation even when the solver returns a feasible score.</w:t>
      </w:r>
    </w:p>
    <w:p>
      <w:pPr>
        <w:pStyle w:val="Heading2"/>
      </w:pPr>
      <w:r>
        <w:t>TF02 Initialize or explicitly reject unassigned work</w:t>
      </w:r>
    </w:p>
    <w:p>
      <w:pPr>
        <w:keepLines w:val="0"/>
      </w:pPr>
      <w:r>
        <w:rPr>
          <w:b/>
        </w:rPr>
        <w:t xml:space="preserve">Current behavior: </w:t>
      </w:r>
      <w:r>
        <w:t>The daily configurations contain local search but no construction phase. That fits ordinary preview, which supplies assigned routes. A direct core test supplies one visit with an empty route and receives an empty zero-score result with PHASE_COMPLETED; the independent evaluator rejects it. Evidence: C05 and C07. Classification: High, reproduced core defect for the proposed broader input contract.</w:t>
      </w:r>
    </w:p>
    <w:p>
      <w:pPr>
        <w:keepLines w:val="0"/>
      </w:pPr>
      <w:r>
        <w:rPr>
          <w:b/>
        </w:rPr>
        <w:t xml:space="preserve">Consequence: </w:t>
      </w:r>
      <w:r>
        <w:t>Zero hard score is meaningful only for the facts and assignments actually represented in scoring. It does not independently prove that every requested job was served. Treating this core method as a general dataset solver would allow an apparently successful result that omits work, even though the current application starts from validated assignments.</w:t>
      </w:r>
    </w:p>
    <w:p>
      <w:pPr>
        <w:keepLines w:val="0"/>
      </w:pPr>
      <w:r>
        <w:rPr>
          <w:b/>
        </w:rPr>
        <w:t xml:space="preserve">Guidance and change: </w:t>
      </w:r>
      <w:r>
        <w:t xml:space="preserve">Construction heuristics create an initial assignment; local search improves an existing one. For v1 of the extracted boundary, explicitly declare whether the endpoint accepts assigned plans only. Reject unassigned or partially assigned input until a supported construction path is implemented. If cold planning is required, add construction and coverage validation, then benchmark cold, partial, feasible warm, and infeasible repair inputs separately. </w:t>
      </w:r>
      <w:hyperlink r:id="rId13">
        <w:r>
          <w:rPr>
            <w:color w:val="205781"/>
          </w:rPr>
          <w:t>Guide chapter 38</w:t>
        </w:r>
      </w:hyperlink>
      <w:r/>
    </w:p>
    <w:p>
      <w:pPr>
        <w:keepLines w:val="0"/>
      </w:pPr>
      <w:r>
        <w:rPr>
          <w:b/>
        </w:rPr>
        <w:t xml:space="preserve">Why this helps: </w:t>
      </w:r>
      <w:r>
        <w:t>The solver contract stops confusing initialization with optimization. Rejecting unsupported input is an immediate safe boundary improvement; construction expands capability but changes both runtime and search behavior. Do not penalize a local-search variant for failing a capability it never promised, or promote it based on a zero score for an empty plan.</w:t>
      </w:r>
    </w:p>
    <w:p>
      <w:pPr>
        <w:keepLines w:val="0"/>
      </w:pPr>
      <w:r>
        <w:rPr>
          <w:b/>
        </w:rPr>
        <w:t xml:space="preserve">Acceptance: </w:t>
      </w:r>
      <w:r>
        <w:t>Empty demand returns a documented empty result. Nonempty demand is either fully covered or receives an explicit unsupported/infeasible/incomplete outcome. Test zero technicians, one visit, partial assignments, pinned work, and infeasible windows. No input visit may disappear.</w:t>
      </w:r>
    </w:p>
    <w:p>
      <w:pPr>
        <w:pStyle w:val="Heading2"/>
      </w:pPr>
      <w:r>
        <w:t>TF03 Validate the problem before building maps or copies</w:t>
      </w:r>
    </w:p>
    <w:p>
      <w:pPr>
        <w:keepLines w:val="0"/>
      </w:pPr>
      <w:r>
        <w:rPr>
          <w:b/>
        </w:rPr>
        <w:t xml:space="preserve">Current behavior: </w:t>
      </w:r>
      <w:r>
        <w:t>Direct core tests show duplicate technician IDs passing route validation while overwriting one segment-map key, duplicate visit IDs collapsing during PlanCopies.copy, and a NaN rate producing zero cost. Database keys and booking rate validation reduce exposure in current workflows; these tests do not establish HTTP exploitability. Evidence: C07 through C09. Classification: High, reproduced core boundary defects.</w:t>
      </w:r>
    </w:p>
    <w:p>
      <w:pPr>
        <w:keepLines w:val="0"/>
      </w:pPr>
      <w:r>
        <w:rPr>
          <w:b/>
        </w:rPr>
        <w:t xml:space="preserve">Consequence: </w:t>
      </w:r>
      <w:r>
        <w:t>Identity corruption changes the problem before the solver sees it. Once two jobs become one map entry, successful optimization of the smaller problem cannot recover the lost job. A fabricated zero cost can also dominate a valid candidate in ranking. Null checks alone cannot establish uniqueness, numeric validity, or membership consistency.</w:t>
      </w:r>
    </w:p>
    <w:p>
      <w:pPr>
        <w:keepLines w:val="0"/>
      </w:pPr>
      <w:r>
        <w:rPr>
          <w:b/>
        </w:rPr>
        <w:t xml:space="preserve">Guidance and change: </w:t>
      </w:r>
      <w:r>
        <w:t xml:space="preserve">Timefold modeling depends on stable identities and a consistent relationship between facts, entities, and planning values. Add a validated input DTO and one problem validator before any ID-indexed copying. Require unique IDs, canonical visit membership, consistent assignments, finite nonnegative rates, valid durations and limits, valid windows, and complete required directed legs. Reject unsafe key delimiters or replace concatenated string keys with typed directed pairs. </w:t>
      </w:r>
      <w:hyperlink r:id="rId14">
        <w:r>
          <w:rPr>
            <w:color w:val="205781"/>
          </w:rPr>
          <w:t>Guide chapter 10</w:t>
        </w:r>
      </w:hyperlink>
      <w:r/>
    </w:p>
    <w:p>
      <w:pPr>
        <w:keepLines w:val="0"/>
      </w:pPr>
      <w:r>
        <w:rPr>
          <w:b/>
        </w:rPr>
        <w:t xml:space="preserve">Why this helps: </w:t>
      </w:r>
      <w:r>
        <w:t>Validation preserves the requested problem and produces actionable errors before expensive solving. It also makes benchmark fixtures trustworthy. It costs preparation time, which belongs outside isolated solve timing but inside end-to-end latency. Missing rates, legs, or capacities must remain explicit errors, never zero, false, or empty defaults.</w:t>
      </w:r>
    </w:p>
    <w:p>
      <w:pPr>
        <w:keepLines w:val="0"/>
      </w:pPr>
      <w:r>
        <w:rPr>
          <w:b/>
        </w:rPr>
        <w:t xml:space="preserve">Acceptance: </w:t>
      </w:r>
      <w:r>
        <w:t>Exercise duplicate IDs, dangling references, mismatched objects, NaN/infinity, negative legs, and missing required fields. Rejection must precede copying, preserve the original task count in diagnostics, and identify the invalid field. Declare intentional nulls explicitly in request, result, and persisted evidence types.</w:t>
      </w:r>
    </w:p>
    <w:p>
      <w:pPr>
        <w:pStyle w:val="Heading2"/>
      </w:pPr>
      <w:r>
        <w:t>TF04 Carry exact money through the whole calculation</w:t>
      </w:r>
    </w:p>
    <w:p>
      <w:pPr>
        <w:keepLines w:val="0"/>
      </w:pPr>
      <w:r>
        <w:rPr>
          <w:b/>
        </w:rPr>
        <w:t xml:space="preserve">Current behavior: </w:t>
      </w:r>
      <w:r>
        <w:t>BigDecimal score objects wrap monetary amounts that were already computed with double. For 255 paid minutes at $20.02 per hour with no mileage or overtime, both evaluators return 8,508 cents. Exact decimal half-up rounding of $85.085 returns 8,509 cents. Agreement between two evaluators does not catch their shared arithmetic pattern. Evidence: C07, C09, and C10. Classification: Medium, reproduced one-cent numeric error.</w:t>
      </w:r>
    </w:p>
    <w:p>
      <w:pPr>
        <w:keepLines w:val="0"/>
      </w:pPr>
      <w:r>
        <w:rPr>
          <w:b/>
        </w:rPr>
        <w:t xml:space="preserve">Consequence: </w:t>
      </w:r>
      <w:r>
        <w:t>Small ranking differences and a fairness cost ceiling can be affected at rounding boundaries. The example does not establish material production loss. It establishes that the current arithmetic cannot support claims requiring exact cents in every case.</w:t>
      </w:r>
    </w:p>
    <w:p>
      <w:pPr>
        <w:keepLines w:val="0"/>
      </w:pPr>
      <w:r>
        <w:rPr>
          <w:b/>
        </w:rPr>
        <w:t xml:space="preserve">Guidance and change: </w:t>
      </w:r>
      <w:r>
        <w:t xml:space="preserve">The score guidance warns against floating-point arithmetic because rounding can break score comparisons and incremental consistency. Define decimal input units and one fleet-level rounding rule. Carry BigDecimal or scaled integer/rational values through labor and mileage conversion; round only at the agreed boundary. Use an independently written exact numeric oracle for tests. </w:t>
      </w:r>
      <w:hyperlink r:id="rId15">
        <w:r>
          <w:rPr>
            <w:color w:val="205781"/>
          </w:rPr>
          <w:t>Guide chapter 12</w:t>
        </w:r>
      </w:hyperlink>
      <w:r/>
    </w:p>
    <w:p>
      <w:pPr>
        <w:keepLines w:val="0"/>
      </w:pPr>
      <w:r>
        <w:rPr>
          <w:b/>
        </w:rPr>
        <w:t xml:space="preserve">Why this helps: </w:t>
      </w:r>
      <w:r>
        <w:t>Exact arithmetic gives cost ranking and the two-percent ceiling a stable meaning. Rounding each route first can differ from rounding the total, so merely replacing double with BigDecimal in one method is insufficient. Decimal computation may cost more CPU; measure that after specifying the correct result. Version the cost model so old experiments are not silently compared with a new monetary definition.</w:t>
      </w:r>
    </w:p>
    <w:p>
      <w:pPr>
        <w:keepLines w:val="0"/>
      </w:pPr>
      <w:r>
        <w:rPr>
          <w:b/>
        </w:rPr>
        <w:t xml:space="preserve">Acceptance: </w:t>
      </w:r>
      <w:r>
        <w:t>Test half-cent values, mileage conversion, overtime, route repartitioning, and summation order. Booking ties, daily targets, independent validation, and reporting must agree on the same exact monetary contract.</w:t>
      </w:r>
    </w:p>
    <w:p>
      <w:pPr>
        <w:pStyle w:val="Heading2"/>
      </w:pPr>
      <w:r>
        <w:t>TF05 Give the complete operation one deadline</w:t>
      </w:r>
    </w:p>
    <w:p>
      <w:pPr>
        <w:keepLines w:val="0"/>
      </w:pPr>
      <w:r>
        <w:rPr>
          <w:b/>
        </w:rPr>
        <w:t xml:space="preserve">Current behavior: </w:t>
      </w:r>
      <w:r>
        <w:t>Daily preview creates a twenty-second SearchDeadline for admission but does not install it around all subsequent work. Problem preparation occurs before the fifteen-second phase clock. Preview construction and solving run inside a transaction template. Evidence: C03 and C11. Classification: High, source-confirmed lifecycle gap; impact has not been load-tested.</w:t>
      </w:r>
    </w:p>
    <w:p>
      <w:pPr>
        <w:keepLines w:val="0"/>
      </w:pPr>
      <w:r>
        <w:rPr>
          <w:b/>
        </w:rPr>
        <w:t xml:space="preserve">Consequence: </w:t>
      </w:r>
      <w:r>
        <w:t>A fifteen-second solve allowance is not a fifteen-second request bound. Queueing, roads, validation, and persistence can extend the operation, while a database transaction remains open during expensive calculation. A timeout at the HTTP layer would not by itself prove that the solver stopped or released capacity.</w:t>
      </w:r>
    </w:p>
    <w:p>
      <w:pPr>
        <w:keepLines w:val="0"/>
      </w:pPr>
      <w:r>
        <w:rPr>
          <w:b/>
        </w:rPr>
        <w:t xml:space="preserve">Guidance and change: </w:t>
      </w:r>
      <w:r>
        <w:t xml:space="preserve">Timefold lifecycle integration supports managed solving and early termination. Establish one monotonic deadline at admission, propagate its remaining budget through preparation and solving, reserve validation time, and define cancellation cleanup. SolverManager is an available building block; a bounded equivalent adapter is also viable. Move durable transactions to the caller and keep their critical sections short. </w:t>
      </w:r>
      <w:hyperlink r:id="rId16">
        <w:r>
          <w:rPr>
            <w:color w:val="205781"/>
          </w:rPr>
          <w:t>Guide chapter 25</w:t>
        </w:r>
      </w:hyperlink>
      <w:r/>
    </w:p>
    <w:p>
      <w:pPr>
        <w:keepLines w:val="0"/>
      </w:pPr>
      <w:r>
        <w:rPr>
          <w:b/>
        </w:rPr>
        <w:t xml:space="preserve">Why this helps: </w:t>
      </w:r>
      <w:r>
        <w:t>The caller can reason about resource occupancy and response limits. A stopped request no longer leaves unexplained background work consuming admission slots. Asynchronous submission alone does not solve this: waiting synchronously for the final result or ignoring cancellation preserves the original problem.</w:t>
      </w:r>
    </w:p>
    <w:p>
      <w:pPr>
        <w:keepLines w:val="0"/>
      </w:pPr>
      <w:r>
        <w:rPr>
          <w:b/>
        </w:rPr>
        <w:t xml:space="preserve">Acceptance: </w:t>
      </w:r>
      <w:r>
        <w:t>Inject queue delay, slow routing, validation delay, cancellation, and deadline expiry. Confirm that these consume the original budget, cleanup releases capacity, and only independently validated partial results can be returned where the contract permits them. Measure complete latency and cleanup, not just solveMs.</w:t>
      </w:r>
    </w:p>
    <w:p>
      <w:pPr>
        <w:pStyle w:val="Heading2"/>
      </w:pPr>
      <w:r>
        <w:t>TF10 Keep one authoritative problem-facts revision</w:t>
      </w:r>
    </w:p>
    <w:p>
      <w:pPr>
        <w:keepLines w:val="0"/>
      </w:pPr>
      <w:r>
        <w:rPr>
          <w:b/>
        </w:rPr>
        <w:t xml:space="preserve">Current behavior: </w:t>
      </w:r>
      <w:r>
        <w:t>DayPlan stores rates and a matrix alongside a RouteScoringFacts snapshot. Replacing the matrix can leave the snapshot using the old legs. A test makes independent validation reject missing legs while scoring still reports zero hard penalty. PlanCopies reconstructs facts before current daily solving, mitigating this path. Evidence: C07, C08, and C10. Classification: Low, reproduced consistency risk with a current mitigation.</w:t>
      </w:r>
    </w:p>
    <w:p>
      <w:pPr>
        <w:keepLines w:val="0"/>
      </w:pPr>
      <w:r>
        <w:rPr>
          <w:b/>
        </w:rPr>
        <w:t xml:space="preserve">Consequence: </w:t>
      </w:r>
      <w:r>
        <w:t>Derived facts are caches. If their dependencies can change independently, two correct consumers can evaluate different problems. This risk grows when adding JSON import, precomputed availability, or real-time updates.</w:t>
      </w:r>
    </w:p>
    <w:p>
      <w:pPr>
        <w:keepLines w:val="0"/>
      </w:pPr>
      <w:r>
        <w:rPr>
          <w:b/>
        </w:rPr>
        <w:t xml:space="preserve">Guidance and change: </w:t>
      </w:r>
      <w:r>
        <w:t xml:space="preserve">Keep planning facts stable for a solve and use supported problem-change mechanisms when changes are necessary. Construct an immutable validated fact container and reference it consistently from scoring and independent validation. Remove separate mutation paths or rebuild all derived data atomically. </w:t>
      </w:r>
      <w:hyperlink r:id="rId14">
        <w:r>
          <w:rPr>
            <w:color w:val="205781"/>
          </w:rPr>
          <w:t>Guide chapter 10</w:t>
        </w:r>
      </w:hyperlink>
      <w:r/>
    </w:p>
    <w:p>
      <w:pPr>
        <w:keepLines w:val="0"/>
      </w:pPr>
      <w:r>
        <w:rPr>
          <w:b/>
        </w:rPr>
        <w:t xml:space="preserve">Why this helps: </w:t>
      </w:r>
      <w:r>
        <w:t>A single fact revision makes invalidation testable and snapshot hashes meaningful. Immutability may require rebuilding a context when policy or routing changes, but that cost is preferable to a score computed from mixed revisions.</w:t>
      </w:r>
    </w:p>
    <w:p>
      <w:pPr>
        <w:keepLines w:val="0"/>
      </w:pPr>
      <w:r>
        <w:rPr>
          <w:b/>
        </w:rPr>
        <w:t xml:space="preserve">Acceptance: </w:t>
      </w:r>
      <w:r>
        <w:t>Matrix, rates, demand services, shifts, absences, and derived capacities share one revision. Copies and serialization round trips preserve it; changing a dependency cannot leave old derived values active.</w:t>
      </w:r>
    </w:p>
    <w:p>
      <w:pPr>
        <w:pStyle w:val="Heading1"/>
      </w:pPr>
      <w:r>
        <w:t>Algorithm choices and scoring behavior</w:t>
      </w:r>
    </w:p>
    <w:p>
      <w:pPr>
        <w:pStyle w:val="Heading2"/>
      </w:pPr>
      <w:r>
        <w:t>TF06 Give infeasible plans a useful direction of improvement</w:t>
      </w:r>
    </w:p>
    <w:p>
      <w:pPr>
        <w:keepLines w:val="0"/>
      </w:pPr>
      <w:r>
        <w:rPr>
          <w:b/>
        </w:rPr>
        <w:t xml:space="preserve">Current behavior: </w:t>
      </w:r>
      <w:r>
        <w:t>The infeasible timing fallback applies a categorical penalty to an unplaced visit. Reaching the exclusive window boundary and arriving an hour later both receive 1,000,000 hard penalty in the characterization test. Evidence: C07 and C12. Classification: Medium, reproduced score plateau; its effect on practical search quality is unmeasured.</w:t>
      </w:r>
    </w:p>
    <w:p>
      <w:pPr>
        <w:keepLines w:val="0"/>
      </w:pPr>
      <w:r>
        <w:rPr>
          <w:b/>
        </w:rPr>
        <w:t xml:space="preserve">Consequence: </w:t>
      </w:r>
      <w:r>
        <w:t>Imagine two infeasible moves, one reducing lateness from sixty minutes to one minute, the other leaving lateness unchanged. If both have the same hard score, search cannot use that score to recognize progress toward feasibility. Larger moves may jump across the plateau, but they also cost more and do not remove its cause.</w:t>
      </w:r>
    </w:p>
    <w:p>
      <w:pPr>
        <w:keepLines w:val="0"/>
      </w:pPr>
      <w:r>
        <w:rPr>
          <w:b/>
        </w:rPr>
        <w:t xml:space="preserve">Guidance and change: </w:t>
      </w:r>
      <w:r>
        <w:t xml:space="preserve">The guide calls this a score trap and recommends reflecting the degree of violation where meaningful. Add quantitative lateness and capacity-excess penalties while retaining strict feasibility. Keep categorical violations such as missing qualifications explicit. Do not turn a hard customer promise into a soft preference. </w:t>
      </w:r>
      <w:hyperlink r:id="rId17">
        <w:r>
          <w:rPr>
            <w:color w:val="205781"/>
          </w:rPr>
          <w:t>Guide section 16.14</w:t>
        </w:r>
      </w:hyperlink>
      <w:r/>
    </w:p>
    <w:p>
      <w:pPr>
        <w:keepLines w:val="0"/>
      </w:pPr>
      <w:r>
        <w:rPr>
          <w:b/>
        </w:rPr>
        <w:t xml:space="preserve">Why this helps: </w:t>
      </w:r>
      <w:r>
        <w:t>A gradient supplies intermediate information during repair. Its benefit is most plausible for absence repair and deliberately infeasible seeds, not already feasible ordinary previews. Penalty magnitudes can change which infeasibility is repaired first, so the revised score requires a versioned policy and bounded numeric analysis.</w:t>
      </w:r>
    </w:p>
    <w:p>
      <w:pPr>
        <w:keepLines w:val="0"/>
      </w:pPr>
      <w:r>
        <w:rPr>
          <w:b/>
        </w:rPr>
        <w:t xml:space="preserve">Acceptance: </w:t>
      </w:r>
      <w:r>
        <w:t>Reducing a quantitative violation improves its penalty; crossing into feasibility removes it exactly at the correct boundary. Independent validation remains authoritative. Compare time to first feasible solution and repair success on identical infeasible seeds before claiming improved quality.</w:t>
      </w:r>
    </w:p>
    <w:p>
      <w:pPr>
        <w:pStyle w:val="Heading2"/>
      </w:pPr>
      <w:r>
        <w:t>Compare moves and acceptance as separate choices</w:t>
      </w:r>
    </w:p>
    <w:p>
      <w:pPr>
        <w:keepLines w:val="0"/>
      </w:pPr>
      <w:r>
        <w:rPr>
          <w:b/>
        </w:rPr>
        <w:t xml:space="preserve">Current behavior: </w:t>
      </w:r>
      <w:r>
        <w:t>TABU discourages revisiting recently changed entities and considers many accepted candidates per step. LA allows a candidate according to a historical score threshold and currently accepts only one candidate per step. Advanced variants also alter the neighborhood. A result for KOPT versus TABU therefore describes a configuration package, not the isolated effect of k-opt. Evidence: C05.</w:t>
      </w:r>
    </w:p>
    <w:p>
      <w:pPr>
        <w:keepLines w:val="0"/>
      </w:pPr>
      <w:r>
        <w:rPr>
          <w:b/>
        </w:rPr>
        <w:t xml:space="preserve">Guidance and change: </w:t>
      </w:r>
      <w:r>
        <w:t xml:space="preserve">Timefold separates the move selector, acceptor, and forager. First compare TABU and LA using the same list change/swap neighborhood and selected-count cap, retaining each method's explicitly stated forager settings as part of its package. Then vary one neighborhood family under a fixed acceptance package. Finally test interactions if the first experiments show a reason. Simulated Annealing is a later candidate requiring temperature calibration on this score scale. </w:t>
      </w:r>
      <w:hyperlink r:id="rId18">
        <w:r>
          <w:rPr>
            <w:color w:val="205781"/>
          </w:rPr>
          <w:t>Guide chapter 39</w:t>
        </w:r>
      </w:hyperlink>
      <w:r>
        <w:t xml:space="preserve"> </w:t>
      </w:r>
      <w:hyperlink r:id="rId19">
        <w:r>
          <w:rPr>
            <w:color w:val="205781"/>
          </w:rPr>
          <w:t>Guide chapter 42</w:t>
        </w:r>
      </w:hyperlink>
      <w:r/>
    </w:p>
    <w:p>
      <w:pPr>
        <w:keepLines w:val="0"/>
      </w:pPr>
      <w:r>
        <w:rPr>
          <w:b/>
        </w:rPr>
        <w:t xml:space="preserve">Why this helps: </w:t>
      </w:r>
      <w:r>
        <w:t>The experiment answers which change caused a difference. Forcing every method to use the same accepted-count limit can unfairly cripple an algorithm; calling different forager settings the same treatment is equally misleading. Record the entire effective configuration and state precisely what the comparison isolates.</w:t>
      </w:r>
    </w:p>
    <w:p>
      <w:pPr>
        <w:keepLines w:val="0"/>
      </w:pPr>
      <w:r>
        <w:rPr>
          <w:b/>
        </w:rPr>
        <w:t xml:space="preserve">Acceptance: </w:t>
      </w:r>
      <w:r>
        <w:t>Compare matched snapshots, budgets, seeds, scoring, and resources. Keep the production control and current experiment variants for historical reference. Do not adopt an advanced move because its name suggests sophistication or because it evaluates more moves. Measure accepted quality and time to useful solutions.</w:t>
      </w:r>
    </w:p>
    <w:p>
      <w:pPr>
        <w:pStyle w:val="Heading2"/>
      </w:pPr>
      <w:r>
        <w:t>Preserve the booking control while testing a Timefold alternative</w:t>
      </w:r>
    </w:p>
    <w:p>
      <w:pPr>
        <w:keepLines w:val="0"/>
      </w:pPr>
      <w:r>
        <w:rPr>
          <w:b/>
        </w:rPr>
        <w:t xml:space="preserve">Current behavior: </w:t>
      </w:r>
      <w:r>
        <w:t>Booking's custom search already represents hourly four-hour promises, strict cost ranking, overflow, route feasibility, and incomplete search. An unrestricted daily Timefold solve is not a drop-in replacement for a short offer-generation request.</w:t>
      </w:r>
    </w:p>
    <w:p>
      <w:pPr>
        <w:keepLines w:val="0"/>
      </w:pPr>
      <w:r>
        <w:rPr>
          <w:b/>
        </w:rPr>
        <w:t xml:space="preserve">Guidance and change: </w:t>
      </w:r>
      <w:r>
        <w:t xml:space="preserve">If a Timefold booking prototype is pursued, use a small copied technician/day/window problem with existing commitments pinned or equivalently constrained. Define candidate offer enumeration and completion outside the solver, and preserve independent validation and reservation witnesses. List variables can represent visit order, but assigning routes does not automatically implement WaterFlex's booking protocol. See C01, C02, and the </w:t>
      </w:r>
      <w:hyperlink r:id="rId14">
        <w:r>
          <w:rPr>
            <w:color w:val="205781"/>
          </w:rPr>
          <w:t>planning list variable guidance</w:t>
        </w:r>
      </w:hyperlink>
      <w:r>
        <w:t>.</w:t>
      </w:r>
    </w:p>
    <w:p>
      <w:pPr>
        <w:keepLines w:val="0"/>
      </w:pPr>
      <w:r>
        <w:rPr>
          <w:b/>
        </w:rPr>
        <w:t xml:space="preserve">Why this helps: </w:t>
      </w:r>
      <w:r>
        <w:t>A constrained prototype tests whether Timefold improves the actual booking decision under the same deadline. The tradeoff is model and integration complexity. Managed Field Service Routing is a separate product evaluation involving its API, model fit, and commercial terms; this report does not treat it as a tested replacement.</w:t>
      </w:r>
    </w:p>
    <w:p>
      <w:pPr>
        <w:keepLines w:val="0"/>
      </w:pPr>
      <w:r>
        <w:rPr>
          <w:b/>
        </w:rPr>
        <w:t xml:space="preserve">Acceptance: </w:t>
      </w:r>
      <w:r>
        <w:t>Validate promises, no-new-overtime, directed routing, completeness flags, cancellation, and offered arrangements before measuring. Compare identical served demand and report incomplete search separately from proven infeasibility. A faster response with fewer useful offers is not automatically better.</w:t>
      </w:r>
    </w:p>
    <w:p>
      <w:pPr>
        <w:pStyle w:val="Heading2"/>
      </w:pPr>
      <w:r>
        <w:t>TF08 Test business rules independently of final solve quality</w:t>
      </w:r>
    </w:p>
    <w:p>
      <w:pPr>
        <w:keepLines w:val="0"/>
      </w:pPr>
      <w:r>
        <w:rPr>
          <w:b/>
        </w:rPr>
        <w:t xml:space="preserve">Current behavior: </w:t>
      </w:r>
      <w:r>
        <w:t>DayConstraintProviderTest and SolverExperimentTest use FULL_ASSERT in short runs, but broad route/fleet penalties combine many rules and there are no ConstraintVerifier tests. The inspected maintenance workflow does not schedule extended runs in both full assertion modes. Runtime configurations explicitly use NO_ASSERT. Evidence: C05, C13, and C14. Classification: Medium, source-confirmed coverage gap.</w:t>
      </w:r>
    </w:p>
    <w:p>
      <w:pPr>
        <w:keepLines w:val="0"/>
      </w:pPr>
      <w:r>
        <w:rPr>
          <w:b/>
        </w:rPr>
        <w:t xml:space="preserve">Consequence: </w:t>
      </w:r>
      <w:r>
        <w:t>A final feasible route may never exercise an incorrect penalty, move undo, or shadow update. FULL_ASSERT checks internal consistency, but it cannot establish that the business formula itself is right. The monetary example demonstrates why agreement alone is insufficient.</w:t>
      </w:r>
    </w:p>
    <w:p>
      <w:pPr>
        <w:keepLines w:val="0"/>
      </w:pPr>
      <w:r>
        <w:rPr>
          <w:b/>
        </w:rPr>
        <w:t xml:space="preserve">Guidance and change: </w:t>
      </w:r>
      <w:r>
        <w:t xml:space="preserve">Add focused constraint tests with known expected scores, preserve independent exhaustive timing tests, and schedule bounded FULL_ASSERT and NON_INTRUSIVE_FULL_ASSERT campaigns. The guide explains that the modes catch different errors. Evaluate PHASE_ASSERT as the production/development default recommended by the newer guide through a separate version-compatible change; use a named NO_ASSERT profile for matched performance experiments rather than silently changing production. </w:t>
      </w:r>
      <w:hyperlink r:id="rId20">
        <w:r>
          <w:rPr>
            <w:color w:val="205781"/>
          </w:rPr>
          <w:t>Guide section 32.1</w:t>
        </w:r>
      </w:hyperlink>
      <w:r/>
    </w:p>
    <w:p>
      <w:pPr>
        <w:keepLines w:val="0"/>
      </w:pPr>
      <w:r>
        <w:rPr>
          <w:b/>
        </w:rPr>
        <w:t xml:space="preserve">Why this helps: </w:t>
      </w:r>
      <w:r>
        <w:t>Tests distinguish business semantics from incremental engine correctness. Assertions are intentionally expensive and must not be enabled in one timed treatment but disabled in another. In Timefold 2.x, use the constraint testing APIs supplied with core rather than adding the removed 1.x test artifact.</w:t>
      </w:r>
    </w:p>
    <w:p>
      <w:pPr>
        <w:keepLines w:val="0"/>
      </w:pPr>
      <w:r>
        <w:rPr>
          <w:b/>
        </w:rPr>
        <w:t xml:space="preserve">Acceptance: </w:t>
      </w:r>
      <w:r>
        <w:t>Cover qualifications, exclusive window boundaries, absences, return travel, capacities, target violations, and weighted fairness with positive and negative cases. Include clone isolation and move/undo on infeasible inputs. A zero hard score never replaces demand-coverage validation.</w:t>
      </w:r>
    </w:p>
    <w:p>
      <w:pPr>
        <w:pStyle w:val="Heading2"/>
      </w:pPr>
      <w:r>
        <w:t>TF09 Isolate diagnostics that depend on Timefold internals</w:t>
      </w:r>
    </w:p>
    <w:p>
      <w:pPr>
        <w:keepLines w:val="0"/>
      </w:pPr>
      <w:r>
        <w:rPr>
          <w:b/>
        </w:rPr>
        <w:t xml:space="preserve">Current behavior: </w:t>
      </w:r>
      <w:r>
        <w:t>Production DailySolver delegates to SolverExperiment, which casts to DefaultSolver and uses internal phase/scope types. The engine label is hard-coded and stop reasons are inferred from elapsed time and counters. Evidence: C04 and C05. Classification: Medium, source-confirmed upgrade risk; no pinned-version failure was observed.</w:t>
      </w:r>
    </w:p>
    <w:p>
      <w:pPr>
        <w:keepLines w:val="0"/>
      </w:pPr>
      <w:r>
        <w:rPr>
          <w:b/>
        </w:rPr>
        <w:t xml:space="preserve">Consequence: </w:t>
      </w:r>
      <w:r>
        <w:t>An internal API change can break ordinary solving because diagnostic access and engine execution are coupled. An inferred PHASE_COMPLETED result also says neither that the optimum was found nor that every visit was served.</w:t>
      </w:r>
    </w:p>
    <w:p>
      <w:pPr>
        <w:keepLines w:val="0"/>
      </w:pPr>
      <w:r>
        <w:rPr>
          <w:b/>
        </w:rPr>
        <w:t xml:space="preserve">Guidance and change: </w:t>
      </w:r>
      <w:r>
        <w:t xml:space="preserve">Separate a public engine adapter from experiment diagnostics. Prefer public metrics and lifecycle hooks, isolate unavoidable internal access behind an exact-version adapter, and derive provenance from loaded artifacts. Label inferred termination explicitly and preserve unknown reasons rather than inventing certainty. </w:t>
      </w:r>
      <w:hyperlink r:id="rId16">
        <w:r>
          <w:rPr>
            <w:color w:val="205781"/>
          </w:rPr>
          <w:t>Guide chapter 25</w:t>
        </w:r>
      </w:hyperlink>
      <w:r>
        <w:t xml:space="preserve"> </w:t>
      </w:r>
      <w:hyperlink r:id="rId20">
        <w:r>
          <w:rPr>
            <w:color w:val="205781"/>
          </w:rPr>
          <w:t>Guide chapter 32</w:t>
        </w:r>
      </w:hyperlink>
      <w:r/>
    </w:p>
    <w:p>
      <w:pPr>
        <w:keepLines w:val="0"/>
      </w:pPr>
      <w:r>
        <w:rPr>
          <w:b/>
        </w:rPr>
        <w:t xml:space="preserve">Why this helps: </w:t>
      </w:r>
      <w:r>
        <w:t>Upgrades have a smaller compatibility boundary and diagnostic failures have a deliberate policy. For performance campaigns, missing required diagnostics should invalidate the case with retained evidence. For production, optional telemetry failure should follow an explicit policy rather than accidentally aborting a valid solve.</w:t>
      </w:r>
    </w:p>
    <w:p>
      <w:pPr>
        <w:keepLines w:val="0"/>
      </w:pPr>
      <w:r>
        <w:rPr>
          <w:b/>
        </w:rPr>
        <w:t xml:space="preserve">Acceptance: </w:t>
      </w:r>
      <w:r>
        <w:t>Upgrade checks exercise all variants, loaded version provenance, score equivalence, unknown metrics, and termination labels. Nullability remains explicit; unavailable measurements are never replaced with zero.</w:t>
      </w:r>
    </w:p>
    <w:p>
      <w:pPr>
        <w:pStyle w:val="Heading2"/>
      </w:pPr>
      <w:r>
        <w:t>TF11 Document the policy the application actually enforces</w:t>
      </w:r>
    </w:p>
    <w:p>
      <w:pPr>
        <w:keepLines w:val="0"/>
      </w:pPr>
      <w:r>
        <w:rPr>
          <w:b/>
        </w:rPr>
        <w:t xml:space="preserve">Current behavior: </w:t>
      </w:r>
      <w:r>
        <w:t>README describes a shared two-percent booking/daily fairness allowance and scarcity/utilization-based authorization of new overtime. Current booking is strict cost-first with fairness ties, and SchedulingPolicy.authorizeOvertime returns false. Evidence: C02, C06, and C15. Classification: Medium, source-confirmed documentation error.</w:t>
      </w:r>
    </w:p>
    <w:p>
      <w:pPr>
        <w:keepLines w:val="0"/>
      </w:pPr>
      <w:r>
        <w:rPr>
          <w:b/>
        </w:rPr>
        <w:t xml:space="preserve">Consequence: </w:t>
      </w:r>
      <w:r>
        <w:t>An engineer could benchmark the wrong acceptance rule or interpret deliberately rejected overtime as a solver defect. Algorithm quality only has meaning relative to the real policy.</w:t>
      </w:r>
    </w:p>
    <w:p>
      <w:pPr>
        <w:keepLines w:val="0"/>
      </w:pPr>
      <w:r>
        <w:rPr>
          <w:b/>
        </w:rPr>
        <w:t xml:space="preserve">Guidance and change: </w:t>
      </w:r>
      <w:r>
        <w:t xml:space="preserve">Timefold's score model formalizes priorities, but the business choices belong to WaterFlex. Correct the canonical policy and linked experiment explanations together when implementing remediation. Distinguish booking ties from daily fairness headroom, state that return travel counts, and explain bounded completion. </w:t>
      </w:r>
      <w:hyperlink r:id="rId15">
        <w:r>
          <w:rPr>
            <w:color w:val="205781"/>
          </w:rPr>
          <w:t>Guide chapter 12</w:t>
        </w:r>
      </w:hyperlink>
      <w:r/>
    </w:p>
    <w:p>
      <w:pPr>
        <w:keepLines w:val="0"/>
      </w:pPr>
      <w:r>
        <w:rPr>
          <w:b/>
        </w:rPr>
        <w:t xml:space="preserve">Why this helps: </w:t>
      </w:r>
      <w:r>
        <w:t>Readers can derive expected acceptance from the documentation, and experiments can preserve policy instead of optimizing an accidental interpretation. This audit records the discrepancy; it does not authorize a policy change or claim the README was corrected here.</w:t>
      </w:r>
    </w:p>
    <w:p>
      <w:pPr>
        <w:keepLines w:val="0"/>
      </w:pPr>
      <w:r>
        <w:rPr>
          <w:b/>
        </w:rPr>
        <w:t xml:space="preserve">Acceptance: </w:t>
      </w:r>
      <w:r>
        <w:t>Documentation examples agree with policy tests for overtime, cost ties, fairness ceilings, and frozen days. Review configuration gates as well as variant names.</w:t>
      </w:r>
    </w:p>
    <w:p>
      <w:pPr>
        <w:pStyle w:val="Heading1"/>
      </w:pPr>
      <w:r>
        <w:t>Computational improvements worth measuring</w:t>
      </w:r>
    </w:p>
    <w:p>
      <w:pPr>
        <w:pStyle w:val="Heading2"/>
      </w:pPr>
      <w:r>
        <w:t>TF13 Prepare invariant route facts once</w:t>
      </w:r>
    </w:p>
    <w:p>
      <w:pPr>
        <w:keepLines w:val="0"/>
      </w:pPr>
      <w:r>
        <w:rPr>
          <w:b/>
        </w:rPr>
        <w:t xml:space="preserve">Current behavior: </w:t>
      </w:r>
      <w:r>
        <w:t>RouteScoringFacts.evaluate constructs a temporary DayPlan for each route evaluation. That constructor prepares demanded-service data that the timing path does not need. Capacity and eligibility are recomputed, and RouteTimeline sorts absences and rebuilds availability, including work repeated in its infeasible fallback. Evidence: C10 and C12. Classification: Medium, source-confirmed redundant preparation; speed benefit unmeasured.</w:t>
      </w:r>
    </w:p>
    <w:p>
      <w:pPr>
        <w:keepLines w:val="0"/>
      </w:pPr>
      <w:r>
        <w:rPr>
          <w:b/>
        </w:rPr>
        <w:t xml:space="preserve">Consequence: </w:t>
      </w:r>
      <w:r>
        <w:t>Local search evaluates many tentative moves. Work that is small once can become expensive when repeated for every changed route. These preparations depend mainly on fixed facts such as shifts and absences rather than on the proposed visit order.</w:t>
      </w:r>
    </w:p>
    <w:p>
      <w:pPr>
        <w:keepLines w:val="0"/>
      </w:pPr>
      <w:r>
        <w:rPr>
          <w:b/>
        </w:rPr>
        <w:t xml:space="preserve">Guidance and change: </w:t>
      </w:r>
      <w:r>
        <w:t xml:space="preserve">The performance guide recommends removing unnecessary score work and using incremental calculation. Prepare immutable per-technician availability, capacity, eligibility, and routing context before solving. Pass a compact timing context instead of constructing a temporary planning solution. Precompute only values independent of assignment; paid time and route feasibility still depend on the move. </w:t>
      </w:r>
      <w:hyperlink r:id="rId17">
        <w:r>
          <w:rPr>
            <w:color w:val="205781"/>
          </w:rPr>
          <w:t>Guide sections 16.2 and 16.3</w:t>
        </w:r>
      </w:hyperlink>
      <w:r/>
    </w:p>
    <w:p>
      <w:pPr>
        <w:keepLines w:val="0"/>
      </w:pPr>
      <w:r>
        <w:rPr>
          <w:b/>
        </w:rPr>
        <w:t xml:space="preserve">Why this helps: </w:t>
      </w:r>
      <w:r>
        <w:t>Fewer allocations and repeated sorts leave more of the same time allowance for useful evaluation. The tradeoff is invalidation complexity: rates, buffers, absences, shifts, skills, and routing identity must rebuild the appropriate facts. Precomputed dense road matrices may waste memory when the problem needs only sparse directed pairs.</w:t>
      </w:r>
    </w:p>
    <w:p>
      <w:pPr>
        <w:keepLines w:val="0"/>
      </w:pPr>
      <w:r>
        <w:rPr>
          <w:b/>
        </w:rPr>
        <w:t xml:space="preserve">Acceptance: </w:t>
      </w:r>
      <w:r>
        <w:t>Differentially compare feasible and infeasible timing, overlapping absences, return travel, qualifications, missing legs, changed buffers, and clone isolation. Measure preparation time, allocations, move throughput, and accepted quality separately. Implement this before more invasive timing-state compression because equivalence is easier to establish.</w:t>
      </w:r>
    </w:p>
    <w:p>
      <w:pPr>
        <w:pStyle w:val="Heading2"/>
      </w:pPr>
      <w:r>
        <w:t>TF12 Replace repeated fleet scans with equivalent incremental totals</w:t>
      </w:r>
    </w:p>
    <w:p>
      <w:pPr>
        <w:keepLines w:val="0"/>
      </w:pPr>
      <w:r>
        <w:rPr>
          <w:b/>
        </w:rPr>
        <w:t xml:space="preserve">Current behavior: </w:t>
      </w:r>
      <w:r>
        <w:t>Constraint Streams reuse unchanged route tuples, which is already valuable. The fleet group collects all route results into a list, then cost, target violations, and fairness repeatedly scan that list. Fairness also builds diagnostic workload objects. Evidence: C10 and C13. Classification: Medium, source-confirmed optimization opportunity.</w:t>
      </w:r>
    </w:p>
    <w:p>
      <w:pPr>
        <w:keepLines w:val="0"/>
      </w:pPr>
      <w:r>
        <w:rPr>
          <w:b/>
        </w:rPr>
        <w:t xml:space="preserve">Consequence: </w:t>
      </w:r>
      <w:r>
        <w:t>Moving one visit can require fleet-wide aggregation even when only one or two route timelines changed. Incremental route scoring therefore does not make the whole score calculation incremental. Larger fleets can spend more time aggregating unchanged values.</w:t>
      </w:r>
    </w:p>
    <w:p>
      <w:pPr>
        <w:keepLines w:val="0"/>
      </w:pPr>
      <w:r>
        <w:rPr>
          <w:b/>
        </w:rPr>
        <w:t xml:space="preserve">Guidance and change: </w:t>
      </w:r>
      <w:r>
        <w:t xml:space="preserve">Use reversible scalar collectors for the totals needed by the exact cost and fairness definitions. Maintain paid minutes, overtime, mileage, and policy-equivalent fairness components on add/remove. Keep diagnostic object construction outside the hot score path. Timefold's standard load-balancing collector is worth evaluating only if it represents our policy; it is not automatically equivalent to capacity-weighted utilization variance. </w:t>
      </w:r>
      <w:hyperlink r:id="rId17">
        <w:r>
          <w:rPr>
            <w:color w:val="205781"/>
          </w:rPr>
          <w:t>Guide section 16.3</w:t>
        </w:r>
      </w:hyperlink>
      <w:r/>
    </w:p>
    <w:p>
      <w:pPr>
        <w:keepLines w:val="0"/>
      </w:pPr>
      <w:r>
        <w:rPr>
          <w:b/>
        </w:rPr>
        <w:t xml:space="preserve">Why this helps: </w:t>
      </w:r>
      <w:r>
        <w:t>Updating sufficient totals can reduce work from rescanning the fleet to updating changed contributions. However, different decimal rounding order can alter a weighted variance even when formulas are algebraically equivalent. First specify exact money and required fairness precision. Do not substitute an easier equal-load objective for the current capacity-aware policy.</w:t>
      </w:r>
    </w:p>
    <w:p>
      <w:pPr>
        <w:keepLines w:val="0"/>
      </w:pPr>
      <w:r>
        <w:rPr>
          <w:b/>
        </w:rPr>
        <w:t xml:space="preserve">Acceptance: </w:t>
      </w:r>
      <w:r>
        <w:t>Add/remove and move/undo sequences must agree with the independent oracle for cents, target violations, and fairness precision. Include unequal capacities, no eligible capacity, empty routes, one-technician fleets, and absences. Demonstrate throughput and equal-budget quality improvements across fleet sizes before adopting the extra collector complexity.</w:t>
      </w:r>
    </w:p>
    <w:p>
      <w:pPr>
        <w:pStyle w:val="Heading2"/>
      </w:pPr>
      <w:r>
        <w:t>TF14 Bound expanded booking work before allocating arrangements</w:t>
      </w:r>
    </w:p>
    <w:p>
      <w:pPr>
        <w:keepLines w:val="0"/>
      </w:pPr>
      <w:r>
        <w:rPr>
          <w:b/>
        </w:rPr>
        <w:t xml:space="preserve">Current behavior: </w:t>
      </w:r>
      <w:r>
        <w:t>Above six shortlisted routes, expanded neighbor generation materializes relocation, swap, and reversal descriptors. moveTravel applies moves and constructs arrangements before sorting and truncating them. The ordinary six-route BOUNDED path already limits and interleaves move families. Evidence: C02. Classification: Medium, source-confirmed opportunity concentrated in expanded variants.</w:t>
      </w:r>
    </w:p>
    <w:p>
      <w:pPr>
        <w:keepLines w:val="0"/>
      </w:pPr>
      <w:r>
        <w:rPr>
          <w:b/>
        </w:rPr>
        <w:t xml:space="preserve">Consequence: </w:t>
      </w:r>
      <w:r>
        <w:t>Work spent allocating discarded candidates consumes the same deadline that could evaluate retained candidates. This explains a plausible bottleneck; it does not establish a measured speedup or show that the default path has the same problem.</w:t>
      </w:r>
    </w:p>
    <w:p>
      <w:pPr>
        <w:keepLines w:val="0"/>
      </w:pPr>
      <w:r>
        <w:rPr>
          <w:b/>
        </w:rPr>
        <w:t xml:space="preserve">Guidance and change: </w:t>
      </w:r>
      <w:r>
        <w:t xml:space="preserve">Timefold's move-selector guidance explains why just-in-time generation avoids storing huge neighborhoods. Apply that principle to the custom booking algorithm through bounded top-k selection or lazy generation, using cheap directed-edge deltas before constructing full arrangements. Preserve stable tie order and the intended candidate families. </w:t>
      </w:r>
      <w:hyperlink r:id="rId19">
        <w:r>
          <w:rPr>
            <w:color w:val="205781"/>
          </w:rPr>
          <w:t>Guide section 42.1</w:t>
        </w:r>
      </w:hyperlink>
      <w:r/>
    </w:p>
    <w:p>
      <w:pPr>
        <w:keepLines w:val="0"/>
      </w:pPr>
      <w:r>
        <w:rPr>
          <w:b/>
        </w:rPr>
        <w:t xml:space="preserve">Why this helps: </w:t>
      </w:r>
      <w:r>
        <w:t>The search can spend less time preparing candidates it will never inspect. But changing generation order changes which candidates receive time before cancellation. A geometric approximation is not automatically a safe pruning bound on road cost or feasibility. Treat allocation reduction and search-quality change as separate claims.</w:t>
      </w:r>
    </w:p>
    <w:p>
      <w:pPr>
        <w:keepLines w:val="0"/>
      </w:pPr>
      <w:r>
        <w:rPr>
          <w:b/>
        </w:rPr>
        <w:t xml:space="preserve">Acceptance: </w:t>
      </w:r>
      <w:r>
        <w:t>Compare candidate order and coverage on exhaustive small cases with asymmetric roads and ties. Validate interruption, required-leg collection, returned offers, and incomplete flags. Measure generated descriptors, materialized arrangements, allocation, offer quality, and full-request latency.</w:t>
      </w:r>
    </w:p>
    <w:p>
      <w:pPr>
        <w:pStyle w:val="Heading2"/>
      </w:pPr>
      <w:r>
        <w:t>Scale independent work before splitting a coupled problem</w:t>
      </w:r>
    </w:p>
    <w:p>
      <w:pPr>
        <w:keepLines w:val="0"/>
      </w:pPr>
      <w:r>
        <w:rPr>
          <w:b/>
        </w:rPr>
        <w:t xml:space="preserve">Current behavior: </w:t>
      </w:r>
      <w:r>
        <w:t>Requests already use separate solver instances, and admission bounds expensive work. Road matrix preparation contains sequential cold-pair work. Fleet cost rounding and fairness couple routes, so partitioning technicians would change the optimization problem. See C03, C10, C11, and C16.</w:t>
      </w:r>
    </w:p>
    <w:p>
      <w:pPr>
        <w:keepLines w:val="0"/>
      </w:pPr>
      <w:r>
        <w:rPr>
          <w:b/>
        </w:rPr>
        <w:t xml:space="preserve">Guidance and change: </w:t>
      </w:r>
      <w:r>
        <w:t xml:space="preserve">Begin with bounded parallelism across independent metro/day snapshots or requests, counting all CPU consumers. Separately evaluate a small routing worker pool after confirming GraphHopper thread safety, single-flight cache behavior, cancellation, and routing identity. Enterprise move threads require safe rebasing and fixed worker counts for reproducibility. Partitioned search requires constraints that do not cross partitions. </w:t>
      </w:r>
      <w:hyperlink r:id="rId21">
        <w:r>
          <w:rPr>
            <w:color w:val="205781"/>
          </w:rPr>
          <w:t>Multithreaded solving guidance</w:t>
        </w:r>
      </w:hyperlink>
      <w:r/>
    </w:p>
    <w:p>
      <w:pPr>
        <w:keepLines w:val="0"/>
      </w:pPr>
      <w:r>
        <w:rPr>
          <w:b/>
        </w:rPr>
        <w:t xml:space="preserve">Why this helps: </w:t>
      </w:r>
      <w:r>
        <w:t>Independent jobs retain the full optimization objective. More threads can reduce individual latency or improve throughput, but can also slow every request through shared caches, memory bandwidth, GC, and queueing. A dedicated client process does not fix an unscoped database query. Quarkus, native images, Enterprise node sharing, and multi-bet solving are separate experiments with deployment or licensing costs, not architectural prerequisites.</w:t>
      </w:r>
    </w:p>
    <w:p>
      <w:pPr>
        <w:keepLines w:val="0"/>
      </w:pPr>
      <w:r>
        <w:rPr>
          <w:b/>
        </w:rPr>
        <w:t xml:space="preserve">Acceptance: </w:t>
      </w:r>
      <w:r>
        <w:t>Use the same binary and snapshots for serial versus concurrent studies, record total CPU and memory limits, and measure throughput together with p95 latency and quality. No thread count or framework switch should be selected from vendor charts or a run on a different revision.</w:t>
      </w:r>
    </w:p>
    <w:p>
      <w:pPr>
        <w:pStyle w:val="Heading1"/>
        <w:pageBreakBefore/>
      </w:pPr>
      <w:r>
        <w:t>Benchmark redesign</w:t>
      </w:r>
    </w:p>
    <w:p>
      <w:pPr>
        <w:pStyle w:val="Heading2"/>
      </w:pPr>
      <w:r>
        <w:t>TF07 Measure the question we intend to answer</w:t>
      </w:r>
    </w:p>
    <w:p>
      <w:pPr>
        <w:keepLines w:val="0"/>
      </w:pPr>
      <w:r>
        <w:rPr>
          <w:b/>
        </w:rPr>
        <w:t xml:space="preserve">Current behavior: </w:t>
      </w:r>
      <w:r>
        <w:t>Each daily case launches a fresh JVM, warms the selected strategy for 200 ms on SPARSE/20, then measures a synthetic case. Solver seeds change search on fixed geography. The daily-budget archive ran ten cases concurrently, with each process assigned a physical core and configured with ActiveProcessorCount=2 and SerialGC. The current analysis preserves pairings, missing values, and seed ranges, but those ranges are descriptive rather than confidence intervals. Evidence: C17 through C20. Classification: Medium, confirmed method gap; direction and size of warmup bias remain unmeasured.</w:t>
      </w:r>
    </w:p>
    <w:p>
      <w:pPr>
        <w:keepLines w:val="0"/>
      </w:pPr>
      <w:r>
        <w:rPr>
          <w:b/>
        </w:rPr>
        <w:t xml:space="preserve">Consequence: </w:t>
      </w:r>
      <w:r>
        <w:t>Compilation, processor boost, memory contention, and workload choice can influence the apparent winner. A long case may eventually warm itself, but the amount of search lost during early compilation can differ by configuration. Affinity prevents sharing one core; it does not isolate shared cache, memory bandwidth, or thermal limits. Ten seeds on one geometry measure search variability on that geometry, not ten different customers or service regions.</w:t>
      </w:r>
    </w:p>
    <w:p>
      <w:pPr>
        <w:keepLines w:val="0"/>
      </w:pPr>
      <w:r>
        <w:rPr>
          <w:b/>
        </w:rPr>
        <w:t xml:space="preserve">Guidance and change: </w:t>
      </w:r>
      <w:r>
        <w:t xml:space="preserve">The local guide's chapter 31 describes explicit solver comparisons, reusable input solutions, warmup, repeated sub-runs, and score/statistic histories. Adopt these capabilities in a dedicated native benchmark layer, while preserving our archive and policy evaluation. The official benchmarker defaults to thirty seconds of warmup and one sequential benchmark; repeated sub-runs must be configured. These defaults are starting points, not proof that WaterFlex is warmed or statistically representative. </w:t>
      </w:r>
      <w:hyperlink r:id="rId22">
        <w:r>
          <w:rPr>
            <w:color w:val="205781"/>
          </w:rPr>
          <w:t>Guide chapter 31</w:t>
        </w:r>
      </w:hyperlink>
      <w:r/>
    </w:p>
    <w:p>
      <w:pPr>
        <w:keepLines w:val="0"/>
      </w:pPr>
      <w:r>
        <w:rPr>
          <w:b/>
        </w:rPr>
        <w:t xml:space="preserve">Why this helps: </w:t>
      </w:r>
      <w:r>
        <w:t>A layered protocol makes a measured difference interpretable. It separates faster score calculation from better final decisions, and isolated solver quality from customer-visible service behavior. The cost is a richer dataset contract and more disciplined experiment management. It is smaller and safer than replacing a provenance system that already works.</w:t>
      </w:r>
    </w:p>
    <w:p>
      <w:pPr>
        <w:keepLines w:val="0"/>
      </w:pPr>
      <w:r>
        <w:rPr>
          <w:b/>
        </w:rPr>
        <w:t xml:space="preserve">Acceptance: </w:t>
      </w:r>
      <w:r>
        <w:t>A campaign must identify its question, baseline, independent datasets, repeated seeds/processes, time/resource envelope, outcome metrics, exclusions, and decision rule before measurement. Smoke runs demonstrate harness operation only. Neither a native report nor a large case count automatically establishes production value.</w:t>
      </w:r>
    </w:p>
    <w:p>
      <w:pPr>
        <w:pStyle w:val="Heading2"/>
      </w:pPr>
      <w:r>
        <w:t>Three layers with explicit responsibilities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00"/>
        <w:gridCol w:w="3960"/>
        <w:gridCol w:w="4320"/>
      </w:tblGrid>
      <w:tr>
        <w:trPr>
          <w:cantSplit/>
          <w:tblHeader/>
        </w:trPr>
        <w:tc>
          <w:tcPr>
            <w:tcW w:type="dxa" w:w="1800"/>
            <w:vAlign w:val="center"/>
            <w:tcMar>
              <w:top w:w="100" w:type="dxa"/>
              <w:left w:w="100" w:type="dxa"/>
              <w:bottom w:w="100" w:type="dxa"/>
              <w:right w:w="100" w:type="dxa"/>
            </w:tcMar>
            <w:shd w:fill="DDEBF7"/>
          </w:tcPr>
          <w:p>
            <w:pPr>
              <w:keepNext/>
              <w:widowControl/>
              <w:spacing w:after="40" w:before="40" w:line="250" w:lineRule="auto"/>
            </w:pPr>
            <w:r>
              <w:rPr>
                <w:b/>
                <w:color w:val="000000"/>
                <w:sz w:val="20"/>
              </w:rPr>
              <w:t>Layer</w:t>
            </w:r>
          </w:p>
        </w:tc>
        <w:tc>
          <w:tcPr>
            <w:tcW w:type="dxa" w:w="3960"/>
            <w:vAlign w:val="center"/>
            <w:tcMar>
              <w:top w:w="100" w:type="dxa"/>
              <w:left w:w="100" w:type="dxa"/>
              <w:bottom w:w="100" w:type="dxa"/>
              <w:right w:w="100" w:type="dxa"/>
            </w:tcMar>
            <w:shd w:fill="DDEBF7"/>
          </w:tcPr>
          <w:p>
            <w:pPr>
              <w:keepNext/>
              <w:widowControl/>
              <w:spacing w:after="40" w:before="40" w:line="250" w:lineRule="auto"/>
            </w:pPr>
            <w:r>
              <w:rPr>
                <w:b/>
                <w:color w:val="000000"/>
                <w:sz w:val="20"/>
              </w:rPr>
              <w:t>What it measures</w:t>
            </w:r>
          </w:p>
        </w:tc>
        <w:tc>
          <w:tcPr>
            <w:tcW w:type="dxa" w:w="4320"/>
            <w:vAlign w:val="center"/>
            <w:tcMar>
              <w:top w:w="100" w:type="dxa"/>
              <w:left w:w="100" w:type="dxa"/>
              <w:bottom w:w="100" w:type="dxa"/>
              <w:right w:w="100" w:type="dxa"/>
            </w:tcMar>
            <w:shd w:fill="DDEBF7"/>
          </w:tcPr>
          <w:p>
            <w:pPr>
              <w:keepNext/>
              <w:widowControl/>
              <w:spacing w:after="40" w:before="40" w:line="250" w:lineRule="auto"/>
            </w:pPr>
            <w:r>
              <w:rPr>
                <w:b/>
                <w:color w:val="000000"/>
                <w:sz w:val="20"/>
              </w:rPr>
              <w:t>Proposed mechanism</w:t>
            </w:r>
          </w:p>
        </w:tc>
      </w:tr>
      <w:tr>
        <w:trPr>
          <w:cantSplit/>
        </w:trPr>
        <w:tc>
          <w:tcPr>
            <w:tcW w:type="dxa" w:w="1800"/>
            <w:vAlign w:val="center"/>
            <w:tcMar>
              <w:top w:w="100" w:type="dxa"/>
              <w:left w:w="100" w:type="dxa"/>
              <w:bottom w:w="100" w:type="dxa"/>
              <w:right w:w="100" w:type="dxa"/>
            </w:tcMar>
            <w:shd w:fill="FFFFFF"/>
          </w:tcPr>
          <w:p>
            <w:pPr>
              <w:widowControl/>
              <w:spacing w:after="40" w:before="40" w:line="250" w:lineRule="auto"/>
            </w:pPr>
            <w:r>
              <w:rPr>
                <w:b/>
                <w:color w:val="000000"/>
                <w:sz w:val="20"/>
              </w:rPr>
              <w:t>A Fixed solver problem</w:t>
            </w:r>
          </w:p>
        </w:tc>
        <w:tc>
          <w:tcPr>
            <w:tcW w:type="dxa" w:w="3960"/>
            <w:vAlign w:val="center"/>
            <w:tcMar>
              <w:top w:w="100" w:type="dxa"/>
              <w:left w:w="100" w:type="dxa"/>
              <w:bottom w:w="100" w:type="dxa"/>
              <w:right w:w="100" w:type="dxa"/>
            </w:tcMar>
            <w:shd w:fill="FFFFFF"/>
          </w:tcPr>
          <w:p>
            <w:pPr>
              <w:widowControl/>
              <w:spacing w:after="40" w:before="40" w:line="250" w:lineRule="auto"/>
            </w:pPr>
            <w:r>
              <w:rPr>
                <w:b w:val="0"/>
                <w:color w:val="000000"/>
                <w:sz w:val="20"/>
              </w:rPr>
              <w:t>Which configuration finds a better valid solution to the same reference or fairness problem at the same allowance?</w:t>
            </w:r>
          </w:p>
        </w:tc>
        <w:tc>
          <w:tcPr>
            <w:tcW w:type="dxa" w:w="4320"/>
            <w:vAlign w:val="center"/>
            <w:tcMar>
              <w:top w:w="100" w:type="dxa"/>
              <w:left w:w="100" w:type="dxa"/>
              <w:bottom w:w="100" w:type="dxa"/>
              <w:right w:w="100" w:type="dxa"/>
            </w:tcMar>
            <w:shd w:fill="FFFFFF"/>
          </w:tcPr>
          <w:p>
            <w:pPr>
              <w:widowControl/>
              <w:spacing w:after="40" w:before="40" w:line="250" w:lineRule="auto"/>
            </w:pPr>
            <w:r>
              <w:rPr>
                <w:b w:val="0"/>
                <w:color w:val="000000"/>
                <w:sz w:val="20"/>
              </w:rPr>
              <w:t>Native Timefold Benchmarker on frozen DayPlan inputs with independent validation of outputs. No database or live routing in the measured solve.</w:t>
            </w:r>
          </w:p>
        </w:tc>
      </w:tr>
      <w:tr>
        <w:trPr>
          <w:cantSplit/>
        </w:trPr>
        <w:tc>
          <w:tcPr>
            <w:tcW w:type="dxa" w:w="1800"/>
            <w:vAlign w:val="center"/>
            <w:tcMar>
              <w:top w:w="100" w:type="dxa"/>
              <w:left w:w="100" w:type="dxa"/>
              <w:bottom w:w="100" w:type="dxa"/>
              <w:right w:w="100" w:type="dxa"/>
            </w:tcMar>
            <w:shd w:fill="F4F8FB"/>
          </w:tcPr>
          <w:p>
            <w:pPr>
              <w:widowControl/>
              <w:spacing w:after="40" w:before="40" w:line="250" w:lineRule="auto"/>
            </w:pPr>
            <w:r>
              <w:rPr>
                <w:b/>
                <w:color w:val="000000"/>
                <w:sz w:val="20"/>
              </w:rPr>
              <w:t>B Complete daily policy</w:t>
            </w:r>
          </w:p>
        </w:tc>
        <w:tc>
          <w:tcPr>
            <w:tcW w:type="dxa" w:w="3960"/>
            <w:vAlign w:val="center"/>
            <w:tcMar>
              <w:top w:w="100" w:type="dxa"/>
              <w:left w:w="100" w:type="dxa"/>
              <w:bottom w:w="100" w:type="dxa"/>
              <w:right w:w="100" w:type="dxa"/>
            </w:tcMar>
            <w:shd w:fill="F4F8FB"/>
          </w:tcPr>
          <w:p>
            <w:pPr>
              <w:widowControl/>
              <w:spacing w:after="40" w:before="40" w:line="250" w:lineRule="auto"/>
            </w:pPr>
            <w:r>
              <w:rPr>
                <w:b w:val="0"/>
                <w:color w:val="000000"/>
                <w:sz w:val="20"/>
              </w:rPr>
              <w:t>Does reference search followed by fairness produce a better accepted schedule under the actual combined budget?</w:t>
            </w:r>
          </w:p>
        </w:tc>
        <w:tc>
          <w:tcPr>
            <w:tcW w:type="dxa" w:w="4320"/>
            <w:vAlign w:val="center"/>
            <w:tcMar>
              <w:top w:w="100" w:type="dxa"/>
              <w:left w:w="100" w:type="dxa"/>
              <w:bottom w:w="100" w:type="dxa"/>
              <w:right w:w="100" w:type="dxa"/>
            </w:tcMar>
            <w:shd w:fill="F4F8FB"/>
          </w:tcPr>
          <w:p>
            <w:pPr>
              <w:widowControl/>
              <w:spacing w:after="40" w:before="40" w:line="250" w:lineRule="auto"/>
            </w:pPr>
            <w:r>
              <w:rPr>
                <w:b w:val="0"/>
                <w:color w:val="000000"/>
                <w:sz w:val="20"/>
              </w:rPr>
              <w:t>Retain and harden SolverBenchmark's orchestration, with production-equivalent policy and validation. Measure the whole pipeline and its phases.</w:t>
            </w:r>
          </w:p>
        </w:tc>
      </w:tr>
      <w:tr>
        <w:trPr>
          <w:cantSplit/>
        </w:trPr>
        <w:tc>
          <w:tcPr>
            <w:tcW w:type="dxa" w:w="1800"/>
            <w:vAlign w:val="center"/>
            <w:tcMar>
              <w:top w:w="100" w:type="dxa"/>
              <w:left w:w="100" w:type="dxa"/>
              <w:bottom w:w="100" w:type="dxa"/>
              <w:right w:w="100" w:type="dxa"/>
            </w:tcMar>
            <w:shd w:fill="FFFFFF"/>
          </w:tcPr>
          <w:p>
            <w:pPr>
              <w:widowControl/>
              <w:spacing w:after="40" w:before="40" w:line="250" w:lineRule="auto"/>
            </w:pPr>
            <w:r>
              <w:rPr>
                <w:b/>
                <w:color w:val="000000"/>
                <w:sz w:val="20"/>
              </w:rPr>
              <w:t>C Application workflow</w:t>
            </w:r>
          </w:p>
        </w:tc>
        <w:tc>
          <w:tcPr>
            <w:tcW w:type="dxa" w:w="3960"/>
            <w:vAlign w:val="center"/>
            <w:tcMar>
              <w:top w:w="100" w:type="dxa"/>
              <w:left w:w="100" w:type="dxa"/>
              <w:bottom w:w="100" w:type="dxa"/>
              <w:right w:w="100" w:type="dxa"/>
            </w:tcMar>
            <w:shd w:fill="FFFFFF"/>
          </w:tcPr>
          <w:p>
            <w:pPr>
              <w:widowControl/>
              <w:spacing w:after="40" w:before="40" w:line="250" w:lineRule="auto"/>
            </w:pPr>
            <w:r>
              <w:rPr>
                <w:b w:val="0"/>
                <w:color w:val="000000"/>
                <w:sz w:val="20"/>
              </w:rPr>
              <w:t>What latency, throughput, useful outcomes, and cleanup does the caller observe under load?</w:t>
            </w:r>
          </w:p>
        </w:tc>
        <w:tc>
          <w:tcPr>
            <w:tcW w:type="dxa" w:w="4320"/>
            <w:vAlign w:val="center"/>
            <w:tcMar>
              <w:top w:w="100" w:type="dxa"/>
              <w:left w:w="100" w:type="dxa"/>
              <w:bottom w:w="100" w:type="dxa"/>
              <w:right w:w="100" w:type="dxa"/>
            </w:tcMar>
            <w:shd w:fill="FFFFFF"/>
          </w:tcPr>
          <w:p>
            <w:pPr>
              <w:widowControl/>
              <w:spacing w:after="40" w:before="40" w:line="250" w:lineRule="auto"/>
            </w:pPr>
            <w:r>
              <w:rPr>
                <w:b w:val="0"/>
                <w:color w:val="000000"/>
                <w:sz w:val="20"/>
              </w:rPr>
              <w:t>Dedicated booking and daily API tests with controlled routing caches, queueing, database work, reservations, and cancellation.</w:t>
            </w:r>
          </w:p>
        </w:tc>
      </w:tr>
    </w:tbl>
    <w:p>
      <w:pPr>
        <w:spacing w:after="80" w:line="60" w:lineRule="exact"/>
      </w:pPr>
    </w:p>
    <w:p>
      <w:pPr>
        <w:keepLines w:val="0"/>
      </w:pPr>
      <w:r>
        <w:t>Layer A is appropriate for TF12/TF13 and algorithm tuning. Layer B establishes whether a local gain survives policy acceptance and phase allocation. Layer C tests architecture, admission, routing parallelism, or remote deployment. A better Layer A score cannot establish a Layer C latency improvement.</w:t>
      </w:r>
    </w:p>
    <w:p>
      <w:pPr>
        <w:keepLines w:val="0"/>
      </w:pPr>
      <w:r>
        <w:t>Native Benchmarker consumes one planning solution and its configured phases. Our daily pipeline sets the fairness target only after evaluating the reference result. Do not model that by blindly appending two local-search phases: the target transition and independent policy checks are application behavior. Keep that orchestration in Layer B.</w:t>
      </w:r>
    </w:p>
    <w:p>
      <w:pPr>
        <w:pStyle w:val="Heading2"/>
      </w:pPr>
      <w:r>
        <w:t>Use native Benchmarker without losing archive integrity</w:t>
      </w:r>
    </w:p>
    <w:p>
      <w:pPr>
        <w:keepLines w:val="0"/>
      </w:pPr>
      <w:r>
        <w:rPr>
          <w:b/>
        </w:rPr>
        <w:t xml:space="preserve">Current gap: </w:t>
      </w:r>
      <w:r>
        <w:t>The repository has a custom Java entry point and Python orchestration, but no native benchmark dependency. We manually collect selected totals and time-to-best; we do not retain the full native score/statistic histories. That makes search progression harder to diagnose and creates maintenance work for features the library already provides.</w:t>
      </w:r>
    </w:p>
    <w:p>
      <w:pPr>
        <w:keepLines w:val="0"/>
      </w:pPr>
      <w:r>
        <w:rPr>
          <w:b/>
        </w:rPr>
        <w:t xml:space="preserve">Proposed integration: </w:t>
      </w:r>
      <w:r>
        <w:t>Add timefold-solver-benchmark only to a benchmark/test dependency scope, pinned by the same BOM as solver core. Build explicit configurations from a shared configuration builder so benchmark and production settings cannot drift silently. Inherited native phases are appended rather than simply overridden, so inspect the effective phase list and avoid accidentally running duplicate local-search phases. Use a custom thread-safe SolutionFileIO adapter that reads a validated WaterFlex snapshot into fresh domain objects and writes replayable output. These are future implementation changes, not dependencies added by this report.</w:t>
      </w:r>
    </w:p>
    <w:p>
      <w:pPr>
        <w:keepLines w:val="0"/>
      </w:pPr>
      <w:r>
        <w:rPr>
          <w:b/>
        </w:rPr>
        <w:t xml:space="preserve">Configuration example: </w:t>
      </w:r>
      <w:r>
        <w:t>A Layer A reference batch uses warmUpSecondsSpentLimit=60, parallelBenchmarkCount=1, subSingleCount=5, environmentMode=NO_ASSERT, spentLimit=10s, and the TABU change/swap configuration. A matched batch uses LA change/swap. Sixty seconds is a provisional campaign default pending calibration. These are native property names described in guide sections 31.2 and 31.7; a full XML file must be validated against 2.6.0 before use. The warmup allowance applies to the benchmark invocation, not automatically to every treatment path or dataset. Separate batches and explicit warmup coverage prevent that assumption.</w:t>
      </w:r>
    </w:p>
    <w:p>
      <w:pPr>
        <w:keepLines w:val="0"/>
      </w:pPr>
      <w:r>
        <w:t>Keep SolverExperiment's existing cap-preservation regression when sharing configuration. Native output should be written outside build-clean directories, inside a new attempt directory, with raw result XML, statistic CSVs, report HTML, solved snapshots, effective config, and hashes. Keep generated bulk output out of source control while retaining compact receipts and summaries. Native HTML is useful for exploration; normalized WaterFlex results remain the comparison authority for business metrics.</w:t>
      </w:r>
    </w:p>
    <w:p>
      <w:pPr>
        <w:keepLines w:val="0"/>
      </w:pPr>
      <w:r>
        <w:t>Failure semantics need an adapter. The native benchmarker normally continues its remaining single benchmarks, writes its report, then fails if any case failed. Our outer runner stops dispatching after the first failed case. Define a native batch as the outer scheduling unit: allow native diagnostic completion inside that batch, retain each failed sub-run, then stop launching new batches. Never accept an incomplete report as a successful batch. Do not add automatic retries; an explicit resume creates a new attempt and retains the prior failure. See guide section 31.2.3 and C19.</w:t>
      </w:r>
    </w:p>
    <w:p>
      <w:pPr>
        <w:keepLines w:val="0"/>
      </w:pPr>
      <w:r>
        <w:rPr>
          <w:b/>
        </w:rPr>
        <w:t xml:space="preserve">Verification: </w:t>
      </w:r>
      <w:r>
        <w:t>Test effective configuration, phase count, native output import, unavailable statistics, solution read/write, failure propagation, interruption, and resume. Record the actual effective seed for every sub-run: native subSingleCount changes random seeds, and a sub-run index alone is not a reliable cross-engine pairing key. If a required seed schedule cannot be expressed faithfully, generate explicit single-run configurations instead.</w:t>
      </w:r>
    </w:p>
    <w:p>
      <w:pPr>
        <w:pStyle w:val="Heading2"/>
      </w:pPr>
      <w:r>
        <w:t>Dataset design separates coverage from repetition</w:t>
      </w:r>
    </w:p>
    <w:p>
      <w:pPr>
        <w:keepLines w:val="0"/>
      </w:pPr>
      <w:r>
        <w:rPr>
          <w:b/>
        </w:rPr>
        <w:t xml:space="preserve">Current gap: </w:t>
      </w:r>
      <w:r>
        <w:t>SolverBenchmarkData.create accepts fleet size and workload but no geography seed. Repeating seeds therefore reruns one deterministic directed-leg fixture per fleet/workload combination. These fixtures are valuable regression cases, but the eight geometries in the retained daily-budget study cannot represent the variety of actual operating days. Evidence: C18.</w:t>
      </w:r>
    </w:p>
    <w:p>
      <w:pPr>
        <w:keepLines w:val="0"/>
      </w:pPr>
      <w:r>
        <w:rPr>
          <w:b/>
        </w:rPr>
        <w:t xml:space="preserve">Proposed corpus: </w:t>
      </w:r>
      <w:r>
        <w:t>Keep legacy fixtures as a named regression cohort. Create a versioned synthetic generator with independent dataset seeds that vary positions or directed matrices, durations, skills, windows, absence placement, and initial assignments while enforcing declared feasibility. Add anonymized historical snapshots when available, with frozen routing-provider identity and all facts needed for offline replay. Until such data is available, explicitly label the corpus synthetic and withhold production claims.</w:t>
      </w:r>
    </w:p>
    <w:p>
      <w:pPr>
        <w:keepLines w:val="0"/>
      </w:pPr>
      <w:r>
        <w:t>Separate four initial-state classes: valid assigned warm plans, unassigned/partial cold plans, infeasible repair plans, and invalid inputs. Invalid inputs belong in contract tests, not score rankings. Cold planning is eligible only after TF02 is resolved. Repair reports time to feasibility and unresolved demand; it must not be merged with feasible-start cost comparisons.</w:t>
      </w:r>
    </w:p>
    <w:p>
      <w:pPr>
        <w:keepLines w:val="0"/>
      </w:pPr>
      <w:r>
        <w:t>For an initial tuning corpus, use twelve independent datasets: two fleet sizes, 20 and 50; three scenario families, clustered, dispersed, and absence; and two dataset seeds per family/size. Prepare another twelve with different dataset seeds as a sealed confirmation corpus. Each generator output must demonstrate its declared structure, not merely have a different hash. This is a tractable first design, not a claim of population coverage. Add mixed-skill, tight-window, near-capacity, and real-day cohorts before deployment decisions beyond the covered families.</w:t>
      </w:r>
    </w:p>
    <w:p>
      <w:pPr>
        <w:keepLines w:val="0"/>
      </w:pPr>
      <w:r>
        <w:t>Hold out whole datasets, or whole date/metro groups for historical data. Do not split near-identical copies of one operating day across tuning and confirmation. Freeze assignment counts, route facts, and control snapshots before running candidates. Use the same immutable input for every treatment; warmup must never mutate a measured input or seed a later budget from an earlier result.</w:t>
      </w:r>
    </w:p>
    <w:p>
      <w:pPr>
        <w:keepLines w:val="0"/>
      </w:pPr>
      <w:r>
        <w:rPr>
          <w:b/>
        </w:rPr>
        <w:t xml:space="preserve">Why this helps: </w:t>
      </w:r>
      <w:r>
        <w:t>Dataset variation tests generalization, search seeds test stochastic sensitivity, and independent JVM forks test process variation. These are different sources of uncertainty. Counting every seed/fork result as an independent operating day would exaggerate confidence.</w:t>
      </w:r>
    </w:p>
    <w:p>
      <w:pPr>
        <w:pStyle w:val="Heading2"/>
      </w:pPr>
      <w:r>
        <w:t>Calibrate warmup and distinguish cold states</w:t>
      </w:r>
    </w:p>
    <w:p>
      <w:pPr>
        <w:keepLines w:val="0"/>
      </w:pPr>
      <w:r>
        <w:rPr>
          <w:b/>
        </w:rPr>
        <w:t xml:space="preserve">Current gap: </w:t>
      </w:r>
      <w:r>
        <w:t>The 200 ms warmup is too brief to assume all relevant JIT compilation and paths have stabilized. Booking's cold/warm labels concern scheduler caches; they do not reset the shared road provider cache. A warm routing cache and a warm JVM are separate conditions. Evidence: C17 and C19.</w:t>
      </w:r>
    </w:p>
    <w:p>
      <w:pPr>
        <w:keepLines w:val="0"/>
      </w:pPr>
      <w:r>
        <w:rPr>
          <w:b/>
        </w:rPr>
        <w:t xml:space="preserve">Proposed pilot: </w:t>
      </w:r>
      <w:r>
        <w:t>Compare 0.2, 30, and 60 seconds of warmup on two representative fixed datasets, each for TABU and LA and both reference and fairness paths, with three fresh JVM repetitions and a ten-second measured probe. This gives 72 observations. Use an explicit seed schedule and balanced execution order. Keep warmup output separate, record compilation/GC activity and interval throughput, and inspect whether later warmup changes the measured distribution.</w:t>
      </w:r>
    </w:p>
    <w:p>
      <w:pPr>
        <w:keepLines w:val="0"/>
      </w:pPr>
      <w:r>
        <w:t>The decision rule for this pilot is a project default, not a Timefold requirement: provisionally accept sixty seconds only when the 30-versus-60-second probe medians differ by no more than five percent in move throughput within each tested path and interval traces show no persistent startup trend. Three forks are a diagnostic screen, not statistical proof of stationarity. If the screen fails or is ambiguous, extend warmup to 120 seconds and add repetitions before the main campaign; retain the failed calibration. A changed algorithm, JVM, heap, or dataset scale can require recalibration.</w:t>
      </w:r>
    </w:p>
    <w:p>
      <w:pPr>
        <w:keepLines w:val="0"/>
      </w:pPr>
      <w:r>
        <w:t>For main batches, warm the same code paths and phase as the measurements with disposable copies, then reload clean inputs. Fix and record process lifetime and ordering. The default protocol runs one worker batch at a time with no move threads and no nested benchmark parallelism. Record CPU model, topology, affinity, heap, GC, JDK, loaded dependencies, OS, and competing activity. Existing SerialGC/two-logical-processor results form a separate cohort; do not call those settings inherently wrong, but do not equate them with a different deployment runtime.</w:t>
      </w:r>
    </w:p>
    <w:p>
      <w:pPr>
        <w:keepLines w:val="0"/>
      </w:pPr>
      <w:r>
        <w:t>Cold-start measurements deliberately include startup and the first request, without warmup. Warm-service tests reuse a service process after the accepted warmup. Scheduler-cache-cold tests explicitly clear only the documented scheduler caches and record provider state as unchanged/unknown unless a separate controlled provider instance is reset. Complete latency must state whether process startup, dataset loading, and network transport are included.</w:t>
      </w:r>
    </w:p>
    <w:p>
      <w:pPr>
        <w:keepLines w:val="0"/>
      </w:pPr>
      <w:r>
        <w:rPr>
          <w:b/>
        </w:rPr>
        <w:t xml:space="preserve">Why this helps: </w:t>
      </w:r>
      <w:r>
        <w:t>It prevents compilation cost or an already warmed provider from being misattributed to algorithm quality. The tradeoff is calibration time and more runtime metadata. A fixed seed with elapsed-time termination still does not guarantee identical routes across repetitions because the amount of work completed before the clock expires can differ.</w:t>
      </w:r>
    </w:p>
    <w:p>
      <w:pPr>
        <w:pStyle w:val="Heading2"/>
      </w:pPr>
      <w:r>
        <w:t>Keep reference and fairness comparisons meaningful</w:t>
      </w:r>
    </w:p>
    <w:p>
      <w:pPr>
        <w:keepLines w:val="0"/>
      </w:pPr>
      <w:r>
        <w:rPr>
          <w:b/>
        </w:rPr>
        <w:t xml:space="preserve">Current gap: </w:t>
      </w:r>
      <w:r>
        <w:t>SolverBenchmark first computes its own reference, then sets that result's overtime and cost ceiling as the fairness target. Different configurations can enter fairness with different assignments, reference cost, and headroom. The existing custom comparison primarily pairs reference cost; that is useful, but it does not isolate fairness algorithm quality. Evidence: C17 and C20.</w:t>
      </w:r>
    </w:p>
    <w:p>
      <w:pPr>
        <w:keepLines w:val="0"/>
      </w:pPr>
      <w:r>
        <w:rPr>
          <w:b/>
        </w:rPr>
        <w:t xml:space="preserve">Worked example: </w:t>
      </w:r>
      <w:r>
        <w:t>Suppose configuration A finds a $1,000 reference and B finds $1,020, both with the same overtime. Their two-percent fairness ceilings are $1,020 and $1,040.40. If B returns a more balanced schedule costing $1,035, that solution is permitted for B but prohibited for A. Concluding that B's fairness search is better from variance alone would compare different feasible regions. These are illustrative amounts, not measured WaterFlex outcomes.</w:t>
      </w:r>
    </w:p>
    <w:p>
      <w:pPr>
        <w:keepLines w:val="0"/>
      </w:pPr>
      <w:r>
        <w:t>Layer A reference experiments start from identical assigned snapshots with no fairness target. Layer A fairness experiments start from one shared, independently validated reference snapshot and the same frozen target for every candidate. Create that reference once per dataset with the named control protocol before the study, record its provenance, and never regenerate it per treatment. Stratify results by phase; a reference medium score represents overtime while a fairness medium score represents variance, so even the score levels have different meanings.</w:t>
      </w:r>
    </w:p>
    <w:p>
      <w:pPr>
        <w:keepLines w:val="0"/>
      </w:pPr>
      <w:r>
        <w:t>Layer B intentionally lets each configuration produce its own reference, because that is the real workflow. Compare the resulting accepted schedule using independently measured overtime, reference and accepted cents, fairness, and acceptance reason. Report cost and fairness tradeoffs jointly. Preserve the current transfer of unused reference time to fairness and record actual phase durations. A rejected candidate counts as the unchanged accepted baseline, with the rejected proposal and reason retained.</w:t>
      </w:r>
    </w:p>
    <w:p>
      <w:pPr>
        <w:keepLines w:val="0"/>
      </w:pPr>
      <w:r>
        <w:rPr>
          <w:b/>
        </w:rPr>
        <w:t xml:space="preserve">Why this helps: </w:t>
      </w:r>
      <w:r>
        <w:t>Isolated fairness experiments compare search ability on the same problem, while the pipeline experiment measures the consequences of each configuration's reference quality. Neither substitutes for the other. Score percentages or benchmarker ROI labels must not be presented as payroll savings, especially with negative or multi-level scores.</w:t>
      </w:r>
    </w:p>
    <w:p>
      <w:pPr>
        <w:pStyle w:val="Heading2"/>
      </w:pPr>
      <w:r>
        <w:t>Choose measurements that explain outcomes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48"/>
        <w:gridCol w:w="7632"/>
      </w:tblGrid>
      <w:tr>
        <w:trPr>
          <w:cantSplit/>
          <w:tblHeader/>
        </w:trPr>
        <w:tc>
          <w:tcPr>
            <w:tcW w:type="dxa" w:w="2448"/>
            <w:vAlign w:val="center"/>
            <w:tcMar>
              <w:top w:w="100" w:type="dxa"/>
              <w:left w:w="100" w:type="dxa"/>
              <w:bottom w:w="100" w:type="dxa"/>
              <w:right w:w="100" w:type="dxa"/>
            </w:tcMar>
            <w:shd w:fill="DDEBF7"/>
          </w:tcPr>
          <w:p>
            <w:pPr>
              <w:keepNext/>
              <w:widowControl/>
              <w:spacing w:after="40" w:before="40" w:line="250" w:lineRule="auto"/>
            </w:pPr>
            <w:r>
              <w:rPr>
                <w:b/>
                <w:color w:val="000000"/>
                <w:sz w:val="20"/>
              </w:rPr>
              <w:t>Measurement</w:t>
            </w:r>
          </w:p>
        </w:tc>
        <w:tc>
          <w:tcPr>
            <w:tcW w:type="dxa" w:w="7632"/>
            <w:vAlign w:val="center"/>
            <w:tcMar>
              <w:top w:w="100" w:type="dxa"/>
              <w:left w:w="100" w:type="dxa"/>
              <w:bottom w:w="100" w:type="dxa"/>
              <w:right w:w="100" w:type="dxa"/>
            </w:tcMar>
            <w:shd w:fill="DDEBF7"/>
          </w:tcPr>
          <w:p>
            <w:pPr>
              <w:keepNext/>
              <w:widowControl/>
              <w:spacing w:after="40" w:before="40" w:line="250" w:lineRule="auto"/>
            </w:pPr>
            <w:r>
              <w:rPr>
                <w:b/>
                <w:color w:val="000000"/>
                <w:sz w:val="20"/>
              </w:rPr>
              <w:t>Interpretation and required boundary</w:t>
            </w:r>
          </w:p>
        </w:tc>
      </w:tr>
      <w:tr>
        <w:trPr>
          <w:cantSplit/>
        </w:trPr>
        <w:tc>
          <w:tcPr>
            <w:tcW w:type="dxa" w:w="2448"/>
            <w:vAlign w:val="center"/>
            <w:tcMar>
              <w:top w:w="100" w:type="dxa"/>
              <w:left w:w="100" w:type="dxa"/>
              <w:bottom w:w="100" w:type="dxa"/>
              <w:right w:w="100" w:type="dxa"/>
            </w:tcMar>
            <w:shd w:fill="FFFFFF"/>
          </w:tcPr>
          <w:p>
            <w:pPr>
              <w:widowControl/>
              <w:spacing w:after="40" w:before="40" w:line="250" w:lineRule="auto"/>
            </w:pPr>
            <w:r>
              <w:rPr>
                <w:b/>
                <w:color w:val="000000"/>
                <w:sz w:val="20"/>
              </w:rPr>
              <w:t>Best score over time</w:t>
            </w:r>
          </w:p>
        </w:tc>
        <w:tc>
          <w:tcPr>
            <w:tcW w:type="dxa" w:w="7632"/>
            <w:vAlign w:val="center"/>
            <w:tcMar>
              <w:top w:w="100" w:type="dxa"/>
              <w:left w:w="100" w:type="dxa"/>
              <w:bottom w:w="100" w:type="dxa"/>
              <w:right w:w="100" w:type="dxa"/>
            </w:tcMar>
            <w:shd w:fill="FFFFFF"/>
          </w:tcPr>
          <w:p>
            <w:pPr>
              <w:widowControl/>
              <w:spacing w:after="40" w:before="40" w:line="250" w:lineRule="auto"/>
            </w:pPr>
            <w:r>
              <w:rPr>
                <w:b w:val="0"/>
                <w:color w:val="000000"/>
                <w:sz w:val="20"/>
              </w:rPr>
              <w:t>Show when improvements occur within one phase and target. Store individual traces; do not mix reference and fairness score semantics.</w:t>
            </w:r>
          </w:p>
        </w:tc>
      </w:tr>
      <w:tr>
        <w:trPr>
          <w:cantSplit/>
        </w:trPr>
        <w:tc>
          <w:tcPr>
            <w:tcW w:type="dxa" w:w="2448"/>
            <w:vAlign w:val="center"/>
            <w:tcMar>
              <w:top w:w="100" w:type="dxa"/>
              <w:left w:w="100" w:type="dxa"/>
              <w:bottom w:w="100" w:type="dxa"/>
              <w:right w:w="100" w:type="dxa"/>
            </w:tcMar>
            <w:shd w:fill="F4F8FB"/>
          </w:tcPr>
          <w:p>
            <w:pPr>
              <w:widowControl/>
              <w:spacing w:after="40" w:before="40" w:line="250" w:lineRule="auto"/>
            </w:pPr>
            <w:r>
              <w:rPr>
                <w:b/>
                <w:color w:val="000000"/>
                <w:sz w:val="20"/>
              </w:rPr>
              <w:t>Accepted cost and fairness</w:t>
            </w:r>
          </w:p>
        </w:tc>
        <w:tc>
          <w:tcPr>
            <w:tcW w:type="dxa" w:w="7632"/>
            <w:vAlign w:val="center"/>
            <w:tcMar>
              <w:top w:w="100" w:type="dxa"/>
              <w:left w:w="100" w:type="dxa"/>
              <w:bottom w:w="100" w:type="dxa"/>
              <w:right w:w="100" w:type="dxa"/>
            </w:tcMar>
            <w:shd w:fill="F4F8FB"/>
          </w:tcPr>
          <w:p>
            <w:pPr>
              <w:widowControl/>
              <w:spacing w:after="40" w:before="40" w:line="250" w:lineRule="auto"/>
            </w:pPr>
            <w:r>
              <w:rPr>
                <w:b w:val="0"/>
                <w:color w:val="000000"/>
                <w:sz w:val="20"/>
              </w:rPr>
              <w:t>Independently calculate the final business outcome after policy acceptance. Report reference and accepted cost separately.</w:t>
            </w:r>
          </w:p>
        </w:tc>
      </w:tr>
      <w:tr>
        <w:trPr>
          <w:cantSplit/>
        </w:trPr>
        <w:tc>
          <w:tcPr>
            <w:tcW w:type="dxa" w:w="2448"/>
            <w:vAlign w:val="center"/>
            <w:tcMar>
              <w:top w:w="100" w:type="dxa"/>
              <w:left w:w="100" w:type="dxa"/>
              <w:bottom w:w="100" w:type="dxa"/>
              <w:right w:w="100" w:type="dxa"/>
            </w:tcMar>
            <w:shd w:fill="FFFFFF"/>
          </w:tcPr>
          <w:p>
            <w:pPr>
              <w:widowControl/>
              <w:spacing w:after="40" w:before="40" w:line="250" w:lineRule="auto"/>
            </w:pPr>
            <w:r>
              <w:rPr>
                <w:b/>
                <w:color w:val="000000"/>
                <w:sz w:val="20"/>
              </w:rPr>
              <w:t>Time to first feasible and time to best</w:t>
            </w:r>
          </w:p>
        </w:tc>
        <w:tc>
          <w:tcPr>
            <w:tcW w:type="dxa" w:w="7632"/>
            <w:vAlign w:val="center"/>
            <w:tcMar>
              <w:top w:w="100" w:type="dxa"/>
              <w:left w:w="100" w:type="dxa"/>
              <w:bottom w:w="100" w:type="dxa"/>
              <w:right w:w="100" w:type="dxa"/>
            </w:tcMar>
            <w:shd w:fill="FFFFFF"/>
          </w:tcPr>
          <w:p>
            <w:pPr>
              <w:widowControl/>
              <w:spacing w:after="40" w:before="40" w:line="250" w:lineRule="auto"/>
            </w:pPr>
            <w:r>
              <w:rPr>
                <w:b w:val="0"/>
                <w:color w:val="000000"/>
                <w:sz w:val="20"/>
              </w:rPr>
              <w:t>Useful for cold/repair behavior and convergence. Unreached feasibility is censored or explicitly unresolved, never zero seconds.</w:t>
            </w:r>
          </w:p>
        </w:tc>
      </w:tr>
      <w:tr>
        <w:trPr>
          <w:cantSplit/>
        </w:trPr>
        <w:tc>
          <w:tcPr>
            <w:tcW w:type="dxa" w:w="2448"/>
            <w:vAlign w:val="center"/>
            <w:tcMar>
              <w:top w:w="100" w:type="dxa"/>
              <w:left w:w="100" w:type="dxa"/>
              <w:bottom w:w="100" w:type="dxa"/>
              <w:right w:w="100" w:type="dxa"/>
            </w:tcMar>
            <w:shd w:fill="F4F8FB"/>
          </w:tcPr>
          <w:p>
            <w:pPr>
              <w:widowControl/>
              <w:spacing w:after="40" w:before="40" w:line="250" w:lineRule="auto"/>
            </w:pPr>
            <w:r>
              <w:rPr>
                <w:b/>
                <w:color w:val="000000"/>
                <w:sz w:val="20"/>
              </w:rPr>
              <w:t>Move and score throughput</w:t>
            </w:r>
          </w:p>
        </w:tc>
        <w:tc>
          <w:tcPr>
            <w:tcW w:type="dxa" w:w="7632"/>
            <w:vAlign w:val="center"/>
            <w:tcMar>
              <w:top w:w="100" w:type="dxa"/>
              <w:left w:w="100" w:type="dxa"/>
              <w:bottom w:w="100" w:type="dxa"/>
              <w:right w:w="100" w:type="dxa"/>
            </w:tcMar>
            <w:shd w:fill="F4F8FB"/>
          </w:tcPr>
          <w:p>
            <w:pPr>
              <w:widowControl/>
              <w:spacing w:after="40" w:before="40" w:line="250" w:lineRule="auto"/>
            </w:pPr>
            <w:r>
              <w:rPr>
                <w:b w:val="0"/>
                <w:color w:val="000000"/>
                <w:sz w:val="20"/>
              </w:rPr>
              <w:t>Diagnostic work rates. Ruin/recreate can perform many score calculations per move, so higher score throughput is not automatically more search or better quality.</w:t>
            </w:r>
          </w:p>
        </w:tc>
      </w:tr>
      <w:tr>
        <w:trPr>
          <w:cantSplit/>
        </w:trPr>
        <w:tc>
          <w:tcPr>
            <w:tcW w:type="dxa" w:w="2448"/>
            <w:vAlign w:val="center"/>
            <w:tcMar>
              <w:top w:w="100" w:type="dxa"/>
              <w:left w:w="100" w:type="dxa"/>
              <w:bottom w:w="100" w:type="dxa"/>
              <w:right w:w="100" w:type="dxa"/>
            </w:tcMar>
            <w:shd w:fill="FFFFFF"/>
          </w:tcPr>
          <w:p>
            <w:pPr>
              <w:widowControl/>
              <w:spacing w:after="40" w:before="40" w:line="250" w:lineRule="auto"/>
            </w:pPr>
            <w:r>
              <w:rPr>
                <w:b/>
                <w:color w:val="000000"/>
                <w:sz w:val="20"/>
              </w:rPr>
              <w:t>Phase and full-request duration</w:t>
            </w:r>
          </w:p>
        </w:tc>
        <w:tc>
          <w:tcPr>
            <w:tcW w:type="dxa" w:w="7632"/>
            <w:vAlign w:val="center"/>
            <w:tcMar>
              <w:top w:w="100" w:type="dxa"/>
              <w:left w:w="100" w:type="dxa"/>
              <w:bottom w:w="100" w:type="dxa"/>
              <w:right w:w="100" w:type="dxa"/>
            </w:tcMar>
            <w:shd w:fill="FFFFFF"/>
          </w:tcPr>
          <w:p>
            <w:pPr>
              <w:widowControl/>
              <w:spacing w:after="40" w:before="40" w:line="250" w:lineRule="auto"/>
            </w:pPr>
            <w:r>
              <w:rPr>
                <w:b w:val="0"/>
                <w:color w:val="000000"/>
                <w:sz w:val="20"/>
              </w:rPr>
              <w:t>Distinguish solver time, copying, preparation, validation, queueing, persistence, and network time. A fixed time limit makes equal solve duration largely uninformative.</w:t>
            </w:r>
          </w:p>
        </w:tc>
      </w:tr>
      <w:tr>
        <w:trPr>
          <w:cantSplit/>
        </w:trPr>
        <w:tc>
          <w:tcPr>
            <w:tcW w:type="dxa" w:w="2448"/>
            <w:vAlign w:val="center"/>
            <w:tcMar>
              <w:top w:w="100" w:type="dxa"/>
              <w:left w:w="100" w:type="dxa"/>
              <w:bottom w:w="100" w:type="dxa"/>
              <w:right w:w="100" w:type="dxa"/>
            </w:tcMar>
            <w:shd w:fill="F4F8FB"/>
          </w:tcPr>
          <w:p>
            <w:pPr>
              <w:widowControl/>
              <w:spacing w:after="40" w:before="40" w:line="250" w:lineRule="auto"/>
            </w:pPr>
            <w:r>
              <w:rPr>
                <w:b/>
                <w:color w:val="000000"/>
                <w:sz w:val="20"/>
              </w:rPr>
              <w:t>CPU allocation and memory</w:t>
            </w:r>
          </w:p>
        </w:tc>
        <w:tc>
          <w:tcPr>
            <w:tcW w:type="dxa" w:w="7632"/>
            <w:vAlign w:val="center"/>
            <w:tcMar>
              <w:top w:w="100" w:type="dxa"/>
              <w:left w:w="100" w:type="dxa"/>
              <w:bottom w:w="100" w:type="dxa"/>
              <w:right w:w="100" w:type="dxa"/>
            </w:tcMar>
            <w:shd w:fill="F4F8FB"/>
          </w:tcPr>
          <w:p>
            <w:pPr>
              <w:widowControl/>
              <w:spacing w:after="40" w:before="40" w:line="250" w:lineRule="auto"/>
            </w:pPr>
            <w:r>
              <w:rPr>
                <w:b w:val="0"/>
                <w:color w:val="000000"/>
                <w:sz w:val="20"/>
              </w:rPr>
              <w:t>Record process CPU, allocation/GC diagnostics, heap and resident memory where measured. Heap-pool peaks are not resident memory and need explicit units.</w:t>
            </w:r>
          </w:p>
        </w:tc>
      </w:tr>
      <w:tr>
        <w:trPr>
          <w:cantSplit/>
        </w:trPr>
        <w:tc>
          <w:tcPr>
            <w:tcW w:type="dxa" w:w="2448"/>
            <w:vAlign w:val="center"/>
            <w:tcMar>
              <w:top w:w="100" w:type="dxa"/>
              <w:left w:w="100" w:type="dxa"/>
              <w:bottom w:w="100" w:type="dxa"/>
              <w:right w:w="100" w:type="dxa"/>
            </w:tcMar>
            <w:shd w:fill="FFFFFF"/>
          </w:tcPr>
          <w:p>
            <w:pPr>
              <w:widowControl/>
              <w:spacing w:after="40" w:before="40" w:line="250" w:lineRule="auto"/>
            </w:pPr>
            <w:r>
              <w:rPr>
                <w:b/>
                <w:color w:val="000000"/>
                <w:sz w:val="20"/>
              </w:rPr>
              <w:t>Outcome and completeness</w:t>
            </w:r>
          </w:p>
        </w:tc>
        <w:tc>
          <w:tcPr>
            <w:tcW w:type="dxa" w:w="7632"/>
            <w:vAlign w:val="center"/>
            <w:tcMar>
              <w:top w:w="100" w:type="dxa"/>
              <w:left w:w="100" w:type="dxa"/>
              <w:bottom w:w="100" w:type="dxa"/>
              <w:right w:w="100" w:type="dxa"/>
            </w:tcMar>
            <w:shd w:fill="FFFFFF"/>
          </w:tcPr>
          <w:p>
            <w:pPr>
              <w:widowControl/>
              <w:spacing w:after="40" w:before="40" w:line="250" w:lineRule="auto"/>
            </w:pPr>
            <w:r>
              <w:rPr>
                <w:b w:val="0"/>
                <w:color w:val="000000"/>
                <w:sz w:val="20"/>
              </w:rPr>
              <w:t>Preserve available, incomplete, conflict, infeasible, rejected, failed, and cancelled outcomes. Some properties overlap, so avoid misleading stacked totals.</w:t>
            </w:r>
          </w:p>
        </w:tc>
      </w:tr>
    </w:tbl>
    <w:p>
      <w:pPr>
        <w:spacing w:after="80" w:line="60" w:lineRule="exact"/>
      </w:pPr>
    </w:p>
    <w:p>
      <w:pPr>
        <w:keepLines w:val="0"/>
      </w:pPr>
      <w:r>
        <w:t>Use native BEST_SCORE, MOVE_EVALUATION_SPEED, and SCORE_CALCULATION_SPEED statistics where supported by the pinned benchmark artifact. Store effective enabled statistics because defaults can change. Add per-move-type and constraint-match diagnostics in separate diagnostic batches. Detailed tracing and constraint profiling can perturb timing; compare with the same instrumentation or keep the diagnostic cohort separate. The local guide explains these distinctions in sections 31.4 through 31.6 and 16.11.</w:t>
      </w:r>
    </w:p>
    <w:p>
      <w:pPr>
        <w:keepLines w:val="0"/>
      </w:pPr>
      <w:r>
        <w:t>At fixed elapsed-time budgets, select on valid accepted quality and useful completion, not on who reports approximately the configured number of seconds. For an implementation-equivalence optimization, also use a fixed-work replay or step-limited diagnostic to compare identical work and expose score divergence. A step is not equal computational work across Tabu, LA, or different neighborhoods, so step limits are not the primary algorithm-quality budget.</w:t>
      </w:r>
    </w:p>
    <w:p>
      <w:pPr>
        <w:pStyle w:val="Heading2"/>
      </w:pPr>
      <w:r>
        <w:t>Analyze uncertainty without inflating the sample size</w:t>
      </w:r>
    </w:p>
    <w:p>
      <w:pPr>
        <w:keepLines w:val="0"/>
      </w:pPr>
      <w:r>
        <w:rPr>
          <w:b/>
        </w:rPr>
        <w:t xml:space="preserve">Current gap: </w:t>
      </w:r>
      <w:r>
        <w:t>The existing equal-seed summaries and min/max bands honestly describe the retained runs, but cannot quantify generalization to new datasets. Pooled averages can hide workload reversals. The retained 50-technician dispersed group is a concrete reason to keep subgroup results visible.</w:t>
      </w:r>
    </w:p>
    <w:p>
      <w:pPr>
        <w:keepLines w:val="0"/>
      </w:pPr>
      <w:r>
        <w:rPr>
          <w:b/>
        </w:rPr>
        <w:t xml:space="preserve">Proposed analysis: </w:t>
      </w:r>
      <w:r>
        <w:t>Pair treatment and control on dataset hash, phase/target, budget, effective seed, fork block, scoring version, routing identity, and runtime cohort. Pairing a common seed does not make two algorithms consume randomness identically; it is a blocking convention. Reject duplicate logical cases and preserve unmatched observations with an exclusion reason. Report requested, completed, valid, and paired counts separately.</w:t>
      </w:r>
    </w:p>
    <w:p>
      <w:pPr>
        <w:keepLines w:val="0"/>
      </w:pPr>
      <w:r>
        <w:t>Compute per-dataset paired effects after averaging the repeated seeds and forks within that dataset. Report each dataset, scenario-family summaries, and an equal-dataset overall summary. For the sealed confirmation, calculate a 95 percent paired cluster-bootstrap interval by resampling whole datasets, retaining all their paired repetitions, with 10,000 bootstrap draws and a recorded bootstrap seed of 20261006. This is a proposed WaterFlex analysis method, not a statistical guarantee supplied by native Benchmarker. With twelve synthetic datasets, inference remains exploratory and applies to that corpus.</w:t>
      </w:r>
    </w:p>
    <w:p>
      <w:pPr>
        <w:keepLines w:val="0"/>
      </w:pPr>
      <w:r>
        <w:t>For multiple candidates, use tuning data to choose one finalist, then compare only that finalist with the control on untouched confirmation data. Do not keep looking at confirmation results while changing configuration. Report subgroup regressions and practical effect sizes even when an aggregate interval looks favorable. An interval containing no improvement means the study did not resolve the choice; it does not prove equality.</w:t>
      </w:r>
    </w:p>
    <w:p>
      <w:pPr>
        <w:keepLines w:val="0"/>
      </w:pPr>
      <w:r>
        <w:t>Booking cost comparisons additionally require the same served customer identities and initial schedule. If concurrency changes which customers are served, compare coverage and outcome rates and mark aggregate cost differences as noncomparable for savings. Report missing metrics as null with a reason. Failed cases remain in reliability denominators even when no quality score exists.</w:t>
      </w:r>
    </w:p>
    <w:p>
      <w:pPr>
        <w:keepLines w:val="0"/>
      </w:pPr>
      <w:r>
        <w:t>For application latency, retain individual request durations, client submission times, queue times, and timeout thresholds. Report p50/p95 and sample counts by load/cache/outcome, plus failure rates over all requests. Do not drop timed-out requests from the denominator or substitute the timeout threshold as their exact completion time. An arrival-paced load generator should record intended and actual submission time so server stalls cannot hide demand by slowing the generator itself.</w:t>
      </w:r>
    </w:p>
    <w:p>
      <w:pPr>
        <w:pStyle w:val="Heading2"/>
      </w:pPr>
      <w:r>
        <w:t>Proposed configuration and evidence contracts</w:t>
      </w:r>
    </w:p>
    <w:p>
      <w:pPr>
        <w:keepLines w:val="0"/>
      </w:pPr>
      <w:r>
        <w:t>The following is a version 2 design, not syntax accepted by today's version 1 runner. Keep the current parser and archives readable. Add a new strict schema and explicit migration/import path; never reinterpret an old seed as a dataset seed or old warmup as a calibrated policy.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84"/>
        <w:gridCol w:w="8496"/>
      </w:tblGrid>
      <w:tr>
        <w:trPr>
          <w:cantSplit/>
          <w:tblHeader/>
        </w:trPr>
        <w:tc>
          <w:tcPr>
            <w:tcW w:type="dxa" w:w="1584"/>
            <w:vAlign w:val="center"/>
            <w:tcMar>
              <w:top w:w="100" w:type="dxa"/>
              <w:left w:w="100" w:type="dxa"/>
              <w:bottom w:w="100" w:type="dxa"/>
              <w:right w:w="100" w:type="dxa"/>
            </w:tcMar>
            <w:shd w:fill="DDEBF7"/>
          </w:tcPr>
          <w:p>
            <w:pPr>
              <w:keepNext/>
              <w:widowControl/>
              <w:spacing w:after="40" w:before="40" w:line="250" w:lineRule="auto"/>
            </w:pPr>
            <w:r>
              <w:rPr>
                <w:b/>
                <w:color w:val="000000"/>
                <w:sz w:val="20"/>
              </w:rPr>
              <w:t>Contract</w:t>
            </w:r>
          </w:p>
        </w:tc>
        <w:tc>
          <w:tcPr>
            <w:tcW w:type="dxa" w:w="8496"/>
            <w:vAlign w:val="center"/>
            <w:tcMar>
              <w:top w:w="100" w:type="dxa"/>
              <w:left w:w="100" w:type="dxa"/>
              <w:bottom w:w="100" w:type="dxa"/>
              <w:right w:w="100" w:type="dxa"/>
            </w:tcMar>
            <w:shd w:fill="DDEBF7"/>
          </w:tcPr>
          <w:p>
            <w:pPr>
              <w:keepNext/>
              <w:widowControl/>
              <w:spacing w:after="40" w:before="40" w:line="250" w:lineRule="auto"/>
            </w:pPr>
            <w:r>
              <w:rPr>
                <w:b/>
                <w:color w:val="000000"/>
                <w:sz w:val="20"/>
              </w:rPr>
              <w:t>Required information and behavior</w:t>
            </w:r>
          </w:p>
        </w:tc>
      </w:tr>
      <w:tr>
        <w:trPr>
          <w:cantSplit/>
        </w:trPr>
        <w:tc>
          <w:tcPr>
            <w:tcW w:type="dxa" w:w="1584"/>
            <w:vAlign w:val="center"/>
            <w:tcMar>
              <w:top w:w="100" w:type="dxa"/>
              <w:left w:w="100" w:type="dxa"/>
              <w:bottom w:w="100" w:type="dxa"/>
              <w:right w:w="100" w:type="dxa"/>
            </w:tcMar>
            <w:shd w:fill="FFFFFF"/>
          </w:tcPr>
          <w:p>
            <w:pPr>
              <w:widowControl/>
              <w:spacing w:after="40" w:before="40" w:line="250" w:lineRule="auto"/>
            </w:pPr>
            <w:r>
              <w:rPr>
                <w:b/>
                <w:color w:val="000000"/>
                <w:sz w:val="20"/>
              </w:rPr>
              <w:t>Campaign</w:t>
            </w:r>
          </w:p>
        </w:tc>
        <w:tc>
          <w:tcPr>
            <w:tcW w:type="dxa" w:w="8496"/>
            <w:vAlign w:val="center"/>
            <w:tcMar>
              <w:top w:w="100" w:type="dxa"/>
              <w:left w:w="100" w:type="dxa"/>
              <w:bottom w:w="100" w:type="dxa"/>
              <w:right w:w="100" w:type="dxa"/>
            </w:tcMar>
            <w:shd w:fill="FFFFFF"/>
          </w:tcPr>
          <w:p>
            <w:pPr>
              <w:widowControl/>
              <w:spacing w:after="40" w:before="40" w:line="250" w:lineRule="auto"/>
            </w:pPr>
            <w:r>
              <w:rPr>
                <w:b w:val="0"/>
                <w:color w:val="000000"/>
                <w:sz w:val="20"/>
              </w:rPr>
              <w:t>schemaVersion=2; campaign ID; layer; control and treatment configuration IDs; corpus manifest hash; phase and target identity; measured budgets; dataset IDs; effective solver seeds; fork count; saved execution order; warmup policy; runtime profile; instrumentation profile; failure policy.</w:t>
            </w:r>
          </w:p>
        </w:tc>
      </w:tr>
      <w:tr>
        <w:trPr>
          <w:cantSplit/>
        </w:trPr>
        <w:tc>
          <w:tcPr>
            <w:tcW w:type="dxa" w:w="1584"/>
            <w:vAlign w:val="center"/>
            <w:tcMar>
              <w:top w:w="100" w:type="dxa"/>
              <w:left w:w="100" w:type="dxa"/>
              <w:bottom w:w="100" w:type="dxa"/>
              <w:right w:w="100" w:type="dxa"/>
            </w:tcMar>
            <w:shd w:fill="F4F8FB"/>
          </w:tcPr>
          <w:p>
            <w:pPr>
              <w:widowControl/>
              <w:spacing w:after="40" w:before="40" w:line="250" w:lineRule="auto"/>
            </w:pPr>
            <w:r>
              <w:rPr>
                <w:b/>
                <w:color w:val="000000"/>
                <w:sz w:val="20"/>
              </w:rPr>
              <w:t>Dataset</w:t>
            </w:r>
          </w:p>
        </w:tc>
        <w:tc>
          <w:tcPr>
            <w:tcW w:type="dxa" w:w="8496"/>
            <w:vAlign w:val="center"/>
            <w:tcMar>
              <w:top w:w="100" w:type="dxa"/>
              <w:left w:w="100" w:type="dxa"/>
              <w:bottom w:w="100" w:type="dxa"/>
              <w:right w:w="100" w:type="dxa"/>
            </w:tcMar>
            <w:shd w:fill="F4F8FB"/>
          </w:tcPr>
          <w:p>
            <w:pPr>
              <w:widowControl/>
              <w:spacing w:after="40" w:before="40" w:line="250" w:lineRule="auto"/>
            </w:pPr>
            <w:r>
              <w:rPr>
                <w:b w:val="0"/>
                <w:color w:val="000000"/>
                <w:sz w:val="20"/>
              </w:rPr>
              <w:t>schema version; dataset ID and content hash; generator/version/dataset seed or snapshot provenance; initial-state class; all technicians, visits, assignments, windows, absences, skills, rates, policy, directed legs, routing identity, and calendar reference. No solver seed hidden in the dataset identity.</w:t>
            </w:r>
          </w:p>
        </w:tc>
      </w:tr>
      <w:tr>
        <w:trPr>
          <w:cantSplit/>
        </w:trPr>
        <w:tc>
          <w:tcPr>
            <w:tcW w:type="dxa" w:w="1584"/>
            <w:vAlign w:val="center"/>
            <w:tcMar>
              <w:top w:w="100" w:type="dxa"/>
              <w:left w:w="100" w:type="dxa"/>
              <w:bottom w:w="100" w:type="dxa"/>
              <w:right w:w="100" w:type="dxa"/>
            </w:tcMar>
            <w:shd w:fill="FFFFFF"/>
          </w:tcPr>
          <w:p>
            <w:pPr>
              <w:widowControl/>
              <w:spacing w:after="40" w:before="40" w:line="250" w:lineRule="auto"/>
            </w:pPr>
            <w:r>
              <w:rPr>
                <w:b/>
                <w:color w:val="000000"/>
                <w:sz w:val="20"/>
              </w:rPr>
              <w:t>Batch</w:t>
            </w:r>
          </w:p>
        </w:tc>
        <w:tc>
          <w:tcPr>
            <w:tcW w:type="dxa" w:w="8496"/>
            <w:vAlign w:val="center"/>
            <w:tcMar>
              <w:top w:w="100" w:type="dxa"/>
              <w:left w:w="100" w:type="dxa"/>
              <w:bottom w:w="100" w:type="dxa"/>
              <w:right w:w="100" w:type="dxa"/>
            </w:tcMar>
            <w:shd w:fill="FFFFFF"/>
          </w:tcPr>
          <w:p>
            <w:pPr>
              <w:widowControl/>
              <w:spacing w:after="40" w:before="40" w:line="250" w:lineRule="auto"/>
            </w:pPr>
            <w:r>
              <w:rPr>
                <w:b w:val="0"/>
                <w:color w:val="000000"/>
                <w:sz w:val="20"/>
              </w:rPr>
              <w:t>One treatment, phase, budget, and JVM fork; selected datasets and solver repetitions; explicit warmup coverage; process ID, resource allocation, actual runtime flags, launch time, and observed loaded versions.</w:t>
            </w:r>
          </w:p>
        </w:tc>
      </w:tr>
      <w:tr>
        <w:trPr>
          <w:cantSplit/>
        </w:trPr>
        <w:tc>
          <w:tcPr>
            <w:tcW w:type="dxa" w:w="1584"/>
            <w:vAlign w:val="center"/>
            <w:tcMar>
              <w:top w:w="100" w:type="dxa"/>
              <w:left w:w="100" w:type="dxa"/>
              <w:bottom w:w="100" w:type="dxa"/>
              <w:right w:w="100" w:type="dxa"/>
            </w:tcMar>
            <w:shd w:fill="F4F8FB"/>
          </w:tcPr>
          <w:p>
            <w:pPr>
              <w:widowControl/>
              <w:spacing w:after="40" w:before="40" w:line="250" w:lineRule="auto"/>
            </w:pPr>
            <w:r>
              <w:rPr>
                <w:b/>
                <w:color w:val="000000"/>
                <w:sz w:val="20"/>
              </w:rPr>
              <w:t>Result</w:t>
            </w:r>
          </w:p>
        </w:tc>
        <w:tc>
          <w:tcPr>
            <w:tcW w:type="dxa" w:w="8496"/>
            <w:vAlign w:val="center"/>
            <w:tcMar>
              <w:top w:w="100" w:type="dxa"/>
              <w:left w:w="100" w:type="dxa"/>
              <w:bottom w:w="100" w:type="dxa"/>
              <w:right w:w="100" w:type="dxa"/>
            </w:tcMar>
            <w:shd w:fill="F4F8FB"/>
          </w:tcPr>
          <w:p>
            <w:pPr>
              <w:widowControl/>
              <w:spacing w:after="40" w:before="40" w:line="250" w:lineRule="auto"/>
            </w:pPr>
            <w:r>
              <w:rPr>
                <w:b w:val="0"/>
                <w:color w:val="000000"/>
                <w:sz w:val="20"/>
              </w:rPr>
              <w:t>Case/attempt IDs; input/config/target/runtime hashes; effective seed and fork; outcome; raw score with phase semantics; independent validation; reference and accepted business metrics; actual phase durations; raw trace/output paths and hashes; explicit reason for unavailable metrics.</w:t>
            </w:r>
          </w:p>
        </w:tc>
      </w:tr>
      <w:tr>
        <w:trPr>
          <w:cantSplit/>
        </w:trPr>
        <w:tc>
          <w:tcPr>
            <w:tcW w:type="dxa" w:w="1584"/>
            <w:vAlign w:val="center"/>
            <w:tcMar>
              <w:top w:w="100" w:type="dxa"/>
              <w:left w:w="100" w:type="dxa"/>
              <w:bottom w:w="100" w:type="dxa"/>
              <w:right w:w="100" w:type="dxa"/>
            </w:tcMar>
            <w:shd w:fill="FFFFFF"/>
          </w:tcPr>
          <w:p>
            <w:pPr>
              <w:widowControl/>
              <w:spacing w:after="40" w:before="40" w:line="250" w:lineRule="auto"/>
            </w:pPr>
            <w:r>
              <w:rPr>
                <w:b/>
                <w:color w:val="000000"/>
                <w:sz w:val="20"/>
              </w:rPr>
              <w:t>Archive</w:t>
            </w:r>
          </w:p>
        </w:tc>
        <w:tc>
          <w:tcPr>
            <w:tcW w:type="dxa" w:w="8496"/>
            <w:vAlign w:val="center"/>
            <w:tcMar>
              <w:top w:w="100" w:type="dxa"/>
              <w:left w:w="100" w:type="dxa"/>
              <w:bottom w:w="100" w:type="dxa"/>
              <w:right w:w="100" w:type="dxa"/>
            </w:tcMar>
            <w:shd w:fill="FFFFFF"/>
          </w:tcPr>
          <w:p>
            <w:pPr>
              <w:widowControl/>
              <w:spacing w:after="40" w:before="40" w:line="250" w:lineRule="auto"/>
            </w:pPr>
            <w:r>
              <w:rPr>
                <w:b w:val="0"/>
                <w:color w:val="000000"/>
                <w:sz w:val="20"/>
              </w:rPr>
              <w:t>Frozen artifacts; original and resolved configurations; corpus manifest; ordered cases/batches; started/completed/failed/interrupted receipts; native output; raw normalized rows; separate analysis version and decision record.</w:t>
            </w:r>
          </w:p>
        </w:tc>
      </w:tr>
    </w:tbl>
    <w:p>
      <w:pPr>
        <w:spacing w:after="80" w:line="60" w:lineRule="exact"/>
      </w:pPr>
    </w:p>
    <w:p>
      <w:pPr>
        <w:keepLines w:val="0"/>
      </w:pPr>
      <w:r>
        <w:rPr>
          <w:b/>
        </w:rPr>
        <w:t xml:space="preserve">Example resolved campaign: </w:t>
      </w:r>
      <w:r>
        <w:t>schemaVersion=2, layer=solver, phase=reference, control=tabu-change-swap, treatments=[tabu-change-swap, la-change-swap], corpus=tuning-12, measuredBudgetsMs=[10000,60000], solverSeeds=[17,23,41,59,83], forks=2, warmupSeconds=60, parallelBatches=1, nativeParallelBenchmarkCount=1, moveThreads=NONE, and instrumentation=quality-basic. Hash the resolved settings and the expanded order. The example uses named profiles whose complete settings must be stored alongside it, not mutable aliases resolved later.</w:t>
      </w:r>
    </w:p>
    <w:p>
      <w:pPr>
        <w:keepLines w:val="0"/>
      </w:pPr>
      <w:r>
        <w:t>Implement the corpus validator before SolutionFileIO. Validate finite numbers, unique identities, required arrays and collection lookups, route coverage, and target compatibility before copying. Unknown fields, duplicate JSON keys, missing required values, and unsupported versions fail explicitly. Not-applicable fairness targets or unavailable metrics use declared nullable fields with reasons; no fake empty arrays or zero values stand in for scheduling data.</w:t>
      </w:r>
    </w:p>
    <w:p>
      <w:pPr>
        <w:keepLines w:val="0"/>
      </w:pPr>
      <w:r>
        <w:t>Fingerprint all score-relevant facts and initial assignments. The current ad hoc fingerprint is not a complete future dataset contract: it omits some facts such as monetary rates and initial route ordering. Canonical serialization must include policy and phase target and preserve meaningful sequence order. Verify that changing one relevant fact changes the fingerprint, and that read/write round trips preserve semantics and identity.</w:t>
      </w:r>
    </w:p>
    <w:p>
      <w:pPr>
        <w:keepLines w:val="0"/>
      </w:pPr>
      <w:r>
        <w:t>Pair the native raw outputs with independent validation receipts before declaring completion. Resume may reuse only complete, hash-verified batches under identical artifacts, inputs, runtime profile, and calibration policy. Partially completed native batches remain partial; an explicit rerun is a new attempt, and analysis must not double count old and new rows. A process restart requires warmup again. Preserve the existing measurement lock and prohibit overlapping Layer A/B campaigns with unrelated heavy work.</w:t>
      </w:r>
    </w:p>
    <w:p>
      <w:pPr>
        <w:pStyle w:val="Heading2"/>
      </w:pPr>
      <w:r>
        <w:t>Staged campaigns and explicit time allowances</w:t>
      </w:r>
    </w:p>
    <w:p>
      <w:pPr>
        <w:keepLines w:val="0"/>
      </w:pPr>
      <w:r>
        <w:t>These matrices are proposed starting campaigns. Counts are mathematical expansion, not measured work. Time allowances assume sequential batches and full configured durations. Startup, dataset loading, native report generation, validation, and calibration retries add overhead. Early termination may use less time. Do not reuse the current 2.5-second per-case overhead estimate after changing process lifetime and warmup.</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16"/>
        <w:gridCol w:w="4608"/>
        <w:gridCol w:w="3456"/>
      </w:tblGrid>
      <w:tr>
        <w:trPr>
          <w:cantSplit/>
          <w:tblHeader/>
        </w:trPr>
        <w:tc>
          <w:tcPr>
            <w:tcW w:type="dxa" w:w="2016"/>
            <w:vAlign w:val="center"/>
            <w:tcMar>
              <w:top w:w="100" w:type="dxa"/>
              <w:left w:w="100" w:type="dxa"/>
              <w:bottom w:w="100" w:type="dxa"/>
              <w:right w:w="100" w:type="dxa"/>
            </w:tcMar>
            <w:shd w:fill="DDEBF7"/>
          </w:tcPr>
          <w:p>
            <w:pPr>
              <w:keepNext/>
              <w:widowControl/>
              <w:spacing w:after="40" w:before="40" w:line="250" w:lineRule="auto"/>
            </w:pPr>
            <w:r>
              <w:rPr>
                <w:b/>
                <w:color w:val="000000"/>
                <w:sz w:val="20"/>
              </w:rPr>
              <w:t>Stage</w:t>
            </w:r>
          </w:p>
        </w:tc>
        <w:tc>
          <w:tcPr>
            <w:tcW w:type="dxa" w:w="4608"/>
            <w:vAlign w:val="center"/>
            <w:tcMar>
              <w:top w:w="100" w:type="dxa"/>
              <w:left w:w="100" w:type="dxa"/>
              <w:bottom w:w="100" w:type="dxa"/>
              <w:right w:w="100" w:type="dxa"/>
            </w:tcMar>
            <w:shd w:fill="DDEBF7"/>
          </w:tcPr>
          <w:p>
            <w:pPr>
              <w:keepNext/>
              <w:widowControl/>
              <w:spacing w:after="40" w:before="40" w:line="250" w:lineRule="auto"/>
            </w:pPr>
            <w:r>
              <w:rPr>
                <w:b/>
                <w:color w:val="000000"/>
                <w:sz w:val="20"/>
              </w:rPr>
              <w:t>Matrix and purpose</w:t>
            </w:r>
          </w:p>
        </w:tc>
        <w:tc>
          <w:tcPr>
            <w:tcW w:type="dxa" w:w="3456"/>
            <w:vAlign w:val="center"/>
            <w:tcMar>
              <w:top w:w="100" w:type="dxa"/>
              <w:left w:w="100" w:type="dxa"/>
              <w:bottom w:w="100" w:type="dxa"/>
              <w:right w:w="100" w:type="dxa"/>
            </w:tcMar>
            <w:shd w:fill="DDEBF7"/>
          </w:tcPr>
          <w:p>
            <w:pPr>
              <w:keepNext/>
              <w:widowControl/>
              <w:spacing w:after="40" w:before="40" w:line="250" w:lineRule="auto"/>
            </w:pPr>
            <w:r>
              <w:rPr>
                <w:b/>
                <w:color w:val="000000"/>
                <w:sz w:val="20"/>
              </w:rPr>
              <w:t>Count and nominal allowance</w:t>
            </w:r>
          </w:p>
        </w:tc>
      </w:tr>
      <w:tr>
        <w:trPr>
          <w:cantSplit/>
        </w:trPr>
        <w:tc>
          <w:tcPr>
            <w:tcW w:type="dxa" w:w="2016"/>
            <w:vAlign w:val="center"/>
            <w:tcMar>
              <w:top w:w="100" w:type="dxa"/>
              <w:left w:w="100" w:type="dxa"/>
              <w:bottom w:w="100" w:type="dxa"/>
              <w:right w:w="100" w:type="dxa"/>
            </w:tcMar>
            <w:shd w:fill="FFFFFF"/>
          </w:tcPr>
          <w:p>
            <w:pPr>
              <w:widowControl/>
              <w:spacing w:after="40" w:before="40" w:line="250" w:lineRule="auto"/>
            </w:pPr>
            <w:r>
              <w:rPr>
                <w:b/>
                <w:color w:val="000000"/>
                <w:sz w:val="20"/>
              </w:rPr>
              <w:t>0 Correctness and smoke</w:t>
            </w:r>
          </w:p>
        </w:tc>
        <w:tc>
          <w:tcPr>
            <w:tcW w:type="dxa" w:w="4608"/>
            <w:vAlign w:val="center"/>
            <w:tcMar>
              <w:top w:w="100" w:type="dxa"/>
              <w:left w:w="100" w:type="dxa"/>
              <w:bottom w:w="100" w:type="dxa"/>
              <w:right w:w="100" w:type="dxa"/>
            </w:tcMar>
            <w:shd w:fill="FFFFFF"/>
          </w:tcPr>
          <w:p>
            <w:pPr>
              <w:widowControl/>
              <w:spacing w:after="40" w:before="40" w:line="250" w:lineRule="auto"/>
            </w:pPr>
            <w:r>
              <w:rPr>
                <w:b w:val="0"/>
                <w:color w:val="000000"/>
                <w:sz w:val="20"/>
              </w:rPr>
              <w:t>All selected configurations on tiny feasible/invalid/repair cases; verify imports, caps, copies, and receipts.</w:t>
            </w:r>
          </w:p>
        </w:tc>
        <w:tc>
          <w:tcPr>
            <w:tcW w:type="dxa" w:w="3456"/>
            <w:vAlign w:val="center"/>
            <w:tcMar>
              <w:top w:w="100" w:type="dxa"/>
              <w:left w:w="100" w:type="dxa"/>
              <w:bottom w:w="100" w:type="dxa"/>
              <w:right w:w="100" w:type="dxa"/>
            </w:tcMar>
            <w:shd w:fill="FFFFFF"/>
          </w:tcPr>
          <w:p>
            <w:pPr>
              <w:widowControl/>
              <w:spacing w:after="40" w:before="40" w:line="250" w:lineRule="auto"/>
            </w:pPr>
            <w:r>
              <w:rPr>
                <w:b w:val="0"/>
                <w:color w:val="000000"/>
                <w:sz w:val="20"/>
              </w:rPr>
              <w:t>Test suite plus short smoke only. Never report its scores as quality evidence.</w:t>
            </w:r>
          </w:p>
        </w:tc>
      </w:tr>
      <w:tr>
        <w:trPr>
          <w:cantSplit/>
        </w:trPr>
        <w:tc>
          <w:tcPr>
            <w:tcW w:type="dxa" w:w="2016"/>
            <w:vAlign w:val="center"/>
            <w:tcMar>
              <w:top w:w="100" w:type="dxa"/>
              <w:left w:w="100" w:type="dxa"/>
              <w:bottom w:w="100" w:type="dxa"/>
              <w:right w:w="100" w:type="dxa"/>
            </w:tcMar>
            <w:shd w:fill="F4F8FB"/>
          </w:tcPr>
          <w:p>
            <w:pPr>
              <w:widowControl/>
              <w:spacing w:after="40" w:before="40" w:line="250" w:lineRule="auto"/>
            </w:pPr>
            <w:r>
              <w:rPr>
                <w:b/>
                <w:color w:val="000000"/>
                <w:sz w:val="20"/>
              </w:rPr>
              <w:t>1 Warmup calibration</w:t>
            </w:r>
          </w:p>
        </w:tc>
        <w:tc>
          <w:tcPr>
            <w:tcW w:type="dxa" w:w="4608"/>
            <w:vAlign w:val="center"/>
            <w:tcMar>
              <w:top w:w="100" w:type="dxa"/>
              <w:left w:w="100" w:type="dxa"/>
              <w:bottom w:w="100" w:type="dxa"/>
              <w:right w:w="100" w:type="dxa"/>
            </w:tcMar>
            <w:shd w:fill="F4F8FB"/>
          </w:tcPr>
          <w:p>
            <w:pPr>
              <w:widowControl/>
              <w:spacing w:after="40" w:before="40" w:line="250" w:lineRule="auto"/>
            </w:pPr>
            <w:r>
              <w:rPr>
                <w:b w:val="0"/>
                <w:color w:val="000000"/>
                <w:sz w:val="20"/>
              </w:rPr>
              <w:t>2 methods x 2 phases x 2 representative datasets x 3 warmups x 3 fresh JVMs; one 10-second probe each.</w:t>
            </w:r>
          </w:p>
        </w:tc>
        <w:tc>
          <w:tcPr>
            <w:tcW w:type="dxa" w:w="3456"/>
            <w:vAlign w:val="center"/>
            <w:tcMar>
              <w:top w:w="100" w:type="dxa"/>
              <w:left w:w="100" w:type="dxa"/>
              <w:bottom w:w="100" w:type="dxa"/>
              <w:right w:w="100" w:type="dxa"/>
            </w:tcMar>
            <w:shd w:fill="F4F8FB"/>
          </w:tcPr>
          <w:p>
            <w:pPr>
              <w:widowControl/>
              <w:spacing w:after="40" w:before="40" w:line="250" w:lineRule="auto"/>
            </w:pPr>
            <w:r>
              <w:rPr>
                <w:b w:val="0"/>
                <w:color w:val="000000"/>
                <w:sz w:val="20"/>
              </w:rPr>
              <w:t>72 observations; 12 minutes measured solving plus 36.08 minutes warmup, about 48.08 minutes before overhead.</w:t>
            </w:r>
          </w:p>
        </w:tc>
      </w:tr>
      <w:tr>
        <w:trPr>
          <w:cantSplit/>
        </w:trPr>
        <w:tc>
          <w:tcPr>
            <w:tcW w:type="dxa" w:w="2016"/>
            <w:vAlign w:val="center"/>
            <w:tcMar>
              <w:top w:w="100" w:type="dxa"/>
              <w:left w:w="100" w:type="dxa"/>
              <w:bottom w:w="100" w:type="dxa"/>
              <w:right w:w="100" w:type="dxa"/>
            </w:tcMar>
            <w:shd w:fill="FFFFFF"/>
          </w:tcPr>
          <w:p>
            <w:pPr>
              <w:widowControl/>
              <w:spacing w:after="40" w:before="40" w:line="250" w:lineRule="auto"/>
            </w:pPr>
            <w:r>
              <w:rPr>
                <w:b/>
                <w:color w:val="000000"/>
                <w:sz w:val="20"/>
              </w:rPr>
              <w:t>2 Matched acceptance screen</w:t>
            </w:r>
          </w:p>
        </w:tc>
        <w:tc>
          <w:tcPr>
            <w:tcW w:type="dxa" w:w="4608"/>
            <w:vAlign w:val="center"/>
            <w:tcMar>
              <w:top w:w="100" w:type="dxa"/>
              <w:left w:w="100" w:type="dxa"/>
              <w:bottom w:w="100" w:type="dxa"/>
              <w:right w:w="100" w:type="dxa"/>
            </w:tcMar>
            <w:shd w:fill="FFFFFF"/>
          </w:tcPr>
          <w:p>
            <w:pPr>
              <w:widowControl/>
              <w:spacing w:after="40" w:before="40" w:line="250" w:lineRule="auto"/>
            </w:pPr>
            <w:r>
              <w:rPr>
                <w:b w:val="0"/>
                <w:color w:val="000000"/>
                <w:sz w:val="20"/>
              </w:rPr>
              <w:t>2 methods x 12 tuning datasets x 5 solver seeds x 2 forks x 2 budgets, separately for reference at 10/60 seconds and fairness at 5/30 seconds.</w:t>
            </w:r>
          </w:p>
        </w:tc>
        <w:tc>
          <w:tcPr>
            <w:tcW w:type="dxa" w:w="3456"/>
            <w:vAlign w:val="center"/>
            <w:tcMar>
              <w:top w:w="100" w:type="dxa"/>
              <w:left w:w="100" w:type="dxa"/>
              <w:bottom w:w="100" w:type="dxa"/>
              <w:right w:w="100" w:type="dxa"/>
            </w:tcMar>
            <w:shd w:fill="FFFFFF"/>
          </w:tcPr>
          <w:p>
            <w:pPr>
              <w:widowControl/>
              <w:spacing w:after="40" w:before="40" w:line="250" w:lineRule="auto"/>
            </w:pPr>
            <w:r>
              <w:rPr>
                <w:b w:val="0"/>
                <w:color w:val="000000"/>
                <w:sz w:val="20"/>
              </w:rPr>
              <w:t>960 observations total; 7 hours solving plus 16 minutes warmup across 16 batches.</w:t>
            </w:r>
          </w:p>
        </w:tc>
      </w:tr>
      <w:tr>
        <w:trPr>
          <w:cantSplit/>
        </w:trPr>
        <w:tc>
          <w:tcPr>
            <w:tcW w:type="dxa" w:w="2016"/>
            <w:vAlign w:val="center"/>
            <w:tcMar>
              <w:top w:w="100" w:type="dxa"/>
              <w:left w:w="100" w:type="dxa"/>
              <w:bottom w:w="100" w:type="dxa"/>
              <w:right w:w="100" w:type="dxa"/>
            </w:tcMar>
            <w:shd w:fill="F4F8FB"/>
          </w:tcPr>
          <w:p>
            <w:pPr>
              <w:widowControl/>
              <w:spacing w:after="40" w:before="40" w:line="250" w:lineRule="auto"/>
            </w:pPr>
            <w:r>
              <w:rPr>
                <w:b/>
                <w:color w:val="000000"/>
                <w:sz w:val="20"/>
              </w:rPr>
              <w:t>3 Optional move screen</w:t>
            </w:r>
          </w:p>
        </w:tc>
        <w:tc>
          <w:tcPr>
            <w:tcW w:type="dxa" w:w="4608"/>
            <w:vAlign w:val="center"/>
            <w:tcMar>
              <w:top w:w="100" w:type="dxa"/>
              <w:left w:w="100" w:type="dxa"/>
              <w:bottom w:w="100" w:type="dxa"/>
              <w:right w:w="100" w:type="dxa"/>
            </w:tcMar>
            <w:shd w:fill="F4F8FB"/>
          </w:tcPr>
          <w:p>
            <w:pPr>
              <w:widowControl/>
              <w:spacing w:after="40" w:before="40" w:line="250" w:lineRule="auto"/>
            </w:pPr>
            <w:r>
              <w:rPr>
                <w:b w:val="0"/>
                <w:color w:val="000000"/>
                <w:sz w:val="20"/>
              </w:rPr>
              <w:t>LA base, LA plus sublist change, LA plus k-opt, LA plus ruin/recreate; each adds only its named family. Same 12 datasets, 5 seeds, 2 forks, reference budgets 10/60 seconds.</w:t>
            </w:r>
          </w:p>
        </w:tc>
        <w:tc>
          <w:tcPr>
            <w:tcW w:type="dxa" w:w="3456"/>
            <w:vAlign w:val="center"/>
            <w:tcMar>
              <w:top w:w="100" w:type="dxa"/>
              <w:left w:w="100" w:type="dxa"/>
              <w:bottom w:w="100" w:type="dxa"/>
              <w:right w:w="100" w:type="dxa"/>
            </w:tcMar>
            <w:shd w:fill="F4F8FB"/>
          </w:tcPr>
          <w:p>
            <w:pPr>
              <w:widowControl/>
              <w:spacing w:after="40" w:before="40" w:line="250" w:lineRule="auto"/>
            </w:pPr>
            <w:r>
              <w:rPr>
                <w:b w:val="0"/>
                <w:color w:val="000000"/>
                <w:sz w:val="20"/>
              </w:rPr>
              <w:t>960 observations; 9 hours 20 minutes solving plus 16 minutes warmup across 16 batches.</w:t>
            </w:r>
          </w:p>
        </w:tc>
      </w:tr>
      <w:tr>
        <w:trPr>
          <w:cantSplit/>
        </w:trPr>
        <w:tc>
          <w:tcPr>
            <w:tcW w:type="dxa" w:w="2016"/>
            <w:vAlign w:val="center"/>
            <w:tcMar>
              <w:top w:w="100" w:type="dxa"/>
              <w:left w:w="100" w:type="dxa"/>
              <w:bottom w:w="100" w:type="dxa"/>
              <w:right w:w="100" w:type="dxa"/>
            </w:tcMar>
            <w:shd w:fill="FFFFFF"/>
          </w:tcPr>
          <w:p>
            <w:pPr>
              <w:widowControl/>
              <w:spacing w:after="40" w:before="40" w:line="250" w:lineRule="auto"/>
            </w:pPr>
            <w:r>
              <w:rPr>
                <w:b/>
                <w:color w:val="000000"/>
                <w:sz w:val="20"/>
              </w:rPr>
              <w:t>4 Sealed pipeline confirmation</w:t>
            </w:r>
          </w:p>
        </w:tc>
        <w:tc>
          <w:tcPr>
            <w:tcW w:type="dxa" w:w="4608"/>
            <w:vAlign w:val="center"/>
            <w:tcMar>
              <w:top w:w="100" w:type="dxa"/>
              <w:left w:w="100" w:type="dxa"/>
              <w:bottom w:w="100" w:type="dxa"/>
              <w:right w:w="100" w:type="dxa"/>
            </w:tcMar>
            <w:shd w:fill="FFFFFF"/>
          </w:tcPr>
          <w:p>
            <w:pPr>
              <w:widowControl/>
              <w:spacing w:after="40" w:before="40" w:line="250" w:lineRule="auto"/>
            </w:pPr>
            <w:r>
              <w:rPr>
                <w:b w:val="0"/>
                <w:color w:val="000000"/>
                <w:sz w:val="20"/>
              </w:rPr>
              <w:t>TABU control and one finalist x 12 held-out datasets x 10 seeds x 3 forks x total pipeline budgets 15/60 seconds.</w:t>
            </w:r>
          </w:p>
        </w:tc>
        <w:tc>
          <w:tcPr>
            <w:tcW w:type="dxa" w:w="3456"/>
            <w:vAlign w:val="center"/>
            <w:tcMar>
              <w:top w:w="100" w:type="dxa"/>
              <w:left w:w="100" w:type="dxa"/>
              <w:bottom w:w="100" w:type="dxa"/>
              <w:right w:w="100" w:type="dxa"/>
            </w:tcMar>
            <w:shd w:fill="FFFFFF"/>
          </w:tcPr>
          <w:p>
            <w:pPr>
              <w:widowControl/>
              <w:spacing w:after="40" w:before="40" w:line="250" w:lineRule="auto"/>
            </w:pPr>
            <w:r>
              <w:rPr>
                <w:b w:val="0"/>
                <w:color w:val="000000"/>
                <w:sz w:val="20"/>
              </w:rPr>
              <w:t>1,440 observations; 15 hours solving plus 12 minutes warmup across 12 batches.</w:t>
            </w:r>
          </w:p>
        </w:tc>
      </w:tr>
      <w:tr>
        <w:trPr>
          <w:cantSplit/>
        </w:trPr>
        <w:tc>
          <w:tcPr>
            <w:tcW w:type="dxa" w:w="2016"/>
            <w:vAlign w:val="center"/>
            <w:tcMar>
              <w:top w:w="100" w:type="dxa"/>
              <w:left w:w="100" w:type="dxa"/>
              <w:bottom w:w="100" w:type="dxa"/>
              <w:right w:w="100" w:type="dxa"/>
            </w:tcMar>
            <w:shd w:fill="F4F8FB"/>
          </w:tcPr>
          <w:p>
            <w:pPr>
              <w:widowControl/>
              <w:spacing w:after="40" w:before="40" w:line="250" w:lineRule="auto"/>
            </w:pPr>
            <w:r>
              <w:rPr>
                <w:b/>
                <w:color w:val="000000"/>
                <w:sz w:val="20"/>
              </w:rPr>
              <w:t>5 Booking application characterization</w:t>
            </w:r>
          </w:p>
        </w:tc>
        <w:tc>
          <w:tcPr>
            <w:tcW w:type="dxa" w:w="4608"/>
            <w:vAlign w:val="center"/>
            <w:tcMar>
              <w:top w:w="100" w:type="dxa"/>
              <w:left w:w="100" w:type="dxa"/>
              <w:bottom w:w="100" w:type="dxa"/>
              <w:right w:w="100" w:type="dxa"/>
            </w:tcMar>
            <w:shd w:fill="F4F8FB"/>
          </w:tcPr>
          <w:p>
            <w:pPr>
              <w:widowControl/>
              <w:spacing w:after="40" w:before="40" w:line="250" w:lineRule="auto"/>
            </w:pPr>
            <w:r>
              <w:rPr>
                <w:b w:val="0"/>
                <w:color w:val="000000"/>
                <w:sz w:val="20"/>
              </w:rPr>
              <w:t>INSERTION/BOUNDED x fleets 20/50 x scheduler cold/warm x concurrency 1/5/10 x 3 fresh-service repetitions; 200 requests per case.</w:t>
            </w:r>
          </w:p>
        </w:tc>
        <w:tc>
          <w:tcPr>
            <w:tcW w:type="dxa" w:w="3456"/>
            <w:vAlign w:val="center"/>
            <w:tcMar>
              <w:top w:w="100" w:type="dxa"/>
              <w:left w:w="100" w:type="dxa"/>
              <w:bottom w:w="100" w:type="dxa"/>
              <w:right w:w="100" w:type="dxa"/>
            </w:tcMar>
            <w:shd w:fill="F4F8FB"/>
          </w:tcPr>
          <w:p>
            <w:pPr>
              <w:widowControl/>
              <w:spacing w:after="40" w:before="40" w:line="250" w:lineRule="auto"/>
            </w:pPr>
            <w:r>
              <w:rPr>
                <w:b w:val="0"/>
                <w:color w:val="000000"/>
                <w:sz w:val="20"/>
              </w:rPr>
              <w:t>72 cases and 14,400 requests. Estimate wall time from an observed startup/load pilot; request concurrency does not imply linear speedup.</w:t>
            </w:r>
          </w:p>
        </w:tc>
      </w:tr>
    </w:tbl>
    <w:p>
      <w:pPr>
        <w:spacing w:after="80" w:line="60" w:lineRule="exact"/>
      </w:pPr>
    </w:p>
    <w:p>
      <w:pPr>
        <w:keepLines w:val="0"/>
      </w:pPr>
      <w:r>
        <w:t>Stages 2 and 3 use dataset seeds 101 and 202 for each fleet/scenario cell; confirmation uses 303 and 404. These are proposed generator inputs, not today's search-seed parameter. Stage 2 uses solver seeds 17, 23, 41, 59, and 83; Stage 4 adds 101, 127, 149, 173, and 199. Reuse the same effective seed schedule across paired treatments and process forks, recording native seed resolution. Stage 1 uses seed 17 and clustered-20 plus absence-50 calibration datasets from the tuning corpus. Forks are repeated execution of the same case, not new geography.</w:t>
      </w:r>
    </w:p>
    <w:p>
      <w:pPr>
        <w:keepLines w:val="0"/>
      </w:pPr>
      <w:r>
        <w:t>In Stage 2, fairness references are frozen before measurement using the TABU control with seed 17 and a 60-second reference budget on each tuning dataset. This adds twelve setup solves and at least twelve minutes of search allowance, plus warmup, loading, and validation. Save those outputs even if the control finds no improvement, and use the validated baseline as reference where policy requires it. Setup time is separate from the table's measured campaign allowance.</w:t>
      </w:r>
    </w:p>
    <w:p>
      <w:pPr>
        <w:keepLines w:val="0"/>
      </w:pPr>
      <w:r>
        <w:t>Stage 3 retains LA history and forager settings throughout and uses an explicitly recorded weight of five for the added sublist/k-opt family and one for ruin/recreate, with existing safe size bounds. These are starting treatments, not established optima. Current nested SUBLIST/KOPT/RUIN_RECREATE variants remain a separate historical suite. SA, cold construction, infeasible repair, Enterprise, and framework changes each need their own follow-on question and cannot be folded into this screen without revising the registered matrix.</w:t>
      </w:r>
    </w:p>
    <w:p>
      <w:pPr>
        <w:keepLines w:val="0"/>
      </w:pPr>
      <w:r>
        <w:t>Stage 4 keeps the two-thirds reference allocation and transfers actual remaining time to fairness, matching the existing benchmark policy, while recording validation overhead. The fifteen-second cohort is the primary production-budget comparison; sixty seconds is sensitivity analysis and cannot justify a fifteen-second claim. Stage 5 is closed-loop concurrency characterization for compatibility with the existing runner, not an arrival-rate capacity test. Follow it with a separately registered paced-arrival campaign and a daily API campaign before claiming deployment throughput. Browser/address-entry latency remains a separate user-flow measurement.</w:t>
      </w:r>
    </w:p>
    <w:p>
      <w:pPr>
        <w:pStyle w:val="Heading2"/>
      </w:pPr>
      <w:r>
        <w:t>Promotion gates and implementation order</w:t>
      </w:r>
    </w:p>
    <w:p>
      <w:pPr>
        <w:keepLines w:val="0"/>
      </w:pPr>
      <w:r>
        <w:rPr>
          <w:b/>
        </w:rPr>
        <w:t xml:space="preserve">Correctness gate: </w:t>
      </w:r>
      <w:r>
        <w:t>No candidate may drop demand, weaken windows or cutoff policy, fabricate missing facts, or bypass independent validation. A single unexplained invalid accepted result blocks promotion. Contract and assertion tests are prerequisites; timed runs do not replace them.</w:t>
      </w:r>
    </w:p>
    <w:p>
      <w:pPr>
        <w:keepLines w:val="0"/>
      </w:pPr>
      <w:r>
        <w:rPr>
          <w:b/>
        </w:rPr>
        <w:t xml:space="preserve">Quality gate: </w:t>
      </w:r>
      <w:r>
        <w:t>Select one finalist on tuning data. On the untouched fifteen-second pipeline confirmation, require no additional failures or incomplete results and no overtime increase on any matched valid dataset. Report paired accepted-cost and fairness effects separately. For a cost-led default change, the upper bound of the 95 percent interval for candidate-minus-control accepted cost must be below zero, with no worse mean fairness in any predefined scenario family and no higher scenario-family mean cost. This is a conservative proposed project gate, not a vendor rule or proof of production benefit. A fairness-led change with higher accepted cost requires a separately specified business tradeoff before running that study.</w:t>
      </w:r>
    </w:p>
    <w:p>
      <w:pPr>
        <w:keepLines w:val="0"/>
      </w:pPr>
      <w:r>
        <w:rPr>
          <w:b/>
        </w:rPr>
        <w:t xml:space="preserve">Performance gate: </w:t>
      </w:r>
      <w:r>
        <w:t>A computation-only refactor must preserve exact policy outcomes under fixed-work equivalence checks, then improve throughput or latency in a matched runtime cohort. A service change must satisfy the existing request contract and show queue, cancellation, and resource behavior under the registered load. Predeclare a noninferiority tolerance for latency based on the deployment SLO before an application promotion campaign; this report does not invent a new daily endpoint SLO where none is defined.</w:t>
      </w:r>
    </w:p>
    <w:p>
      <w:pPr>
        <w:keepLines w:val="0"/>
      </w:pPr>
      <w:r>
        <w:rPr>
          <w:b/>
        </w:rPr>
        <w:t xml:space="preserve">Implementation sequence: </w:t>
      </w:r>
      <w:r>
        <w:t>First implement the validated dataset contract, exact money, and independent acceptance boundaries. Second add schema version 2, corpus generation/export, canonical hashes, and a strict result importer. Third add the native adapter and warmed batch lifecycle with failure/resume tests. Fourth add shared-target fairness experiments, traces, and paired analysis. Fifth run calibration and tuning, lock the finalist, and run confirmation. Finally perform application load and cancellation studies. Change one behavior class per PR and preserve production defaults until its gate is met.</w:t>
      </w:r>
    </w:p>
    <w:p>
      <w:pPr>
        <w:keepLines w:val="0"/>
      </w:pPr>
      <w:r>
        <w:t>This sequence is better than beginning with a large solver matrix because it makes the matrix interpretable. Otherwise a faster candidate may be faster only because it omitted work, shared an incorrect cost calculation, received different fairness headroom, or ran after a different amount of JIT compilation.</w:t>
      </w:r>
    </w:p>
    <w:p>
      <w:pPr>
        <w:pStyle w:val="Heading1"/>
      </w:pPr>
      <w:r>
        <w:t>Retained evidence and limits</w:t>
      </w:r>
    </w:p>
    <w:p>
      <w:pPr>
        <w:keepLines w:val="0"/>
      </w:pPr>
      <w:r>
        <w:t>The earlier archives remain valuable records of the code and settings that produced them. This rewrite preserves their manifests and prior validation receipts; it does not claim a new full traversal of every raw archive. The delivery verifier checks the retained review artifacts and historical Git identities. A new campaign must create new evidence rather than relabeling an old run as warmed or production-representative.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20"/>
        <w:gridCol w:w="7560"/>
      </w:tblGrid>
      <w:tr>
        <w:trPr>
          <w:cantSplit/>
          <w:tblHeader/>
        </w:trPr>
        <w:tc>
          <w:tcPr>
            <w:tcW w:type="dxa" w:w="2520"/>
            <w:vAlign w:val="center"/>
            <w:tcMar>
              <w:top w:w="100" w:type="dxa"/>
              <w:left w:w="100" w:type="dxa"/>
              <w:bottom w:w="100" w:type="dxa"/>
              <w:right w:w="100" w:type="dxa"/>
            </w:tcMar>
            <w:shd w:fill="DDEBF7"/>
          </w:tcPr>
          <w:p>
            <w:pPr>
              <w:keepNext/>
              <w:widowControl/>
              <w:spacing w:after="40" w:before="40" w:line="250" w:lineRule="auto"/>
            </w:pPr>
            <w:r>
              <w:rPr>
                <w:b/>
                <w:color w:val="000000"/>
                <w:sz w:val="20"/>
              </w:rPr>
              <w:t>Evidence</w:t>
            </w:r>
          </w:p>
        </w:tc>
        <w:tc>
          <w:tcPr>
            <w:tcW w:type="dxa" w:w="7560"/>
            <w:vAlign w:val="center"/>
            <w:tcMar>
              <w:top w:w="100" w:type="dxa"/>
              <w:left w:w="100" w:type="dxa"/>
              <w:bottom w:w="100" w:type="dxa"/>
              <w:right w:w="100" w:type="dxa"/>
            </w:tcMar>
            <w:shd w:fill="DDEBF7"/>
          </w:tcPr>
          <w:p>
            <w:pPr>
              <w:keepNext/>
              <w:widowControl/>
              <w:spacing w:after="40" w:before="40" w:line="250" w:lineRule="auto"/>
            </w:pPr>
            <w:r>
              <w:rPr>
                <w:b/>
                <w:color w:val="000000"/>
                <w:sz w:val="20"/>
              </w:rPr>
              <w:t>What it supports and what it cannot establish</w:t>
            </w:r>
          </w:p>
        </w:tc>
      </w:tr>
      <w:tr>
        <w:trPr>
          <w:cantSplit/>
        </w:trPr>
        <w:tc>
          <w:tcPr>
            <w:tcW w:type="dxa" w:w="2520"/>
            <w:vAlign w:val="center"/>
            <w:tcMar>
              <w:top w:w="100" w:type="dxa"/>
              <w:left w:w="100" w:type="dxa"/>
              <w:bottom w:w="100" w:type="dxa"/>
              <w:right w:w="100" w:type="dxa"/>
            </w:tcMar>
            <w:shd w:fill="FFFFFF"/>
          </w:tcPr>
          <w:p>
            <w:pPr>
              <w:widowControl/>
              <w:spacing w:after="40" w:before="40" w:line="250" w:lineRule="auto"/>
            </w:pPr>
            <w:r>
              <w:rPr>
                <w:b/>
                <w:color w:val="000000"/>
                <w:sz w:val="20"/>
              </w:rPr>
              <w:t>Booking a752ef8e</w:t>
            </w:r>
          </w:p>
        </w:tc>
        <w:tc>
          <w:tcPr>
            <w:tcW w:type="dxa" w:w="7560"/>
            <w:vAlign w:val="center"/>
            <w:tcMar>
              <w:top w:w="100" w:type="dxa"/>
              <w:left w:w="100" w:type="dxa"/>
              <w:bottom w:w="100" w:type="dxa"/>
              <w:right w:w="100" w:type="dxa"/>
            </w:tcMar>
            <w:shd w:fill="FFFFFF"/>
          </w:tcPr>
          <w:p>
            <w:pPr>
              <w:widowControl/>
              <w:spacing w:after="40" w:before="40" w:line="250" w:lineRule="auto"/>
            </w:pPr>
            <w:r>
              <w:rPr>
                <w:b w:val="0"/>
                <w:color w:val="000000"/>
                <w:sz w:val="20"/>
              </w:rPr>
              <w:t>The retained review validated 360 cases at revision e9c01d1. Only 60 sequential treatment pairs match served customers; 120 concurrent pairs do not. This is warm scheduler-cache evidence, not controlled cold-provider latency or general savings.</w:t>
            </w:r>
          </w:p>
        </w:tc>
      </w:tr>
      <w:tr>
        <w:trPr>
          <w:cantSplit/>
        </w:trPr>
        <w:tc>
          <w:tcPr>
            <w:tcW w:type="dxa" w:w="2520"/>
            <w:vAlign w:val="center"/>
            <w:tcMar>
              <w:top w:w="100" w:type="dxa"/>
              <w:left w:w="100" w:type="dxa"/>
              <w:bottom w:w="100" w:type="dxa"/>
              <w:right w:w="100" w:type="dxa"/>
            </w:tcMar>
            <w:shd w:fill="F4F8FB"/>
          </w:tcPr>
          <w:p>
            <w:pPr>
              <w:widowControl/>
              <w:spacing w:after="40" w:before="40" w:line="250" w:lineRule="auto"/>
            </w:pPr>
            <w:r>
              <w:rPr>
                <w:b/>
                <w:color w:val="000000"/>
                <w:sz w:val="20"/>
              </w:rPr>
              <w:t>Daily 331df1f1</w:t>
            </w:r>
          </w:p>
        </w:tc>
        <w:tc>
          <w:tcPr>
            <w:tcW w:type="dxa" w:w="7560"/>
            <w:vAlign w:val="center"/>
            <w:tcMar>
              <w:top w:w="100" w:type="dxa"/>
              <w:left w:w="100" w:type="dxa"/>
              <w:bottom w:w="100" w:type="dxa"/>
              <w:right w:w="100" w:type="dxa"/>
            </w:tcMar>
            <w:shd w:fill="F4F8FB"/>
          </w:tcPr>
          <w:p>
            <w:pPr>
              <w:widowControl/>
              <w:spacing w:after="40" w:before="40" w:line="250" w:lineRule="auto"/>
            </w:pPr>
            <w:r>
              <w:rPr>
                <w:b w:val="0"/>
                <w:color w:val="000000"/>
                <w:sz w:val="20"/>
              </w:rPr>
              <w:t>The retained review validated 1,280 cases over four variants, four fleets, two workload families, ten seeds, and 60/90/120/240-second budgets. Eight fixed synthetic geometries and ten parallel cases limit generalization. Zero recorded violations is a useful fixture result, not a production guarantee.</w:t>
            </w:r>
          </w:p>
        </w:tc>
      </w:tr>
      <w:tr>
        <w:trPr>
          <w:cantSplit/>
        </w:trPr>
        <w:tc>
          <w:tcPr>
            <w:tcW w:type="dxa" w:w="2520"/>
            <w:vAlign w:val="center"/>
            <w:tcMar>
              <w:top w:w="100" w:type="dxa"/>
              <w:left w:w="100" w:type="dxa"/>
              <w:bottom w:w="100" w:type="dxa"/>
              <w:right w:w="100" w:type="dxa"/>
            </w:tcMar>
            <w:shd w:fill="FFFFFF"/>
          </w:tcPr>
          <w:p>
            <w:pPr>
              <w:widowControl/>
              <w:spacing w:after="40" w:before="40" w:line="250" w:lineRule="auto"/>
            </w:pPr>
            <w:r>
              <w:rPr>
                <w:b/>
                <w:color w:val="000000"/>
                <w:sz w:val="20"/>
              </w:rPr>
              <w:t>Daily subgroup reversal</w:t>
            </w:r>
          </w:p>
        </w:tc>
        <w:tc>
          <w:tcPr>
            <w:tcW w:type="dxa" w:w="7560"/>
            <w:vAlign w:val="center"/>
            <w:tcMar>
              <w:top w:w="100" w:type="dxa"/>
              <w:left w:w="100" w:type="dxa"/>
              <w:bottom w:w="100" w:type="dxa"/>
              <w:right w:w="100" w:type="dxa"/>
            </w:tcMar>
            <w:shd w:fill="FFFFFF"/>
          </w:tcPr>
          <w:p>
            <w:pPr>
              <w:widowControl/>
              <w:spacing w:after="40" w:before="40" w:line="250" w:lineRule="auto"/>
            </w:pPr>
            <w:r>
              <w:rPr>
                <w:b w:val="0"/>
                <w:color w:val="000000"/>
                <w:sz w:val="20"/>
              </w:rPr>
              <w:t>In the retained 50-technician dispersed group, all 40 cases per alternative had higher accepted cost than matched TABU, despite some fairness improvements. Pooled means cannot select one global winner.</w:t>
            </w:r>
          </w:p>
        </w:tc>
      </w:tr>
      <w:tr>
        <w:trPr>
          <w:cantSplit/>
        </w:trPr>
        <w:tc>
          <w:tcPr>
            <w:tcW w:type="dxa" w:w="2520"/>
            <w:vAlign w:val="center"/>
            <w:tcMar>
              <w:top w:w="100" w:type="dxa"/>
              <w:left w:w="100" w:type="dxa"/>
              <w:bottom w:w="100" w:type="dxa"/>
              <w:right w:w="100" w:type="dxa"/>
            </w:tcMar>
            <w:shd w:fill="F4F8FB"/>
          </w:tcPr>
          <w:p>
            <w:pPr>
              <w:widowControl/>
              <w:spacing w:after="40" w:before="40" w:line="250" w:lineRule="auto"/>
            </w:pPr>
            <w:r>
              <w:rPr>
                <w:b/>
                <w:color w:val="000000"/>
                <w:sz w:val="20"/>
              </w:rPr>
              <w:t>Contention 931421d0 and 912c78be</w:t>
            </w:r>
          </w:p>
        </w:tc>
        <w:tc>
          <w:tcPr>
            <w:tcW w:type="dxa" w:w="7560"/>
            <w:vAlign w:val="center"/>
            <w:tcMar>
              <w:top w:w="100" w:type="dxa"/>
              <w:left w:w="100" w:type="dxa"/>
              <w:bottom w:w="100" w:type="dxa"/>
              <w:right w:w="100" w:type="dxa"/>
            </w:tcMar>
            <w:shd w:fill="F4F8FB"/>
          </w:tcPr>
          <w:p>
            <w:pPr>
              <w:widowControl/>
              <w:spacing w:after="40" w:before="40" w:line="250" w:lineRule="auto"/>
            </w:pPr>
            <w:r>
              <w:rPr>
                <w:b w:val="0"/>
                <w:color w:val="000000"/>
                <w:sz w:val="20"/>
              </w:rPr>
              <w:t>Two 24-case studies compare six versus one parallel cases on different source revisions. Their observations cannot isolate the causal effect of concurrency.</w:t>
            </w:r>
          </w:p>
        </w:tc>
      </w:tr>
      <w:tr>
        <w:trPr>
          <w:cantSplit/>
        </w:trPr>
        <w:tc>
          <w:tcPr>
            <w:tcW w:type="dxa" w:w="2520"/>
            <w:vAlign w:val="center"/>
            <w:tcMar>
              <w:top w:w="100" w:type="dxa"/>
              <w:left w:w="100" w:type="dxa"/>
              <w:bottom w:w="100" w:type="dxa"/>
              <w:right w:w="100" w:type="dxa"/>
            </w:tcMar>
            <w:shd w:fill="FFFFFF"/>
          </w:tcPr>
          <w:p>
            <w:pPr>
              <w:widowControl/>
              <w:spacing w:after="40" w:before="40" w:line="250" w:lineRule="auto"/>
            </w:pPr>
            <w:r>
              <w:rPr>
                <w:b/>
                <w:color w:val="000000"/>
                <w:sz w:val="20"/>
              </w:rPr>
              <w:t>Interrupted 616d31e1</w:t>
            </w:r>
          </w:p>
        </w:tc>
        <w:tc>
          <w:tcPr>
            <w:tcW w:type="dxa" w:w="7560"/>
            <w:vAlign w:val="center"/>
            <w:tcMar>
              <w:top w:w="100" w:type="dxa"/>
              <w:left w:w="100" w:type="dxa"/>
              <w:bottom w:w="100" w:type="dxa"/>
              <w:right w:w="100" w:type="dxa"/>
            </w:tcMar>
            <w:shd w:fill="FFFFFF"/>
          </w:tcPr>
          <w:p>
            <w:pPr>
              <w:widowControl/>
              <w:spacing w:after="40" w:before="40" w:line="250" w:lineRule="auto"/>
            </w:pPr>
            <w:r>
              <w:rPr>
                <w:b w:val="0"/>
                <w:color w:val="000000"/>
                <w:sz w:val="20"/>
              </w:rPr>
              <w:t>Retained as partial historical evidence and excluded from completed-campaign comparisons. A later run does not repair or complete this archive.</w:t>
            </w:r>
          </w:p>
        </w:tc>
      </w:tr>
    </w:tbl>
    <w:p>
      <w:pPr>
        <w:spacing w:after="80" w:line="60" w:lineRule="exact"/>
      </w:pPr>
    </w:p>
    <w:p>
      <w:pPr>
        <w:keepLines w:val="0"/>
      </w:pPr>
      <w:r>
        <w:t>The seven audit characterization tests assert existing unsafe behavior. Their passing result reproduces the findings, not their remediation. This delivery also runs the Java nullability build and relevant report/experiment/web gates; exact outcomes and commands belong to the third-review verification receipt. No new performance measurements are used to rank algorithms in this rewrite.</w:t>
      </w:r>
    </w:p>
    <w:p>
      <w:pPr>
        <w:pStyle w:val="Heading2"/>
      </w:pPr>
      <w:r>
        <w:t>Finding traceability and priorities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152"/>
        <w:gridCol w:w="8928"/>
      </w:tblGrid>
      <w:tr>
        <w:trPr>
          <w:cantSplit/>
          <w:tblHeader/>
        </w:trPr>
        <w:tc>
          <w:tcPr>
            <w:tcW w:type="dxa" w:w="1152"/>
            <w:vAlign w:val="center"/>
            <w:tcMar>
              <w:top w:w="100" w:type="dxa"/>
              <w:left w:w="100" w:type="dxa"/>
              <w:bottom w:w="100" w:type="dxa"/>
              <w:right w:w="100" w:type="dxa"/>
            </w:tcMar>
            <w:shd w:fill="DDEBF7"/>
          </w:tcPr>
          <w:p>
            <w:pPr>
              <w:keepNext/>
              <w:widowControl/>
              <w:spacing w:after="40" w:before="40" w:line="250" w:lineRule="auto"/>
              <w:jc w:val="center"/>
            </w:pPr>
            <w:r>
              <w:rPr>
                <w:b/>
                <w:color w:val="000000"/>
                <w:sz w:val="20"/>
              </w:rPr>
              <w:t>Finding</w:t>
            </w:r>
          </w:p>
        </w:tc>
        <w:tc>
          <w:tcPr>
            <w:tcW w:type="dxa" w:w="8928"/>
            <w:vAlign w:val="center"/>
            <w:tcMar>
              <w:top w:w="100" w:type="dxa"/>
              <w:left w:w="100" w:type="dxa"/>
              <w:bottom w:w="100" w:type="dxa"/>
              <w:right w:w="100" w:type="dxa"/>
            </w:tcMar>
            <w:shd w:fill="DDEBF7"/>
          </w:tcPr>
          <w:p>
            <w:pPr>
              <w:keepNext/>
              <w:widowControl/>
              <w:spacing w:after="40" w:before="40" w:line="250" w:lineRule="auto"/>
            </w:pPr>
            <w:r>
              <w:rPr>
                <w:b/>
                <w:color w:val="000000"/>
                <w:sz w:val="20"/>
              </w:rPr>
              <w:t>Priority and disposition</w:t>
            </w:r>
          </w:p>
        </w:tc>
      </w:tr>
      <w:tr>
        <w:trPr>
          <w:cantSplit/>
        </w:trPr>
        <w:tc>
          <w:tcPr>
            <w:tcW w:type="dxa" w:w="1152"/>
            <w:vAlign w:val="center"/>
            <w:tcMar>
              <w:top w:w="100" w:type="dxa"/>
              <w:left w:w="100" w:type="dxa"/>
              <w:bottom w:w="100" w:type="dxa"/>
              <w:right w:w="100" w:type="dxa"/>
            </w:tcMar>
            <w:shd w:fill="FFFFFF"/>
          </w:tcPr>
          <w:p>
            <w:pPr>
              <w:widowControl/>
              <w:spacing w:after="40" w:before="40" w:line="250" w:lineRule="auto"/>
              <w:jc w:val="center"/>
            </w:pPr>
            <w:r>
              <w:rPr>
                <w:b/>
                <w:color w:val="000000"/>
                <w:sz w:val="20"/>
              </w:rPr>
              <w:t>TF01</w:t>
            </w:r>
          </w:p>
        </w:tc>
        <w:tc>
          <w:tcPr>
            <w:tcW w:type="dxa" w:w="8928"/>
            <w:vAlign w:val="center"/>
            <w:tcMar>
              <w:top w:w="100" w:type="dxa"/>
              <w:left w:w="100" w:type="dxa"/>
              <w:bottom w:w="100" w:type="dxa"/>
              <w:right w:w="100" w:type="dxa"/>
            </w:tcMar>
            <w:shd w:fill="FFFFFF"/>
          </w:tcPr>
          <w:p>
            <w:pPr>
              <w:widowControl/>
              <w:spacing w:after="40" w:before="40" w:line="250" w:lineRule="auto"/>
            </w:pPr>
            <w:r>
              <w:rPr>
                <w:b w:val="0"/>
                <w:color w:val="000000"/>
                <w:sz w:val="20"/>
              </w:rPr>
              <w:t>High: extract calculation and retain caller commit authority. Architecture chapter.</w:t>
            </w:r>
          </w:p>
        </w:tc>
      </w:tr>
      <w:tr>
        <w:trPr>
          <w:cantSplit/>
        </w:trPr>
        <w:tc>
          <w:tcPr>
            <w:tcW w:type="dxa" w:w="1152"/>
            <w:vAlign w:val="center"/>
            <w:tcMar>
              <w:top w:w="100" w:type="dxa"/>
              <w:left w:w="100" w:type="dxa"/>
              <w:bottom w:w="100" w:type="dxa"/>
              <w:right w:w="100" w:type="dxa"/>
            </w:tcMar>
            <w:shd w:fill="F4F8FB"/>
          </w:tcPr>
          <w:p>
            <w:pPr>
              <w:widowControl/>
              <w:spacing w:after="40" w:before="40" w:line="250" w:lineRule="auto"/>
              <w:jc w:val="center"/>
            </w:pPr>
            <w:r>
              <w:rPr>
                <w:b/>
                <w:color w:val="000000"/>
                <w:sz w:val="20"/>
              </w:rPr>
              <w:t>TF02</w:t>
            </w:r>
          </w:p>
        </w:tc>
        <w:tc>
          <w:tcPr>
            <w:tcW w:type="dxa" w:w="8928"/>
            <w:vAlign w:val="center"/>
            <w:tcMar>
              <w:top w:w="100" w:type="dxa"/>
              <w:left w:w="100" w:type="dxa"/>
              <w:bottom w:w="100" w:type="dxa"/>
              <w:right w:w="100" w:type="dxa"/>
            </w:tcMar>
            <w:shd w:fill="F4F8FB"/>
          </w:tcPr>
          <w:p>
            <w:pPr>
              <w:widowControl/>
              <w:spacing w:after="40" w:before="40" w:line="250" w:lineRule="auto"/>
            </w:pPr>
            <w:r>
              <w:rPr>
                <w:b w:val="0"/>
                <w:color w:val="000000"/>
                <w:sz w:val="20"/>
              </w:rPr>
              <w:t>High: reject unsupported unassigned input or implement construction and coverage. Architecture chapter.</w:t>
            </w:r>
          </w:p>
        </w:tc>
      </w:tr>
      <w:tr>
        <w:trPr>
          <w:cantSplit/>
        </w:trPr>
        <w:tc>
          <w:tcPr>
            <w:tcW w:type="dxa" w:w="1152"/>
            <w:vAlign w:val="center"/>
            <w:tcMar>
              <w:top w:w="100" w:type="dxa"/>
              <w:left w:w="100" w:type="dxa"/>
              <w:bottom w:w="100" w:type="dxa"/>
              <w:right w:w="100" w:type="dxa"/>
            </w:tcMar>
            <w:shd w:fill="FFFFFF"/>
          </w:tcPr>
          <w:p>
            <w:pPr>
              <w:widowControl/>
              <w:spacing w:after="40" w:before="40" w:line="250" w:lineRule="auto"/>
              <w:jc w:val="center"/>
            </w:pPr>
            <w:r>
              <w:rPr>
                <w:b/>
                <w:color w:val="000000"/>
                <w:sz w:val="20"/>
              </w:rPr>
              <w:t>TF03</w:t>
            </w:r>
          </w:p>
        </w:tc>
        <w:tc>
          <w:tcPr>
            <w:tcW w:type="dxa" w:w="8928"/>
            <w:vAlign w:val="center"/>
            <w:tcMar>
              <w:top w:w="100" w:type="dxa"/>
              <w:left w:w="100" w:type="dxa"/>
              <w:bottom w:w="100" w:type="dxa"/>
              <w:right w:w="100" w:type="dxa"/>
            </w:tcMar>
            <w:shd w:fill="FFFFFF"/>
          </w:tcPr>
          <w:p>
            <w:pPr>
              <w:widowControl/>
              <w:spacing w:after="40" w:before="40" w:line="250" w:lineRule="auto"/>
            </w:pPr>
            <w:r>
              <w:rPr>
                <w:b w:val="0"/>
                <w:color w:val="000000"/>
                <w:sz w:val="20"/>
              </w:rPr>
              <w:t>High: validate identities and numeric facts before copying. Architecture chapter.</w:t>
            </w:r>
          </w:p>
        </w:tc>
      </w:tr>
      <w:tr>
        <w:trPr>
          <w:cantSplit/>
        </w:trPr>
        <w:tc>
          <w:tcPr>
            <w:tcW w:type="dxa" w:w="1152"/>
            <w:vAlign w:val="center"/>
            <w:tcMar>
              <w:top w:w="100" w:type="dxa"/>
              <w:left w:w="100" w:type="dxa"/>
              <w:bottom w:w="100" w:type="dxa"/>
              <w:right w:w="100" w:type="dxa"/>
            </w:tcMar>
            <w:shd w:fill="F4F8FB"/>
          </w:tcPr>
          <w:p>
            <w:pPr>
              <w:widowControl/>
              <w:spacing w:after="40" w:before="40" w:line="250" w:lineRule="auto"/>
              <w:jc w:val="center"/>
            </w:pPr>
            <w:r>
              <w:rPr>
                <w:b/>
                <w:color w:val="000000"/>
                <w:sz w:val="20"/>
              </w:rPr>
              <w:t>TF04</w:t>
            </w:r>
          </w:p>
        </w:tc>
        <w:tc>
          <w:tcPr>
            <w:tcW w:type="dxa" w:w="8928"/>
            <w:vAlign w:val="center"/>
            <w:tcMar>
              <w:top w:w="100" w:type="dxa"/>
              <w:left w:w="100" w:type="dxa"/>
              <w:bottom w:w="100" w:type="dxa"/>
              <w:right w:w="100" w:type="dxa"/>
            </w:tcMar>
            <w:shd w:fill="F4F8FB"/>
          </w:tcPr>
          <w:p>
            <w:pPr>
              <w:widowControl/>
              <w:spacing w:after="40" w:before="40" w:line="250" w:lineRule="auto"/>
            </w:pPr>
            <w:r>
              <w:rPr>
                <w:b w:val="0"/>
                <w:color w:val="000000"/>
                <w:sz w:val="20"/>
              </w:rPr>
              <w:t>Medium: exact money before fine-grained cost decisions. Architecture chapter.</w:t>
            </w:r>
          </w:p>
        </w:tc>
      </w:tr>
      <w:tr>
        <w:trPr>
          <w:cantSplit/>
        </w:trPr>
        <w:tc>
          <w:tcPr>
            <w:tcW w:type="dxa" w:w="1152"/>
            <w:vAlign w:val="center"/>
            <w:tcMar>
              <w:top w:w="100" w:type="dxa"/>
              <w:left w:w="100" w:type="dxa"/>
              <w:bottom w:w="100" w:type="dxa"/>
              <w:right w:w="100" w:type="dxa"/>
            </w:tcMar>
            <w:shd w:fill="FFFFFF"/>
          </w:tcPr>
          <w:p>
            <w:pPr>
              <w:widowControl/>
              <w:spacing w:after="40" w:before="40" w:line="250" w:lineRule="auto"/>
              <w:jc w:val="center"/>
            </w:pPr>
            <w:r>
              <w:rPr>
                <w:b/>
                <w:color w:val="000000"/>
                <w:sz w:val="20"/>
              </w:rPr>
              <w:t>TF05</w:t>
            </w:r>
          </w:p>
        </w:tc>
        <w:tc>
          <w:tcPr>
            <w:tcW w:type="dxa" w:w="8928"/>
            <w:vAlign w:val="center"/>
            <w:tcMar>
              <w:top w:w="100" w:type="dxa"/>
              <w:left w:w="100" w:type="dxa"/>
              <w:bottom w:w="100" w:type="dxa"/>
              <w:right w:w="100" w:type="dxa"/>
            </w:tcMar>
            <w:shd w:fill="FFFFFF"/>
          </w:tcPr>
          <w:p>
            <w:pPr>
              <w:widowControl/>
              <w:spacing w:after="40" w:before="40" w:line="250" w:lineRule="auto"/>
            </w:pPr>
            <w:r>
              <w:rPr>
                <w:b w:val="0"/>
                <w:color w:val="000000"/>
                <w:sz w:val="20"/>
              </w:rPr>
              <w:t>High: one complete-operation deadline and bounded cleanup. Architecture chapter.</w:t>
            </w:r>
          </w:p>
        </w:tc>
      </w:tr>
      <w:tr>
        <w:trPr>
          <w:cantSplit/>
        </w:trPr>
        <w:tc>
          <w:tcPr>
            <w:tcW w:type="dxa" w:w="1152"/>
            <w:vAlign w:val="center"/>
            <w:tcMar>
              <w:top w:w="100" w:type="dxa"/>
              <w:left w:w="100" w:type="dxa"/>
              <w:bottom w:w="100" w:type="dxa"/>
              <w:right w:w="100" w:type="dxa"/>
            </w:tcMar>
            <w:shd w:fill="F4F8FB"/>
          </w:tcPr>
          <w:p>
            <w:pPr>
              <w:widowControl/>
              <w:spacing w:after="40" w:before="40" w:line="250" w:lineRule="auto"/>
              <w:jc w:val="center"/>
            </w:pPr>
            <w:r>
              <w:rPr>
                <w:b/>
                <w:color w:val="000000"/>
                <w:sz w:val="20"/>
              </w:rPr>
              <w:t>TF06</w:t>
            </w:r>
          </w:p>
        </w:tc>
        <w:tc>
          <w:tcPr>
            <w:tcW w:type="dxa" w:w="8928"/>
            <w:vAlign w:val="center"/>
            <w:tcMar>
              <w:top w:w="100" w:type="dxa"/>
              <w:left w:w="100" w:type="dxa"/>
              <w:bottom w:w="100" w:type="dxa"/>
              <w:right w:w="100" w:type="dxa"/>
            </w:tcMar>
            <w:shd w:fill="F4F8FB"/>
          </w:tcPr>
          <w:p>
            <w:pPr>
              <w:widowControl/>
              <w:spacing w:after="40" w:before="40" w:line="250" w:lineRule="auto"/>
            </w:pPr>
            <w:r>
              <w:rPr>
                <w:b w:val="0"/>
                <w:color w:val="000000"/>
                <w:sz w:val="20"/>
              </w:rPr>
              <w:t>Medium: quantitative infeasibility gradients, then repair experiments. Algorithms chapter.</w:t>
            </w:r>
          </w:p>
        </w:tc>
      </w:tr>
      <w:tr>
        <w:trPr>
          <w:cantSplit/>
        </w:trPr>
        <w:tc>
          <w:tcPr>
            <w:tcW w:type="dxa" w:w="1152"/>
            <w:vAlign w:val="center"/>
            <w:tcMar>
              <w:top w:w="100" w:type="dxa"/>
              <w:left w:w="100" w:type="dxa"/>
              <w:bottom w:w="100" w:type="dxa"/>
              <w:right w:w="100" w:type="dxa"/>
            </w:tcMar>
            <w:shd w:fill="FFFFFF"/>
          </w:tcPr>
          <w:p>
            <w:pPr>
              <w:widowControl/>
              <w:spacing w:after="40" w:before="40" w:line="250" w:lineRule="auto"/>
              <w:jc w:val="center"/>
            </w:pPr>
            <w:r>
              <w:rPr>
                <w:b/>
                <w:color w:val="000000"/>
                <w:sz w:val="20"/>
              </w:rPr>
              <w:t>TF07</w:t>
            </w:r>
          </w:p>
        </w:tc>
        <w:tc>
          <w:tcPr>
            <w:tcW w:type="dxa" w:w="8928"/>
            <w:vAlign w:val="center"/>
            <w:tcMar>
              <w:top w:w="100" w:type="dxa"/>
              <w:left w:w="100" w:type="dxa"/>
              <w:bottom w:w="100" w:type="dxa"/>
              <w:right w:w="100" w:type="dxa"/>
            </w:tcMar>
            <w:shd w:fill="FFFFFF"/>
          </w:tcPr>
          <w:p>
            <w:pPr>
              <w:widowControl/>
              <w:spacing w:after="40" w:before="40" w:line="250" w:lineRule="auto"/>
            </w:pPr>
            <w:r>
              <w:rPr>
                <w:b w:val="0"/>
                <w:color w:val="000000"/>
                <w:sz w:val="20"/>
              </w:rPr>
              <w:t>Medium: expanded into the benchmark redesign and staged campaigns.</w:t>
            </w:r>
          </w:p>
        </w:tc>
      </w:tr>
      <w:tr>
        <w:trPr>
          <w:cantSplit/>
        </w:trPr>
        <w:tc>
          <w:tcPr>
            <w:tcW w:type="dxa" w:w="1152"/>
            <w:vAlign w:val="center"/>
            <w:tcMar>
              <w:top w:w="100" w:type="dxa"/>
              <w:left w:w="100" w:type="dxa"/>
              <w:bottom w:w="100" w:type="dxa"/>
              <w:right w:w="100" w:type="dxa"/>
            </w:tcMar>
            <w:shd w:fill="F4F8FB"/>
          </w:tcPr>
          <w:p>
            <w:pPr>
              <w:widowControl/>
              <w:spacing w:after="40" w:before="40" w:line="250" w:lineRule="auto"/>
              <w:jc w:val="center"/>
            </w:pPr>
            <w:r>
              <w:rPr>
                <w:b/>
                <w:color w:val="000000"/>
                <w:sz w:val="20"/>
              </w:rPr>
              <w:t>TF08</w:t>
            </w:r>
          </w:p>
        </w:tc>
        <w:tc>
          <w:tcPr>
            <w:tcW w:type="dxa" w:w="8928"/>
            <w:vAlign w:val="center"/>
            <w:tcMar>
              <w:top w:w="100" w:type="dxa"/>
              <w:left w:w="100" w:type="dxa"/>
              <w:bottom w:w="100" w:type="dxa"/>
              <w:right w:w="100" w:type="dxa"/>
            </w:tcMar>
            <w:shd w:fill="F4F8FB"/>
          </w:tcPr>
          <w:p>
            <w:pPr>
              <w:widowControl/>
              <w:spacing w:after="40" w:before="40" w:line="250" w:lineRule="auto"/>
            </w:pPr>
            <w:r>
              <w:rPr>
                <w:b w:val="0"/>
                <w:color w:val="000000"/>
                <w:sz w:val="20"/>
              </w:rPr>
              <w:t>Medium: isolated rule tests and complementary assertion modes. Algorithms chapter.</w:t>
            </w:r>
          </w:p>
        </w:tc>
      </w:tr>
      <w:tr>
        <w:trPr>
          <w:cantSplit/>
        </w:trPr>
        <w:tc>
          <w:tcPr>
            <w:tcW w:type="dxa" w:w="1152"/>
            <w:vAlign w:val="center"/>
            <w:tcMar>
              <w:top w:w="100" w:type="dxa"/>
              <w:left w:w="100" w:type="dxa"/>
              <w:bottom w:w="100" w:type="dxa"/>
              <w:right w:w="100" w:type="dxa"/>
            </w:tcMar>
            <w:shd w:fill="FFFFFF"/>
          </w:tcPr>
          <w:p>
            <w:pPr>
              <w:widowControl/>
              <w:spacing w:after="40" w:before="40" w:line="250" w:lineRule="auto"/>
              <w:jc w:val="center"/>
            </w:pPr>
            <w:r>
              <w:rPr>
                <w:b/>
                <w:color w:val="000000"/>
                <w:sz w:val="20"/>
              </w:rPr>
              <w:t>TF09</w:t>
            </w:r>
          </w:p>
        </w:tc>
        <w:tc>
          <w:tcPr>
            <w:tcW w:type="dxa" w:w="8928"/>
            <w:vAlign w:val="center"/>
            <w:tcMar>
              <w:top w:w="100" w:type="dxa"/>
              <w:left w:w="100" w:type="dxa"/>
              <w:bottom w:w="100" w:type="dxa"/>
              <w:right w:w="100" w:type="dxa"/>
            </w:tcMar>
            <w:shd w:fill="FFFFFF"/>
          </w:tcPr>
          <w:p>
            <w:pPr>
              <w:widowControl/>
              <w:spacing w:after="40" w:before="40" w:line="250" w:lineRule="auto"/>
            </w:pPr>
            <w:r>
              <w:rPr>
                <w:b w:val="0"/>
                <w:color w:val="000000"/>
                <w:sz w:val="20"/>
              </w:rPr>
              <w:t>Medium: isolate internal diagnostics and version provenance. Algorithms chapter.</w:t>
            </w:r>
          </w:p>
        </w:tc>
      </w:tr>
      <w:tr>
        <w:trPr>
          <w:cantSplit/>
        </w:trPr>
        <w:tc>
          <w:tcPr>
            <w:tcW w:type="dxa" w:w="1152"/>
            <w:vAlign w:val="center"/>
            <w:tcMar>
              <w:top w:w="100" w:type="dxa"/>
              <w:left w:w="100" w:type="dxa"/>
              <w:bottom w:w="100" w:type="dxa"/>
              <w:right w:w="100" w:type="dxa"/>
            </w:tcMar>
            <w:shd w:fill="F4F8FB"/>
          </w:tcPr>
          <w:p>
            <w:pPr>
              <w:widowControl/>
              <w:spacing w:after="40" w:before="40" w:line="250" w:lineRule="auto"/>
              <w:jc w:val="center"/>
            </w:pPr>
            <w:r>
              <w:rPr>
                <w:b/>
                <w:color w:val="000000"/>
                <w:sz w:val="20"/>
              </w:rPr>
              <w:t>TF10</w:t>
            </w:r>
          </w:p>
        </w:tc>
        <w:tc>
          <w:tcPr>
            <w:tcW w:type="dxa" w:w="8928"/>
            <w:vAlign w:val="center"/>
            <w:tcMar>
              <w:top w:w="100" w:type="dxa"/>
              <w:left w:w="100" w:type="dxa"/>
              <w:bottom w:w="100" w:type="dxa"/>
              <w:right w:w="100" w:type="dxa"/>
            </w:tcMar>
            <w:shd w:fill="F4F8FB"/>
          </w:tcPr>
          <w:p>
            <w:pPr>
              <w:widowControl/>
              <w:spacing w:after="40" w:before="40" w:line="250" w:lineRule="auto"/>
            </w:pPr>
            <w:r>
              <w:rPr>
                <w:b w:val="0"/>
                <w:color w:val="000000"/>
                <w:sz w:val="20"/>
              </w:rPr>
              <w:t>Low: one authoritative immutable fact revision. Architecture chapter.</w:t>
            </w:r>
          </w:p>
        </w:tc>
      </w:tr>
      <w:tr>
        <w:trPr>
          <w:cantSplit/>
        </w:trPr>
        <w:tc>
          <w:tcPr>
            <w:tcW w:type="dxa" w:w="1152"/>
            <w:vAlign w:val="center"/>
            <w:tcMar>
              <w:top w:w="100" w:type="dxa"/>
              <w:left w:w="100" w:type="dxa"/>
              <w:bottom w:w="100" w:type="dxa"/>
              <w:right w:w="100" w:type="dxa"/>
            </w:tcMar>
            <w:shd w:fill="FFFFFF"/>
          </w:tcPr>
          <w:p>
            <w:pPr>
              <w:widowControl/>
              <w:spacing w:after="40" w:before="40" w:line="250" w:lineRule="auto"/>
              <w:jc w:val="center"/>
            </w:pPr>
            <w:r>
              <w:rPr>
                <w:b/>
                <w:color w:val="000000"/>
                <w:sz w:val="20"/>
              </w:rPr>
              <w:t>TF11</w:t>
            </w:r>
          </w:p>
        </w:tc>
        <w:tc>
          <w:tcPr>
            <w:tcW w:type="dxa" w:w="8928"/>
            <w:vAlign w:val="center"/>
            <w:tcMar>
              <w:top w:w="100" w:type="dxa"/>
              <w:left w:w="100" w:type="dxa"/>
              <w:bottom w:w="100" w:type="dxa"/>
              <w:right w:w="100" w:type="dxa"/>
            </w:tcMar>
            <w:shd w:fill="FFFFFF"/>
          </w:tcPr>
          <w:p>
            <w:pPr>
              <w:widowControl/>
              <w:spacing w:after="40" w:before="40" w:line="250" w:lineRule="auto"/>
            </w:pPr>
            <w:r>
              <w:rPr>
                <w:b w:val="0"/>
                <w:color w:val="000000"/>
                <w:sz w:val="20"/>
              </w:rPr>
              <w:t>Medium: align canonical policy documentation with implementation. Algorithms chapter.</w:t>
            </w:r>
          </w:p>
        </w:tc>
      </w:tr>
      <w:tr>
        <w:trPr>
          <w:cantSplit/>
        </w:trPr>
        <w:tc>
          <w:tcPr>
            <w:tcW w:type="dxa" w:w="1152"/>
            <w:vAlign w:val="center"/>
            <w:tcMar>
              <w:top w:w="100" w:type="dxa"/>
              <w:left w:w="100" w:type="dxa"/>
              <w:bottom w:w="100" w:type="dxa"/>
              <w:right w:w="100" w:type="dxa"/>
            </w:tcMar>
            <w:shd w:fill="F4F8FB"/>
          </w:tcPr>
          <w:p>
            <w:pPr>
              <w:widowControl/>
              <w:spacing w:after="40" w:before="40" w:line="250" w:lineRule="auto"/>
              <w:jc w:val="center"/>
            </w:pPr>
            <w:r>
              <w:rPr>
                <w:b/>
                <w:color w:val="000000"/>
                <w:sz w:val="20"/>
              </w:rPr>
              <w:t>TF12</w:t>
            </w:r>
          </w:p>
        </w:tc>
        <w:tc>
          <w:tcPr>
            <w:tcW w:type="dxa" w:w="8928"/>
            <w:vAlign w:val="center"/>
            <w:tcMar>
              <w:top w:w="100" w:type="dxa"/>
              <w:left w:w="100" w:type="dxa"/>
              <w:bottom w:w="100" w:type="dxa"/>
              <w:right w:w="100" w:type="dxa"/>
            </w:tcMar>
            <w:shd w:fill="F4F8FB"/>
          </w:tcPr>
          <w:p>
            <w:pPr>
              <w:widowControl/>
              <w:spacing w:after="40" w:before="40" w:line="250" w:lineRule="auto"/>
            </w:pPr>
            <w:r>
              <w:rPr>
                <w:b w:val="0"/>
                <w:color w:val="000000"/>
                <w:sz w:val="20"/>
              </w:rPr>
              <w:t>Medium opportunity: policy-equivalent fleet aggregates after numeric contracts. Computation chapter.</w:t>
            </w:r>
          </w:p>
        </w:tc>
      </w:tr>
      <w:tr>
        <w:trPr>
          <w:cantSplit/>
        </w:trPr>
        <w:tc>
          <w:tcPr>
            <w:tcW w:type="dxa" w:w="1152"/>
            <w:vAlign w:val="center"/>
            <w:tcMar>
              <w:top w:w="100" w:type="dxa"/>
              <w:left w:w="100" w:type="dxa"/>
              <w:bottom w:w="100" w:type="dxa"/>
              <w:right w:w="100" w:type="dxa"/>
            </w:tcMar>
            <w:shd w:fill="FFFFFF"/>
          </w:tcPr>
          <w:p>
            <w:pPr>
              <w:widowControl/>
              <w:spacing w:after="40" w:before="40" w:line="250" w:lineRule="auto"/>
              <w:jc w:val="center"/>
            </w:pPr>
            <w:r>
              <w:rPr>
                <w:b/>
                <w:color w:val="000000"/>
                <w:sz w:val="20"/>
              </w:rPr>
              <w:t>TF13</w:t>
            </w:r>
          </w:p>
        </w:tc>
        <w:tc>
          <w:tcPr>
            <w:tcW w:type="dxa" w:w="8928"/>
            <w:vAlign w:val="center"/>
            <w:tcMar>
              <w:top w:w="100" w:type="dxa"/>
              <w:left w:w="100" w:type="dxa"/>
              <w:bottom w:w="100" w:type="dxa"/>
              <w:right w:w="100" w:type="dxa"/>
            </w:tcMar>
            <w:shd w:fill="FFFFFF"/>
          </w:tcPr>
          <w:p>
            <w:pPr>
              <w:widowControl/>
              <w:spacing w:after="40" w:before="40" w:line="250" w:lineRule="auto"/>
            </w:pPr>
            <w:r>
              <w:rPr>
                <w:b w:val="0"/>
                <w:color w:val="000000"/>
                <w:sz w:val="20"/>
              </w:rPr>
              <w:t>Medium opportunity: hoist invariant route preparation first. Computation chapter.</w:t>
            </w:r>
          </w:p>
        </w:tc>
      </w:tr>
      <w:tr>
        <w:trPr>
          <w:cantSplit/>
        </w:trPr>
        <w:tc>
          <w:tcPr>
            <w:tcW w:type="dxa" w:w="1152"/>
            <w:vAlign w:val="center"/>
            <w:tcMar>
              <w:top w:w="100" w:type="dxa"/>
              <w:left w:w="100" w:type="dxa"/>
              <w:bottom w:w="100" w:type="dxa"/>
              <w:right w:w="100" w:type="dxa"/>
            </w:tcMar>
            <w:shd w:fill="F4F8FB"/>
          </w:tcPr>
          <w:p>
            <w:pPr>
              <w:widowControl/>
              <w:spacing w:after="40" w:before="40" w:line="250" w:lineRule="auto"/>
              <w:jc w:val="center"/>
            </w:pPr>
            <w:r>
              <w:rPr>
                <w:b/>
                <w:color w:val="000000"/>
                <w:sz w:val="20"/>
              </w:rPr>
              <w:t>TF14</w:t>
            </w:r>
          </w:p>
        </w:tc>
        <w:tc>
          <w:tcPr>
            <w:tcW w:type="dxa" w:w="8928"/>
            <w:vAlign w:val="center"/>
            <w:tcMar>
              <w:top w:w="100" w:type="dxa"/>
              <w:left w:w="100" w:type="dxa"/>
              <w:bottom w:w="100" w:type="dxa"/>
              <w:right w:w="100" w:type="dxa"/>
            </w:tcMar>
            <w:shd w:fill="F4F8FB"/>
          </w:tcPr>
          <w:p>
            <w:pPr>
              <w:widowControl/>
              <w:spacing w:after="40" w:before="40" w:line="250" w:lineRule="auto"/>
            </w:pPr>
            <w:r>
              <w:rPr>
                <w:b w:val="0"/>
                <w:color w:val="000000"/>
                <w:sz w:val="20"/>
              </w:rPr>
              <w:t>Medium opportunity: bounded expanded generation with search-order validation. Computation chapter.</w:t>
            </w:r>
          </w:p>
        </w:tc>
      </w:tr>
    </w:tbl>
    <w:p>
      <w:pPr>
        <w:spacing w:after="80" w:line="60" w:lineRule="exact"/>
      </w:pPr>
    </w:p>
    <w:p>
      <w:pPr>
        <w:pStyle w:val="Heading2"/>
      </w:pPr>
      <w:r>
        <w:t>Terms used in the benchmark design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32"/>
        <w:gridCol w:w="7848"/>
      </w:tblGrid>
      <w:tr>
        <w:trPr>
          <w:cantSplit/>
          <w:tblHeader/>
        </w:trPr>
        <w:tc>
          <w:tcPr>
            <w:tcW w:type="dxa" w:w="2232"/>
            <w:vAlign w:val="center"/>
            <w:tcMar>
              <w:top w:w="100" w:type="dxa"/>
              <w:left w:w="100" w:type="dxa"/>
              <w:bottom w:w="100" w:type="dxa"/>
              <w:right w:w="100" w:type="dxa"/>
            </w:tcMar>
            <w:shd w:fill="DDEBF7"/>
          </w:tcPr>
          <w:p>
            <w:pPr>
              <w:keepNext/>
              <w:widowControl/>
              <w:spacing w:after="40" w:before="40" w:line="250" w:lineRule="auto"/>
            </w:pPr>
            <w:r>
              <w:rPr>
                <w:b/>
                <w:color w:val="000000"/>
                <w:sz w:val="20"/>
              </w:rPr>
              <w:t>Term</w:t>
            </w:r>
          </w:p>
        </w:tc>
        <w:tc>
          <w:tcPr>
            <w:tcW w:type="dxa" w:w="7848"/>
            <w:vAlign w:val="center"/>
            <w:tcMar>
              <w:top w:w="100" w:type="dxa"/>
              <w:left w:w="100" w:type="dxa"/>
              <w:bottom w:w="100" w:type="dxa"/>
              <w:right w:w="100" w:type="dxa"/>
            </w:tcMar>
            <w:shd w:fill="DDEBF7"/>
          </w:tcPr>
          <w:p>
            <w:pPr>
              <w:keepNext/>
              <w:widowControl/>
              <w:spacing w:after="40" w:before="40" w:line="250" w:lineRule="auto"/>
            </w:pPr>
            <w:r>
              <w:rPr>
                <w:b/>
                <w:color w:val="000000"/>
                <w:sz w:val="20"/>
              </w:rPr>
              <w:t>Meaning in this report</w:t>
            </w:r>
          </w:p>
        </w:tc>
      </w:tr>
      <w:tr>
        <w:trPr>
          <w:cantSplit/>
        </w:trPr>
        <w:tc>
          <w:tcPr>
            <w:tcW w:type="dxa" w:w="2232"/>
            <w:vAlign w:val="center"/>
            <w:tcMar>
              <w:top w:w="100" w:type="dxa"/>
              <w:left w:w="100" w:type="dxa"/>
              <w:bottom w:w="100" w:type="dxa"/>
              <w:right w:w="100" w:type="dxa"/>
            </w:tcMar>
            <w:shd w:fill="FFFFFF"/>
          </w:tcPr>
          <w:p>
            <w:pPr>
              <w:widowControl/>
              <w:spacing w:after="40" w:before="40" w:line="250" w:lineRule="auto"/>
            </w:pPr>
            <w:r>
              <w:rPr>
                <w:b/>
                <w:color w:val="000000"/>
                <w:sz w:val="20"/>
              </w:rPr>
              <w:t>Dataset seed</w:t>
            </w:r>
          </w:p>
        </w:tc>
        <w:tc>
          <w:tcPr>
            <w:tcW w:type="dxa" w:w="7848"/>
            <w:vAlign w:val="center"/>
            <w:tcMar>
              <w:top w:w="100" w:type="dxa"/>
              <w:left w:w="100" w:type="dxa"/>
              <w:bottom w:w="100" w:type="dxa"/>
              <w:right w:w="100" w:type="dxa"/>
            </w:tcMar>
            <w:shd w:fill="FFFFFF"/>
          </w:tcPr>
          <w:p>
            <w:pPr>
              <w:widowControl/>
              <w:spacing w:after="40" w:before="40" w:line="250" w:lineRule="auto"/>
            </w:pPr>
            <w:r>
              <w:rPr>
                <w:b w:val="0"/>
                <w:color w:val="000000"/>
                <w:sz w:val="20"/>
              </w:rPr>
              <w:t>Input to dataset generation; changes the problem instance.</w:t>
            </w:r>
          </w:p>
        </w:tc>
      </w:tr>
      <w:tr>
        <w:trPr>
          <w:cantSplit/>
        </w:trPr>
        <w:tc>
          <w:tcPr>
            <w:tcW w:type="dxa" w:w="2232"/>
            <w:vAlign w:val="center"/>
            <w:tcMar>
              <w:top w:w="100" w:type="dxa"/>
              <w:left w:w="100" w:type="dxa"/>
              <w:bottom w:w="100" w:type="dxa"/>
              <w:right w:w="100" w:type="dxa"/>
            </w:tcMar>
            <w:shd w:fill="F4F8FB"/>
          </w:tcPr>
          <w:p>
            <w:pPr>
              <w:widowControl/>
              <w:spacing w:after="40" w:before="40" w:line="250" w:lineRule="auto"/>
            </w:pPr>
            <w:r>
              <w:rPr>
                <w:b/>
                <w:color w:val="000000"/>
                <w:sz w:val="20"/>
              </w:rPr>
              <w:t>Solver seed</w:t>
            </w:r>
          </w:p>
        </w:tc>
        <w:tc>
          <w:tcPr>
            <w:tcW w:type="dxa" w:w="7848"/>
            <w:vAlign w:val="center"/>
            <w:tcMar>
              <w:top w:w="100" w:type="dxa"/>
              <w:left w:w="100" w:type="dxa"/>
              <w:bottom w:w="100" w:type="dxa"/>
              <w:right w:w="100" w:type="dxa"/>
            </w:tcMar>
            <w:shd w:fill="F4F8FB"/>
          </w:tcPr>
          <w:p>
            <w:pPr>
              <w:widowControl/>
              <w:spacing w:after="40" w:before="40" w:line="250" w:lineRule="auto"/>
            </w:pPr>
            <w:r>
              <w:rPr>
                <w:b w:val="0"/>
                <w:color w:val="000000"/>
                <w:sz w:val="20"/>
              </w:rPr>
              <w:t>Input to the search random generator; changes search on the same problem.</w:t>
            </w:r>
          </w:p>
        </w:tc>
      </w:tr>
      <w:tr>
        <w:trPr>
          <w:cantSplit/>
        </w:trPr>
        <w:tc>
          <w:tcPr>
            <w:tcW w:type="dxa" w:w="2232"/>
            <w:vAlign w:val="center"/>
            <w:tcMar>
              <w:top w:w="100" w:type="dxa"/>
              <w:left w:w="100" w:type="dxa"/>
              <w:bottom w:w="100" w:type="dxa"/>
              <w:right w:w="100" w:type="dxa"/>
            </w:tcMar>
            <w:shd w:fill="FFFFFF"/>
          </w:tcPr>
          <w:p>
            <w:pPr>
              <w:widowControl/>
              <w:spacing w:after="40" w:before="40" w:line="250" w:lineRule="auto"/>
            </w:pPr>
            <w:r>
              <w:rPr>
                <w:b/>
                <w:color w:val="000000"/>
                <w:sz w:val="20"/>
              </w:rPr>
              <w:t>Fork</w:t>
            </w:r>
          </w:p>
        </w:tc>
        <w:tc>
          <w:tcPr>
            <w:tcW w:type="dxa" w:w="7848"/>
            <w:vAlign w:val="center"/>
            <w:tcMar>
              <w:top w:w="100" w:type="dxa"/>
              <w:left w:w="100" w:type="dxa"/>
              <w:bottom w:w="100" w:type="dxa"/>
              <w:right w:w="100" w:type="dxa"/>
            </w:tcMar>
            <w:shd w:fill="FFFFFF"/>
          </w:tcPr>
          <w:p>
            <w:pPr>
              <w:widowControl/>
              <w:spacing w:after="40" w:before="40" w:line="250" w:lineRule="auto"/>
            </w:pPr>
            <w:r>
              <w:rPr>
                <w:b w:val="0"/>
                <w:color w:val="000000"/>
                <w:sz w:val="20"/>
              </w:rPr>
              <w:t>A fresh JVM repetition with recorded startup and warmup.</w:t>
            </w:r>
          </w:p>
        </w:tc>
      </w:tr>
      <w:tr>
        <w:trPr>
          <w:cantSplit/>
        </w:trPr>
        <w:tc>
          <w:tcPr>
            <w:tcW w:type="dxa" w:w="2232"/>
            <w:vAlign w:val="center"/>
            <w:tcMar>
              <w:top w:w="100" w:type="dxa"/>
              <w:left w:w="100" w:type="dxa"/>
              <w:bottom w:w="100" w:type="dxa"/>
              <w:right w:w="100" w:type="dxa"/>
            </w:tcMar>
            <w:shd w:fill="F4F8FB"/>
          </w:tcPr>
          <w:p>
            <w:pPr>
              <w:widowControl/>
              <w:spacing w:after="40" w:before="40" w:line="250" w:lineRule="auto"/>
            </w:pPr>
            <w:r>
              <w:rPr>
                <w:b/>
                <w:color w:val="000000"/>
                <w:sz w:val="20"/>
              </w:rPr>
              <w:t>Treatment</w:t>
            </w:r>
          </w:p>
        </w:tc>
        <w:tc>
          <w:tcPr>
            <w:tcW w:type="dxa" w:w="7848"/>
            <w:vAlign w:val="center"/>
            <w:tcMar>
              <w:top w:w="100" w:type="dxa"/>
              <w:left w:w="100" w:type="dxa"/>
              <w:bottom w:w="100" w:type="dxa"/>
              <w:right w:w="100" w:type="dxa"/>
            </w:tcMar>
            <w:shd w:fill="F4F8FB"/>
          </w:tcPr>
          <w:p>
            <w:pPr>
              <w:widowControl/>
              <w:spacing w:after="40" w:before="40" w:line="250" w:lineRule="auto"/>
            </w:pPr>
            <w:r>
              <w:rPr>
                <w:b w:val="0"/>
                <w:color w:val="000000"/>
                <w:sz w:val="20"/>
              </w:rPr>
              <w:t>One complete configuration or implementation being compared with a control.</w:t>
            </w:r>
          </w:p>
        </w:tc>
      </w:tr>
      <w:tr>
        <w:trPr>
          <w:cantSplit/>
        </w:trPr>
        <w:tc>
          <w:tcPr>
            <w:tcW w:type="dxa" w:w="2232"/>
            <w:vAlign w:val="center"/>
            <w:tcMar>
              <w:top w:w="100" w:type="dxa"/>
              <w:left w:w="100" w:type="dxa"/>
              <w:bottom w:w="100" w:type="dxa"/>
              <w:right w:w="100" w:type="dxa"/>
            </w:tcMar>
            <w:shd w:fill="FFFFFF"/>
          </w:tcPr>
          <w:p>
            <w:pPr>
              <w:widowControl/>
              <w:spacing w:after="40" w:before="40" w:line="250" w:lineRule="auto"/>
            </w:pPr>
            <w:r>
              <w:rPr>
                <w:b/>
                <w:color w:val="000000"/>
                <w:sz w:val="20"/>
              </w:rPr>
              <w:t>Paired effect</w:t>
            </w:r>
          </w:p>
        </w:tc>
        <w:tc>
          <w:tcPr>
            <w:tcW w:type="dxa" w:w="7848"/>
            <w:vAlign w:val="center"/>
            <w:tcMar>
              <w:top w:w="100" w:type="dxa"/>
              <w:left w:w="100" w:type="dxa"/>
              <w:bottom w:w="100" w:type="dxa"/>
              <w:right w:w="100" w:type="dxa"/>
            </w:tcMar>
            <w:shd w:fill="FFFFFF"/>
          </w:tcPr>
          <w:p>
            <w:pPr>
              <w:widowControl/>
              <w:spacing w:after="40" w:before="40" w:line="250" w:lineRule="auto"/>
            </w:pPr>
            <w:r>
              <w:rPr>
                <w:b w:val="0"/>
                <w:color w:val="000000"/>
                <w:sz w:val="20"/>
              </w:rPr>
              <w:t>Candidate minus control on matching inputs and conditions. For cost, a negative effect is an improvement.</w:t>
            </w:r>
          </w:p>
        </w:tc>
      </w:tr>
      <w:tr>
        <w:trPr>
          <w:cantSplit/>
        </w:trPr>
        <w:tc>
          <w:tcPr>
            <w:tcW w:type="dxa" w:w="2232"/>
            <w:vAlign w:val="center"/>
            <w:tcMar>
              <w:top w:w="100" w:type="dxa"/>
              <w:left w:w="100" w:type="dxa"/>
              <w:bottom w:w="100" w:type="dxa"/>
              <w:right w:w="100" w:type="dxa"/>
            </w:tcMar>
            <w:shd w:fill="F4F8FB"/>
          </w:tcPr>
          <w:p>
            <w:pPr>
              <w:widowControl/>
              <w:spacing w:after="40" w:before="40" w:line="250" w:lineRule="auto"/>
            </w:pPr>
            <w:r>
              <w:rPr>
                <w:b/>
                <w:color w:val="000000"/>
                <w:sz w:val="20"/>
              </w:rPr>
              <w:t>Held-out corpus</w:t>
            </w:r>
          </w:p>
        </w:tc>
        <w:tc>
          <w:tcPr>
            <w:tcW w:type="dxa" w:w="7848"/>
            <w:vAlign w:val="center"/>
            <w:tcMar>
              <w:top w:w="100" w:type="dxa"/>
              <w:left w:w="100" w:type="dxa"/>
              <w:bottom w:w="100" w:type="dxa"/>
              <w:right w:w="100" w:type="dxa"/>
            </w:tcMar>
            <w:shd w:fill="F4F8FB"/>
          </w:tcPr>
          <w:p>
            <w:pPr>
              <w:widowControl/>
              <w:spacing w:after="40" w:before="40" w:line="250" w:lineRule="auto"/>
            </w:pPr>
            <w:r>
              <w:rPr>
                <w:b w:val="0"/>
                <w:color w:val="000000"/>
                <w:sz w:val="20"/>
              </w:rPr>
              <w:t>Datasets excluded from tuning and used only after the finalist is fixed.</w:t>
            </w:r>
          </w:p>
        </w:tc>
      </w:tr>
      <w:tr>
        <w:trPr>
          <w:cantSplit/>
        </w:trPr>
        <w:tc>
          <w:tcPr>
            <w:tcW w:type="dxa" w:w="2232"/>
            <w:vAlign w:val="center"/>
            <w:tcMar>
              <w:top w:w="100" w:type="dxa"/>
              <w:left w:w="100" w:type="dxa"/>
              <w:bottom w:w="100" w:type="dxa"/>
              <w:right w:w="100" w:type="dxa"/>
            </w:tcMar>
            <w:shd w:fill="FFFFFF"/>
          </w:tcPr>
          <w:p>
            <w:pPr>
              <w:widowControl/>
              <w:spacing w:after="40" w:before="40" w:line="250" w:lineRule="auto"/>
            </w:pPr>
            <w:r>
              <w:rPr>
                <w:b/>
                <w:color w:val="000000"/>
                <w:sz w:val="20"/>
              </w:rPr>
              <w:t>Score plateau</w:t>
            </w:r>
          </w:p>
        </w:tc>
        <w:tc>
          <w:tcPr>
            <w:tcW w:type="dxa" w:w="7848"/>
            <w:vAlign w:val="center"/>
            <w:tcMar>
              <w:top w:w="100" w:type="dxa"/>
              <w:left w:w="100" w:type="dxa"/>
              <w:bottom w:w="100" w:type="dxa"/>
              <w:right w:w="100" w:type="dxa"/>
            </w:tcMar>
            <w:shd w:fill="FFFFFF"/>
          </w:tcPr>
          <w:p>
            <w:pPr>
              <w:widowControl/>
              <w:spacing w:after="40" w:before="40" w:line="250" w:lineRule="auto"/>
            </w:pPr>
            <w:r>
              <w:rPr>
                <w:b w:val="0"/>
                <w:color w:val="000000"/>
                <w:sz w:val="20"/>
              </w:rPr>
              <w:t>Different violations receive the same score, hiding progress toward feasibility.</w:t>
            </w:r>
          </w:p>
        </w:tc>
      </w:tr>
      <w:tr>
        <w:trPr>
          <w:cantSplit/>
        </w:trPr>
        <w:tc>
          <w:tcPr>
            <w:tcW w:type="dxa" w:w="2232"/>
            <w:vAlign w:val="center"/>
            <w:tcMar>
              <w:top w:w="100" w:type="dxa"/>
              <w:left w:w="100" w:type="dxa"/>
              <w:bottom w:w="100" w:type="dxa"/>
              <w:right w:w="100" w:type="dxa"/>
            </w:tcMar>
            <w:shd w:fill="F4F8FB"/>
          </w:tcPr>
          <w:p>
            <w:pPr>
              <w:widowControl/>
              <w:spacing w:after="40" w:before="40" w:line="250" w:lineRule="auto"/>
            </w:pPr>
            <w:r>
              <w:rPr>
                <w:b/>
                <w:color w:val="000000"/>
                <w:sz w:val="20"/>
              </w:rPr>
              <w:t>Incremental aggregate</w:t>
            </w:r>
          </w:p>
        </w:tc>
        <w:tc>
          <w:tcPr>
            <w:tcW w:type="dxa" w:w="7848"/>
            <w:vAlign w:val="center"/>
            <w:tcMar>
              <w:top w:w="100" w:type="dxa"/>
              <w:left w:w="100" w:type="dxa"/>
              <w:bottom w:w="100" w:type="dxa"/>
              <w:right w:w="100" w:type="dxa"/>
            </w:tcMar>
            <w:shd w:fill="F4F8FB"/>
          </w:tcPr>
          <w:p>
            <w:pPr>
              <w:widowControl/>
              <w:spacing w:after="40" w:before="40" w:line="250" w:lineRule="auto"/>
            </w:pPr>
            <w:r>
              <w:rPr>
                <w:b w:val="0"/>
                <w:color w:val="000000"/>
                <w:sz w:val="20"/>
              </w:rPr>
              <w:t>A total updated from changed contributions instead of rescanning every route.</w:t>
            </w:r>
          </w:p>
        </w:tc>
      </w:tr>
      <w:tr>
        <w:trPr>
          <w:cantSplit/>
        </w:trPr>
        <w:tc>
          <w:tcPr>
            <w:tcW w:type="dxa" w:w="2232"/>
            <w:vAlign w:val="center"/>
            <w:tcMar>
              <w:top w:w="100" w:type="dxa"/>
              <w:left w:w="100" w:type="dxa"/>
              <w:bottom w:w="100" w:type="dxa"/>
              <w:right w:w="100" w:type="dxa"/>
            </w:tcMar>
            <w:shd w:fill="FFFFFF"/>
          </w:tcPr>
          <w:p>
            <w:pPr>
              <w:widowControl/>
              <w:spacing w:after="40" w:before="40" w:line="250" w:lineRule="auto"/>
            </w:pPr>
            <w:r>
              <w:rPr>
                <w:b/>
                <w:color w:val="000000"/>
                <w:sz w:val="20"/>
              </w:rPr>
              <w:t>Censored latency</w:t>
            </w:r>
          </w:p>
        </w:tc>
        <w:tc>
          <w:tcPr>
            <w:tcW w:type="dxa" w:w="7848"/>
            <w:vAlign w:val="center"/>
            <w:tcMar>
              <w:top w:w="100" w:type="dxa"/>
              <w:left w:w="100" w:type="dxa"/>
              <w:bottom w:w="100" w:type="dxa"/>
              <w:right w:w="100" w:type="dxa"/>
            </w:tcMar>
            <w:shd w:fill="FFFFFF"/>
          </w:tcPr>
          <w:p>
            <w:pPr>
              <w:widowControl/>
              <w:spacing w:after="40" w:before="40" w:line="250" w:lineRule="auto"/>
            </w:pPr>
            <w:r>
              <w:rPr>
                <w:b w:val="0"/>
                <w:color w:val="000000"/>
                <w:sz w:val="20"/>
              </w:rPr>
              <w:t>The request did not finish within observation; its exact completion duration is unknown.</w:t>
            </w:r>
          </w:p>
        </w:tc>
      </w:tr>
      <w:tr>
        <w:trPr>
          <w:cantSplit/>
        </w:trPr>
        <w:tc>
          <w:tcPr>
            <w:tcW w:type="dxa" w:w="2232"/>
            <w:vAlign w:val="center"/>
            <w:tcMar>
              <w:top w:w="100" w:type="dxa"/>
              <w:left w:w="100" w:type="dxa"/>
              <w:bottom w:w="100" w:type="dxa"/>
              <w:right w:w="100" w:type="dxa"/>
            </w:tcMar>
            <w:shd w:fill="F4F8FB"/>
          </w:tcPr>
          <w:p>
            <w:pPr>
              <w:widowControl/>
              <w:spacing w:after="40" w:before="40" w:line="250" w:lineRule="auto"/>
            </w:pPr>
            <w:r>
              <w:rPr>
                <w:b/>
                <w:color w:val="000000"/>
                <w:sz w:val="20"/>
              </w:rPr>
              <w:t>Confidence interval</w:t>
            </w:r>
          </w:p>
        </w:tc>
        <w:tc>
          <w:tcPr>
            <w:tcW w:type="dxa" w:w="7848"/>
            <w:vAlign w:val="center"/>
            <w:tcMar>
              <w:top w:w="100" w:type="dxa"/>
              <w:left w:w="100" w:type="dxa"/>
              <w:bottom w:w="100" w:type="dxa"/>
              <w:right w:w="100" w:type="dxa"/>
            </w:tcMar>
            <w:shd w:fill="F4F8FB"/>
          </w:tcPr>
          <w:p>
            <w:pPr>
              <w:widowControl/>
              <w:spacing w:after="40" w:before="40" w:line="250" w:lineRule="auto"/>
            </w:pPr>
            <w:r>
              <w:rPr>
                <w:b w:val="0"/>
                <w:color w:val="000000"/>
                <w:sz w:val="20"/>
              </w:rPr>
              <w:t>Uncertainty under the stated sampling/resampling assumptions, not a guarantee about unrepresented production days.</w:t>
            </w:r>
          </w:p>
        </w:tc>
      </w:tr>
    </w:tbl>
    <w:p>
      <w:pPr>
        <w:spacing w:after="80" w:line="60" w:lineRule="exact"/>
      </w:pPr>
    </w:p>
    <w:p>
      <w:pPr>
        <w:pStyle w:val="Heading1"/>
      </w:pPr>
      <w:r>
        <w:t>Code and documentation reference register</w:t>
      </w:r>
    </w:p>
    <w:p>
      <w:pPr>
        <w:keepLines w:val="0"/>
      </w:pPr>
      <w:r>
        <w:t>Every C reference resolves to the immutable reviewed source. The companion source-register.json records the exact local documentation hash, section ranges, applicability, and live-page version observations. Guide citations in the body identify the principle used; proposed corpus sizes, calibration tolerances, statistical methods, and promotion gates are WaterFlex design choices.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008"/>
        <w:gridCol w:w="9072"/>
      </w:tblGrid>
      <w:tr>
        <w:trPr>
          <w:cantSplit/>
          <w:tblHeader/>
        </w:trPr>
        <w:tc>
          <w:tcPr>
            <w:tcW w:type="dxa" w:w="1008"/>
            <w:vAlign w:val="center"/>
            <w:tcMar>
              <w:top w:w="100" w:type="dxa"/>
              <w:left w:w="100" w:type="dxa"/>
              <w:bottom w:w="100" w:type="dxa"/>
              <w:right w:w="100" w:type="dxa"/>
            </w:tcMar>
            <w:shd w:fill="DDEBF7"/>
          </w:tcPr>
          <w:p>
            <w:pPr>
              <w:keepNext/>
              <w:widowControl/>
              <w:spacing w:after="40" w:before="40" w:line="250" w:lineRule="auto"/>
            </w:pPr>
            <w:r>
              <w:rPr>
                <w:b/>
                <w:color w:val="000000"/>
                <w:sz w:val="20"/>
              </w:rPr>
              <w:t>Source</w:t>
            </w:r>
          </w:p>
        </w:tc>
        <w:tc>
          <w:tcPr>
            <w:tcW w:type="dxa" w:w="9072"/>
            <w:vAlign w:val="center"/>
            <w:tcMar>
              <w:top w:w="100" w:type="dxa"/>
              <w:left w:w="100" w:type="dxa"/>
              <w:bottom w:w="100" w:type="dxa"/>
              <w:right w:w="100" w:type="dxa"/>
            </w:tcMar>
            <w:shd w:fill="DDEBF7"/>
          </w:tcPr>
          <w:p>
            <w:pPr>
              <w:keepNext/>
              <w:widowControl/>
              <w:spacing w:after="40" w:before="40" w:line="250" w:lineRule="auto"/>
            </w:pPr>
            <w:r>
              <w:rPr>
                <w:b/>
                <w:color w:val="000000"/>
                <w:sz w:val="20"/>
              </w:rPr>
              <w:t>Reviewed implementation</w:t>
            </w:r>
          </w:p>
        </w:tc>
      </w:tr>
      <w:tr>
        <w:trPr>
          <w:cantSplit/>
        </w:trPr>
        <w:tc>
          <w:tcPr>
            <w:tcW w:type="dxa" w:w="1008"/>
            <w:vAlign w:val="center"/>
            <w:tcMar>
              <w:top w:w="100" w:type="dxa"/>
              <w:left w:w="100" w:type="dxa"/>
              <w:bottom w:w="100" w:type="dxa"/>
              <w:right w:w="100" w:type="dxa"/>
            </w:tcMar>
            <w:shd w:fill="FFFFFF"/>
          </w:tcPr>
          <w:p>
            <w:pPr>
              <w:widowControl/>
              <w:spacing w:after="40" w:before="40" w:line="250" w:lineRule="auto"/>
            </w:pPr>
            <w:r>
              <w:rPr>
                <w:b/>
                <w:color w:val="000000"/>
                <w:sz w:val="20"/>
              </w:rPr>
              <w:t>C01</w:t>
            </w:r>
          </w:p>
        </w:tc>
        <w:tc>
          <w:tcPr>
            <w:tcW w:type="dxa" w:w="9072"/>
            <w:vAlign w:val="center"/>
            <w:tcMar>
              <w:top w:w="100" w:type="dxa"/>
              <w:left w:w="100" w:type="dxa"/>
              <w:bottom w:w="100" w:type="dxa"/>
              <w:right w:w="100" w:type="dxa"/>
            </w:tcMar>
            <w:shd w:fill="FFFFFF"/>
          </w:tcPr>
          <w:p>
            <w:pPr>
              <w:widowControl/>
              <w:spacing w:after="40" w:before="40" w:line="250" w:lineRule="auto"/>
            </w:pPr>
            <w:r>
              <w:rPr>
                <w:b w:val="0"/>
                <w:color w:val="000000"/>
                <w:sz w:val="20"/>
              </w:rPr>
            </w:r>
            <w:hyperlink r:id="rId23">
              <w:r>
                <w:rPr>
                  <w:color w:val="205781"/>
                  <w:sz w:val="20"/>
                </w:rPr>
                <w:t>BookingSearchPipeline</w:t>
              </w:r>
            </w:hyperlink>
            <w:r>
              <w:rPr>
                <w:b w:val="0"/>
                <w:color w:val="000000"/>
                <w:sz w:val="20"/>
              </w:rPr>
            </w:r>
          </w:p>
        </w:tc>
      </w:tr>
      <w:tr>
        <w:trPr>
          <w:cantSplit/>
        </w:trPr>
        <w:tc>
          <w:tcPr>
            <w:tcW w:type="dxa" w:w="1008"/>
            <w:vAlign w:val="center"/>
            <w:tcMar>
              <w:top w:w="100" w:type="dxa"/>
              <w:left w:w="100" w:type="dxa"/>
              <w:bottom w:w="100" w:type="dxa"/>
              <w:right w:w="100" w:type="dxa"/>
            </w:tcMar>
            <w:shd w:fill="F4F8FB"/>
          </w:tcPr>
          <w:p>
            <w:pPr>
              <w:widowControl/>
              <w:spacing w:after="40" w:before="40" w:line="250" w:lineRule="auto"/>
            </w:pPr>
            <w:r>
              <w:rPr>
                <w:b/>
                <w:color w:val="000000"/>
                <w:sz w:val="20"/>
              </w:rPr>
              <w:t>C02</w:t>
            </w:r>
          </w:p>
        </w:tc>
        <w:tc>
          <w:tcPr>
            <w:tcW w:type="dxa" w:w="9072"/>
            <w:vAlign w:val="center"/>
            <w:tcMar>
              <w:top w:w="100" w:type="dxa"/>
              <w:left w:w="100" w:type="dxa"/>
              <w:bottom w:w="100" w:type="dxa"/>
              <w:right w:w="100" w:type="dxa"/>
            </w:tcMar>
            <w:shd w:fill="F4F8FB"/>
          </w:tcPr>
          <w:p>
            <w:pPr>
              <w:widowControl/>
              <w:spacing w:after="40" w:before="40" w:line="250" w:lineRule="auto"/>
            </w:pPr>
            <w:r>
              <w:rPr>
                <w:b w:val="0"/>
                <w:color w:val="000000"/>
                <w:sz w:val="20"/>
              </w:rPr>
            </w:r>
            <w:hyperlink r:id="rId24">
              <w:r>
                <w:rPr>
                  <w:color w:val="205781"/>
                  <w:sz w:val="20"/>
                </w:rPr>
                <w:t>BoundedBookingSearch</w:t>
              </w:r>
            </w:hyperlink>
            <w:r>
              <w:rPr>
                <w:b w:val="0"/>
                <w:color w:val="000000"/>
                <w:sz w:val="20"/>
              </w:rPr>
            </w:r>
          </w:p>
        </w:tc>
      </w:tr>
      <w:tr>
        <w:trPr>
          <w:cantSplit/>
        </w:trPr>
        <w:tc>
          <w:tcPr>
            <w:tcW w:type="dxa" w:w="1008"/>
            <w:vAlign w:val="center"/>
            <w:tcMar>
              <w:top w:w="100" w:type="dxa"/>
              <w:left w:w="100" w:type="dxa"/>
              <w:bottom w:w="100" w:type="dxa"/>
              <w:right w:w="100" w:type="dxa"/>
            </w:tcMar>
            <w:shd w:fill="FFFFFF"/>
          </w:tcPr>
          <w:p>
            <w:pPr>
              <w:widowControl/>
              <w:spacing w:after="40" w:before="40" w:line="250" w:lineRule="auto"/>
            </w:pPr>
            <w:r>
              <w:rPr>
                <w:b/>
                <w:color w:val="000000"/>
                <w:sz w:val="20"/>
              </w:rPr>
              <w:t>C03</w:t>
            </w:r>
          </w:p>
        </w:tc>
        <w:tc>
          <w:tcPr>
            <w:tcW w:type="dxa" w:w="9072"/>
            <w:vAlign w:val="center"/>
            <w:tcMar>
              <w:top w:w="100" w:type="dxa"/>
              <w:left w:w="100" w:type="dxa"/>
              <w:bottom w:w="100" w:type="dxa"/>
              <w:right w:w="100" w:type="dxa"/>
            </w:tcMar>
            <w:shd w:fill="FFFFFF"/>
          </w:tcPr>
          <w:p>
            <w:pPr>
              <w:widowControl/>
              <w:spacing w:after="40" w:before="40" w:line="250" w:lineRule="auto"/>
            </w:pPr>
            <w:r>
              <w:rPr>
                <w:b w:val="0"/>
                <w:color w:val="000000"/>
                <w:sz w:val="20"/>
              </w:rPr>
            </w:r>
            <w:hyperlink r:id="rId25">
              <w:r>
                <w:rPr>
                  <w:color w:val="205781"/>
                  <w:sz w:val="20"/>
                </w:rPr>
                <w:t>OptimizationService</w:t>
              </w:r>
            </w:hyperlink>
            <w:r>
              <w:rPr>
                <w:b w:val="0"/>
                <w:color w:val="000000"/>
                <w:sz w:val="20"/>
              </w:rPr>
            </w:r>
          </w:p>
        </w:tc>
      </w:tr>
      <w:tr>
        <w:trPr>
          <w:cantSplit/>
        </w:trPr>
        <w:tc>
          <w:tcPr>
            <w:tcW w:type="dxa" w:w="1008"/>
            <w:vAlign w:val="center"/>
            <w:tcMar>
              <w:top w:w="100" w:type="dxa"/>
              <w:left w:w="100" w:type="dxa"/>
              <w:bottom w:w="100" w:type="dxa"/>
              <w:right w:w="100" w:type="dxa"/>
            </w:tcMar>
            <w:shd w:fill="F4F8FB"/>
          </w:tcPr>
          <w:p>
            <w:pPr>
              <w:widowControl/>
              <w:spacing w:after="40" w:before="40" w:line="250" w:lineRule="auto"/>
            </w:pPr>
            <w:r>
              <w:rPr>
                <w:b/>
                <w:color w:val="000000"/>
                <w:sz w:val="20"/>
              </w:rPr>
              <w:t>C04</w:t>
            </w:r>
          </w:p>
        </w:tc>
        <w:tc>
          <w:tcPr>
            <w:tcW w:type="dxa" w:w="9072"/>
            <w:vAlign w:val="center"/>
            <w:tcMar>
              <w:top w:w="100" w:type="dxa"/>
              <w:left w:w="100" w:type="dxa"/>
              <w:bottom w:w="100" w:type="dxa"/>
              <w:right w:w="100" w:type="dxa"/>
            </w:tcMar>
            <w:shd w:fill="F4F8FB"/>
          </w:tcPr>
          <w:p>
            <w:pPr>
              <w:widowControl/>
              <w:spacing w:after="40" w:before="40" w:line="250" w:lineRule="auto"/>
            </w:pPr>
            <w:r>
              <w:rPr>
                <w:b w:val="0"/>
                <w:color w:val="000000"/>
                <w:sz w:val="20"/>
              </w:rPr>
            </w:r>
            <w:hyperlink r:id="rId26">
              <w:r>
                <w:rPr>
                  <w:color w:val="205781"/>
                  <w:sz w:val="20"/>
                </w:rPr>
                <w:t>DailySolver</w:t>
              </w:r>
            </w:hyperlink>
            <w:r>
              <w:rPr>
                <w:b w:val="0"/>
                <w:color w:val="000000"/>
                <w:sz w:val="20"/>
              </w:rPr>
            </w:r>
          </w:p>
        </w:tc>
      </w:tr>
      <w:tr>
        <w:trPr>
          <w:cantSplit/>
        </w:trPr>
        <w:tc>
          <w:tcPr>
            <w:tcW w:type="dxa" w:w="1008"/>
            <w:vAlign w:val="center"/>
            <w:tcMar>
              <w:top w:w="100" w:type="dxa"/>
              <w:left w:w="100" w:type="dxa"/>
              <w:bottom w:w="100" w:type="dxa"/>
              <w:right w:w="100" w:type="dxa"/>
            </w:tcMar>
            <w:shd w:fill="FFFFFF"/>
          </w:tcPr>
          <w:p>
            <w:pPr>
              <w:widowControl/>
              <w:spacing w:after="40" w:before="40" w:line="250" w:lineRule="auto"/>
            </w:pPr>
            <w:r>
              <w:rPr>
                <w:b/>
                <w:color w:val="000000"/>
                <w:sz w:val="20"/>
              </w:rPr>
              <w:t>C05</w:t>
            </w:r>
          </w:p>
        </w:tc>
        <w:tc>
          <w:tcPr>
            <w:tcW w:type="dxa" w:w="9072"/>
            <w:vAlign w:val="center"/>
            <w:tcMar>
              <w:top w:w="100" w:type="dxa"/>
              <w:left w:w="100" w:type="dxa"/>
              <w:bottom w:w="100" w:type="dxa"/>
              <w:right w:w="100" w:type="dxa"/>
            </w:tcMar>
            <w:shd w:fill="FFFFFF"/>
          </w:tcPr>
          <w:p>
            <w:pPr>
              <w:widowControl/>
              <w:spacing w:after="40" w:before="40" w:line="250" w:lineRule="auto"/>
            </w:pPr>
            <w:r>
              <w:rPr>
                <w:b w:val="0"/>
                <w:color w:val="000000"/>
                <w:sz w:val="20"/>
              </w:rPr>
            </w:r>
            <w:hyperlink r:id="rId27">
              <w:r>
                <w:rPr>
                  <w:color w:val="205781"/>
                  <w:sz w:val="20"/>
                </w:rPr>
                <w:t>SolverExperiment</w:t>
              </w:r>
            </w:hyperlink>
            <w:r>
              <w:rPr>
                <w:b w:val="0"/>
                <w:color w:val="000000"/>
                <w:sz w:val="20"/>
              </w:rPr>
            </w:r>
          </w:p>
        </w:tc>
      </w:tr>
      <w:tr>
        <w:trPr>
          <w:cantSplit/>
        </w:trPr>
        <w:tc>
          <w:tcPr>
            <w:tcW w:type="dxa" w:w="1008"/>
            <w:vAlign w:val="center"/>
            <w:tcMar>
              <w:top w:w="100" w:type="dxa"/>
              <w:left w:w="100" w:type="dxa"/>
              <w:bottom w:w="100" w:type="dxa"/>
              <w:right w:w="100" w:type="dxa"/>
            </w:tcMar>
            <w:shd w:fill="F4F8FB"/>
          </w:tcPr>
          <w:p>
            <w:pPr>
              <w:widowControl/>
              <w:spacing w:after="40" w:before="40" w:line="250" w:lineRule="auto"/>
            </w:pPr>
            <w:r>
              <w:rPr>
                <w:b/>
                <w:color w:val="000000"/>
                <w:sz w:val="20"/>
              </w:rPr>
              <w:t>C06</w:t>
            </w:r>
          </w:p>
        </w:tc>
        <w:tc>
          <w:tcPr>
            <w:tcW w:type="dxa" w:w="9072"/>
            <w:vAlign w:val="center"/>
            <w:tcMar>
              <w:top w:w="100" w:type="dxa"/>
              <w:left w:w="100" w:type="dxa"/>
              <w:bottom w:w="100" w:type="dxa"/>
              <w:right w:w="100" w:type="dxa"/>
            </w:tcMar>
            <w:shd w:fill="F4F8FB"/>
          </w:tcPr>
          <w:p>
            <w:pPr>
              <w:widowControl/>
              <w:spacing w:after="40" w:before="40" w:line="250" w:lineRule="auto"/>
            </w:pPr>
            <w:r>
              <w:rPr>
                <w:b w:val="0"/>
                <w:color w:val="000000"/>
                <w:sz w:val="20"/>
              </w:rPr>
            </w:r>
            <w:hyperlink r:id="rId28">
              <w:r>
                <w:rPr>
                  <w:color w:val="205781"/>
                  <w:sz w:val="20"/>
                </w:rPr>
                <w:t>SchedulingPolicy</w:t>
              </w:r>
            </w:hyperlink>
            <w:r>
              <w:rPr>
                <w:b w:val="0"/>
                <w:color w:val="000000"/>
                <w:sz w:val="20"/>
              </w:rPr>
            </w:r>
          </w:p>
        </w:tc>
      </w:tr>
      <w:tr>
        <w:trPr>
          <w:cantSplit/>
        </w:trPr>
        <w:tc>
          <w:tcPr>
            <w:tcW w:type="dxa" w:w="1008"/>
            <w:vAlign w:val="center"/>
            <w:tcMar>
              <w:top w:w="100" w:type="dxa"/>
              <w:left w:w="100" w:type="dxa"/>
              <w:bottom w:w="100" w:type="dxa"/>
              <w:right w:w="100" w:type="dxa"/>
            </w:tcMar>
            <w:shd w:fill="FFFFFF"/>
          </w:tcPr>
          <w:p>
            <w:pPr>
              <w:widowControl/>
              <w:spacing w:after="40" w:before="40" w:line="250" w:lineRule="auto"/>
            </w:pPr>
            <w:r>
              <w:rPr>
                <w:b/>
                <w:color w:val="000000"/>
                <w:sz w:val="20"/>
              </w:rPr>
              <w:t>C07</w:t>
            </w:r>
          </w:p>
        </w:tc>
        <w:tc>
          <w:tcPr>
            <w:tcW w:type="dxa" w:w="9072"/>
            <w:vAlign w:val="center"/>
            <w:tcMar>
              <w:top w:w="100" w:type="dxa"/>
              <w:left w:w="100" w:type="dxa"/>
              <w:bottom w:w="100" w:type="dxa"/>
              <w:right w:w="100" w:type="dxa"/>
            </w:tcMar>
            <w:shd w:fill="FFFFFF"/>
          </w:tcPr>
          <w:p>
            <w:pPr>
              <w:widowControl/>
              <w:spacing w:after="40" w:before="40" w:line="250" w:lineRule="auto"/>
            </w:pPr>
            <w:r>
              <w:rPr>
                <w:b w:val="0"/>
                <w:color w:val="000000"/>
                <w:sz w:val="20"/>
              </w:rPr>
            </w:r>
            <w:hyperlink r:id="rId29">
              <w:r>
                <w:rPr>
                  <w:color w:val="205781"/>
                  <w:sz w:val="20"/>
                </w:rPr>
                <w:t>TimefoldAuditEvidenceTest</w:t>
              </w:r>
            </w:hyperlink>
            <w:r>
              <w:rPr>
                <w:b w:val="0"/>
                <w:color w:val="000000"/>
                <w:sz w:val="20"/>
              </w:rPr>
            </w:r>
          </w:p>
        </w:tc>
      </w:tr>
      <w:tr>
        <w:trPr>
          <w:cantSplit/>
        </w:trPr>
        <w:tc>
          <w:tcPr>
            <w:tcW w:type="dxa" w:w="1008"/>
            <w:vAlign w:val="center"/>
            <w:tcMar>
              <w:top w:w="100" w:type="dxa"/>
              <w:left w:w="100" w:type="dxa"/>
              <w:bottom w:w="100" w:type="dxa"/>
              <w:right w:w="100" w:type="dxa"/>
            </w:tcMar>
            <w:shd w:fill="F4F8FB"/>
          </w:tcPr>
          <w:p>
            <w:pPr>
              <w:widowControl/>
              <w:spacing w:after="40" w:before="40" w:line="250" w:lineRule="auto"/>
            </w:pPr>
            <w:r>
              <w:rPr>
                <w:b/>
                <w:color w:val="000000"/>
                <w:sz w:val="20"/>
              </w:rPr>
              <w:t>C08</w:t>
            </w:r>
          </w:p>
        </w:tc>
        <w:tc>
          <w:tcPr>
            <w:tcW w:type="dxa" w:w="9072"/>
            <w:vAlign w:val="center"/>
            <w:tcMar>
              <w:top w:w="100" w:type="dxa"/>
              <w:left w:w="100" w:type="dxa"/>
              <w:bottom w:w="100" w:type="dxa"/>
              <w:right w:w="100" w:type="dxa"/>
            </w:tcMar>
            <w:shd w:fill="F4F8FB"/>
          </w:tcPr>
          <w:p>
            <w:pPr>
              <w:widowControl/>
              <w:spacing w:after="40" w:before="40" w:line="250" w:lineRule="auto"/>
            </w:pPr>
            <w:r>
              <w:rPr>
                <w:b w:val="0"/>
                <w:color w:val="000000"/>
                <w:sz w:val="20"/>
              </w:rPr>
            </w:r>
            <w:hyperlink r:id="rId30">
              <w:r>
                <w:rPr>
                  <w:color w:val="205781"/>
                  <w:sz w:val="20"/>
                </w:rPr>
                <w:t>PlanCopies</w:t>
              </w:r>
            </w:hyperlink>
            <w:r>
              <w:rPr>
                <w:b w:val="0"/>
                <w:color w:val="000000"/>
                <w:sz w:val="20"/>
              </w:rPr>
              <w:t xml:space="preserve"> and </w:t>
            </w:r>
            <w:hyperlink r:id="rId31">
              <w:r>
                <w:rPr>
                  <w:color w:val="205781"/>
                  <w:sz w:val="20"/>
                </w:rPr>
                <w:t>DayPlan</w:t>
              </w:r>
            </w:hyperlink>
            <w:r>
              <w:rPr>
                <w:b w:val="0"/>
                <w:color w:val="000000"/>
                <w:sz w:val="20"/>
              </w:rPr>
            </w:r>
          </w:p>
        </w:tc>
      </w:tr>
      <w:tr>
        <w:trPr>
          <w:cantSplit/>
        </w:trPr>
        <w:tc>
          <w:tcPr>
            <w:tcW w:type="dxa" w:w="1008"/>
            <w:vAlign w:val="center"/>
            <w:tcMar>
              <w:top w:w="100" w:type="dxa"/>
              <w:left w:w="100" w:type="dxa"/>
              <w:bottom w:w="100" w:type="dxa"/>
              <w:right w:w="100" w:type="dxa"/>
            </w:tcMar>
            <w:shd w:fill="FFFFFF"/>
          </w:tcPr>
          <w:p>
            <w:pPr>
              <w:widowControl/>
              <w:spacing w:after="40" w:before="40" w:line="250" w:lineRule="auto"/>
            </w:pPr>
            <w:r>
              <w:rPr>
                <w:b/>
                <w:color w:val="000000"/>
                <w:sz w:val="20"/>
              </w:rPr>
              <w:t>C09</w:t>
            </w:r>
          </w:p>
        </w:tc>
        <w:tc>
          <w:tcPr>
            <w:tcW w:type="dxa" w:w="9072"/>
            <w:vAlign w:val="center"/>
            <w:tcMar>
              <w:top w:w="100" w:type="dxa"/>
              <w:left w:w="100" w:type="dxa"/>
              <w:bottom w:w="100" w:type="dxa"/>
              <w:right w:w="100" w:type="dxa"/>
            </w:tcMar>
            <w:shd w:fill="FFFFFF"/>
          </w:tcPr>
          <w:p>
            <w:pPr>
              <w:widowControl/>
              <w:spacing w:after="40" w:before="40" w:line="250" w:lineRule="auto"/>
            </w:pPr>
            <w:r>
              <w:rPr>
                <w:b w:val="0"/>
                <w:color w:val="000000"/>
                <w:sz w:val="20"/>
              </w:rPr>
            </w:r>
            <w:hyperlink r:id="rId32">
              <w:r>
                <w:rPr>
                  <w:color w:val="205781"/>
                  <w:sz w:val="20"/>
                </w:rPr>
                <w:t>RouteEvaluator</w:t>
              </w:r>
            </w:hyperlink>
            <w:r>
              <w:rPr>
                <w:b w:val="0"/>
                <w:color w:val="000000"/>
                <w:sz w:val="20"/>
              </w:rPr>
            </w:r>
          </w:p>
        </w:tc>
      </w:tr>
      <w:tr>
        <w:trPr>
          <w:cantSplit/>
        </w:trPr>
        <w:tc>
          <w:tcPr>
            <w:tcW w:type="dxa" w:w="1008"/>
            <w:vAlign w:val="center"/>
            <w:tcMar>
              <w:top w:w="100" w:type="dxa"/>
              <w:left w:w="100" w:type="dxa"/>
              <w:bottom w:w="100" w:type="dxa"/>
              <w:right w:w="100" w:type="dxa"/>
            </w:tcMar>
            <w:shd w:fill="F4F8FB"/>
          </w:tcPr>
          <w:p>
            <w:pPr>
              <w:widowControl/>
              <w:spacing w:after="40" w:before="40" w:line="250" w:lineRule="auto"/>
            </w:pPr>
            <w:r>
              <w:rPr>
                <w:b/>
                <w:color w:val="000000"/>
                <w:sz w:val="20"/>
              </w:rPr>
              <w:t>C10</w:t>
            </w:r>
          </w:p>
        </w:tc>
        <w:tc>
          <w:tcPr>
            <w:tcW w:type="dxa" w:w="9072"/>
            <w:vAlign w:val="center"/>
            <w:tcMar>
              <w:top w:w="100" w:type="dxa"/>
              <w:left w:w="100" w:type="dxa"/>
              <w:bottom w:w="100" w:type="dxa"/>
              <w:right w:w="100" w:type="dxa"/>
            </w:tcMar>
            <w:shd w:fill="F4F8FB"/>
          </w:tcPr>
          <w:p>
            <w:pPr>
              <w:widowControl/>
              <w:spacing w:after="40" w:before="40" w:line="250" w:lineRule="auto"/>
            </w:pPr>
            <w:r>
              <w:rPr>
                <w:b w:val="0"/>
                <w:color w:val="000000"/>
                <w:sz w:val="20"/>
              </w:rPr>
            </w:r>
            <w:hyperlink r:id="rId33">
              <w:r>
                <w:rPr>
                  <w:color w:val="205781"/>
                  <w:sz w:val="20"/>
                </w:rPr>
                <w:t>RouteScoringFacts</w:t>
              </w:r>
            </w:hyperlink>
            <w:r>
              <w:rPr>
                <w:b w:val="0"/>
                <w:color w:val="000000"/>
                <w:sz w:val="20"/>
              </w:rPr>
            </w:r>
          </w:p>
        </w:tc>
      </w:tr>
      <w:tr>
        <w:trPr>
          <w:cantSplit/>
        </w:trPr>
        <w:tc>
          <w:tcPr>
            <w:tcW w:type="dxa" w:w="1008"/>
            <w:vAlign w:val="center"/>
            <w:tcMar>
              <w:top w:w="100" w:type="dxa"/>
              <w:left w:w="100" w:type="dxa"/>
              <w:bottom w:w="100" w:type="dxa"/>
              <w:right w:w="100" w:type="dxa"/>
            </w:tcMar>
            <w:shd w:fill="FFFFFF"/>
          </w:tcPr>
          <w:p>
            <w:pPr>
              <w:widowControl/>
              <w:spacing w:after="40" w:before="40" w:line="250" w:lineRule="auto"/>
            </w:pPr>
            <w:r>
              <w:rPr>
                <w:b/>
                <w:color w:val="000000"/>
                <w:sz w:val="20"/>
              </w:rPr>
              <w:t>C11</w:t>
            </w:r>
          </w:p>
        </w:tc>
        <w:tc>
          <w:tcPr>
            <w:tcW w:type="dxa" w:w="9072"/>
            <w:vAlign w:val="center"/>
            <w:tcMar>
              <w:top w:w="100" w:type="dxa"/>
              <w:left w:w="100" w:type="dxa"/>
              <w:bottom w:w="100" w:type="dxa"/>
              <w:right w:w="100" w:type="dxa"/>
            </w:tcMar>
            <w:shd w:fill="FFFFFF"/>
          </w:tcPr>
          <w:p>
            <w:pPr>
              <w:widowControl/>
              <w:spacing w:after="40" w:before="40" w:line="250" w:lineRule="auto"/>
            </w:pPr>
            <w:r>
              <w:rPr>
                <w:b w:val="0"/>
                <w:color w:val="000000"/>
                <w:sz w:val="20"/>
              </w:rPr>
            </w:r>
            <w:hyperlink r:id="rId34">
              <w:r>
                <w:rPr>
                  <w:color w:val="205781"/>
                  <w:sz w:val="20"/>
                </w:rPr>
                <w:t>SearchDeadline</w:t>
              </w:r>
            </w:hyperlink>
            <w:r>
              <w:rPr>
                <w:b w:val="0"/>
                <w:color w:val="000000"/>
                <w:sz w:val="20"/>
              </w:rPr>
              <w:t xml:space="preserve"> and </w:t>
            </w:r>
            <w:hyperlink r:id="rId35">
              <w:r>
                <w:rPr>
                  <w:color w:val="205781"/>
                  <w:sz w:val="20"/>
                </w:rPr>
                <w:t>SearchAdmission</w:t>
              </w:r>
            </w:hyperlink>
            <w:r>
              <w:rPr>
                <w:b w:val="0"/>
                <w:color w:val="000000"/>
                <w:sz w:val="20"/>
              </w:rPr>
            </w:r>
          </w:p>
        </w:tc>
      </w:tr>
      <w:tr>
        <w:trPr>
          <w:cantSplit/>
        </w:trPr>
        <w:tc>
          <w:tcPr>
            <w:tcW w:type="dxa" w:w="1008"/>
            <w:vAlign w:val="center"/>
            <w:tcMar>
              <w:top w:w="100" w:type="dxa"/>
              <w:left w:w="100" w:type="dxa"/>
              <w:bottom w:w="100" w:type="dxa"/>
              <w:right w:w="100" w:type="dxa"/>
            </w:tcMar>
            <w:shd w:fill="F4F8FB"/>
          </w:tcPr>
          <w:p>
            <w:pPr>
              <w:widowControl/>
              <w:spacing w:after="40" w:before="40" w:line="250" w:lineRule="auto"/>
            </w:pPr>
            <w:r>
              <w:rPr>
                <w:b/>
                <w:color w:val="000000"/>
                <w:sz w:val="20"/>
              </w:rPr>
              <w:t>C12</w:t>
            </w:r>
          </w:p>
        </w:tc>
        <w:tc>
          <w:tcPr>
            <w:tcW w:type="dxa" w:w="9072"/>
            <w:vAlign w:val="center"/>
            <w:tcMar>
              <w:top w:w="100" w:type="dxa"/>
              <w:left w:w="100" w:type="dxa"/>
              <w:bottom w:w="100" w:type="dxa"/>
              <w:right w:w="100" w:type="dxa"/>
            </w:tcMar>
            <w:shd w:fill="F4F8FB"/>
          </w:tcPr>
          <w:p>
            <w:pPr>
              <w:widowControl/>
              <w:spacing w:after="40" w:before="40" w:line="250" w:lineRule="auto"/>
            </w:pPr>
            <w:r>
              <w:rPr>
                <w:b w:val="0"/>
                <w:color w:val="000000"/>
                <w:sz w:val="20"/>
              </w:rPr>
            </w:r>
            <w:hyperlink r:id="rId36">
              <w:r>
                <w:rPr>
                  <w:color w:val="205781"/>
                  <w:sz w:val="20"/>
                </w:rPr>
                <w:t>RouteTimeline</w:t>
              </w:r>
            </w:hyperlink>
            <w:r>
              <w:rPr>
                <w:b w:val="0"/>
                <w:color w:val="000000"/>
                <w:sz w:val="20"/>
              </w:rPr>
            </w:r>
          </w:p>
        </w:tc>
      </w:tr>
      <w:tr>
        <w:trPr>
          <w:cantSplit/>
        </w:trPr>
        <w:tc>
          <w:tcPr>
            <w:tcW w:type="dxa" w:w="1008"/>
            <w:vAlign w:val="center"/>
            <w:tcMar>
              <w:top w:w="100" w:type="dxa"/>
              <w:left w:w="100" w:type="dxa"/>
              <w:bottom w:w="100" w:type="dxa"/>
              <w:right w:w="100" w:type="dxa"/>
            </w:tcMar>
            <w:shd w:fill="FFFFFF"/>
          </w:tcPr>
          <w:p>
            <w:pPr>
              <w:widowControl/>
              <w:spacing w:after="40" w:before="40" w:line="250" w:lineRule="auto"/>
            </w:pPr>
            <w:r>
              <w:rPr>
                <w:b/>
                <w:color w:val="000000"/>
                <w:sz w:val="20"/>
              </w:rPr>
              <w:t>C13</w:t>
            </w:r>
          </w:p>
        </w:tc>
        <w:tc>
          <w:tcPr>
            <w:tcW w:type="dxa" w:w="9072"/>
            <w:vAlign w:val="center"/>
            <w:tcMar>
              <w:top w:w="100" w:type="dxa"/>
              <w:left w:w="100" w:type="dxa"/>
              <w:bottom w:w="100" w:type="dxa"/>
              <w:right w:w="100" w:type="dxa"/>
            </w:tcMar>
            <w:shd w:fill="FFFFFF"/>
          </w:tcPr>
          <w:p>
            <w:pPr>
              <w:widowControl/>
              <w:spacing w:after="40" w:before="40" w:line="250" w:lineRule="auto"/>
            </w:pPr>
            <w:r>
              <w:rPr>
                <w:b w:val="0"/>
                <w:color w:val="000000"/>
                <w:sz w:val="20"/>
              </w:rPr>
            </w:r>
            <w:hyperlink r:id="rId37">
              <w:r>
                <w:rPr>
                  <w:color w:val="205781"/>
                  <w:sz w:val="20"/>
                </w:rPr>
                <w:t>DayConstraintProvider</w:t>
              </w:r>
            </w:hyperlink>
            <w:r>
              <w:rPr>
                <w:b w:val="0"/>
                <w:color w:val="000000"/>
                <w:sz w:val="20"/>
              </w:rPr>
            </w:r>
          </w:p>
        </w:tc>
      </w:tr>
      <w:tr>
        <w:trPr>
          <w:cantSplit/>
        </w:trPr>
        <w:tc>
          <w:tcPr>
            <w:tcW w:type="dxa" w:w="1008"/>
            <w:vAlign w:val="center"/>
            <w:tcMar>
              <w:top w:w="100" w:type="dxa"/>
              <w:left w:w="100" w:type="dxa"/>
              <w:bottom w:w="100" w:type="dxa"/>
              <w:right w:w="100" w:type="dxa"/>
            </w:tcMar>
            <w:shd w:fill="F4F8FB"/>
          </w:tcPr>
          <w:p>
            <w:pPr>
              <w:widowControl/>
              <w:spacing w:after="40" w:before="40" w:line="250" w:lineRule="auto"/>
            </w:pPr>
            <w:r>
              <w:rPr>
                <w:b/>
                <w:color w:val="000000"/>
                <w:sz w:val="20"/>
              </w:rPr>
              <w:t>C14</w:t>
            </w:r>
          </w:p>
        </w:tc>
        <w:tc>
          <w:tcPr>
            <w:tcW w:type="dxa" w:w="9072"/>
            <w:vAlign w:val="center"/>
            <w:tcMar>
              <w:top w:w="100" w:type="dxa"/>
              <w:left w:w="100" w:type="dxa"/>
              <w:bottom w:w="100" w:type="dxa"/>
              <w:right w:w="100" w:type="dxa"/>
            </w:tcMar>
            <w:shd w:fill="F4F8FB"/>
          </w:tcPr>
          <w:p>
            <w:pPr>
              <w:widowControl/>
              <w:spacing w:after="40" w:before="40" w:line="250" w:lineRule="auto"/>
            </w:pPr>
            <w:r>
              <w:rPr>
                <w:b w:val="0"/>
                <w:color w:val="000000"/>
                <w:sz w:val="20"/>
              </w:rPr>
            </w:r>
            <w:hyperlink r:id="rId38">
              <w:r>
                <w:rPr>
                  <w:color w:val="205781"/>
                  <w:sz w:val="20"/>
                </w:rPr>
                <w:t>DayConstraintProviderTest</w:t>
              </w:r>
            </w:hyperlink>
            <w:r>
              <w:rPr>
                <w:b w:val="0"/>
                <w:color w:val="000000"/>
                <w:sz w:val="20"/>
              </w:rPr>
              <w:t xml:space="preserve"> and </w:t>
            </w:r>
            <w:hyperlink r:id="rId39">
              <w:r>
                <w:rPr>
                  <w:color w:val="205781"/>
                  <w:sz w:val="20"/>
                </w:rPr>
                <w:t>maintenance workflow</w:t>
              </w:r>
            </w:hyperlink>
            <w:r>
              <w:rPr>
                <w:b w:val="0"/>
                <w:color w:val="000000"/>
                <w:sz w:val="20"/>
              </w:rPr>
            </w:r>
          </w:p>
        </w:tc>
      </w:tr>
      <w:tr>
        <w:trPr>
          <w:cantSplit/>
        </w:trPr>
        <w:tc>
          <w:tcPr>
            <w:tcW w:type="dxa" w:w="1008"/>
            <w:vAlign w:val="center"/>
            <w:tcMar>
              <w:top w:w="100" w:type="dxa"/>
              <w:left w:w="100" w:type="dxa"/>
              <w:bottom w:w="100" w:type="dxa"/>
              <w:right w:w="100" w:type="dxa"/>
            </w:tcMar>
            <w:shd w:fill="FFFFFF"/>
          </w:tcPr>
          <w:p>
            <w:pPr>
              <w:widowControl/>
              <w:spacing w:after="40" w:before="40" w:line="250" w:lineRule="auto"/>
            </w:pPr>
            <w:r>
              <w:rPr>
                <w:b/>
                <w:color w:val="000000"/>
                <w:sz w:val="20"/>
              </w:rPr>
              <w:t>C15</w:t>
            </w:r>
          </w:p>
        </w:tc>
        <w:tc>
          <w:tcPr>
            <w:tcW w:type="dxa" w:w="9072"/>
            <w:vAlign w:val="center"/>
            <w:tcMar>
              <w:top w:w="100" w:type="dxa"/>
              <w:left w:w="100" w:type="dxa"/>
              <w:bottom w:w="100" w:type="dxa"/>
              <w:right w:w="100" w:type="dxa"/>
            </w:tcMar>
            <w:shd w:fill="FFFFFF"/>
          </w:tcPr>
          <w:p>
            <w:pPr>
              <w:widowControl/>
              <w:spacing w:after="40" w:before="40" w:line="250" w:lineRule="auto"/>
            </w:pPr>
            <w:r>
              <w:rPr>
                <w:b w:val="0"/>
                <w:color w:val="000000"/>
                <w:sz w:val="20"/>
              </w:rPr>
            </w:r>
            <w:hyperlink r:id="rId40">
              <w:r>
                <w:rPr>
                  <w:color w:val="205781"/>
                  <w:sz w:val="20"/>
                </w:rPr>
                <w:t>README policy</w:t>
              </w:r>
            </w:hyperlink>
            <w:r>
              <w:rPr>
                <w:b w:val="0"/>
                <w:color w:val="000000"/>
                <w:sz w:val="20"/>
              </w:rPr>
            </w:r>
          </w:p>
        </w:tc>
      </w:tr>
      <w:tr>
        <w:trPr>
          <w:cantSplit/>
        </w:trPr>
        <w:tc>
          <w:tcPr>
            <w:tcW w:type="dxa" w:w="1008"/>
            <w:vAlign w:val="center"/>
            <w:tcMar>
              <w:top w:w="100" w:type="dxa"/>
              <w:left w:w="100" w:type="dxa"/>
              <w:bottom w:w="100" w:type="dxa"/>
              <w:right w:w="100" w:type="dxa"/>
            </w:tcMar>
            <w:shd w:fill="F4F8FB"/>
          </w:tcPr>
          <w:p>
            <w:pPr>
              <w:widowControl/>
              <w:spacing w:after="40" w:before="40" w:line="250" w:lineRule="auto"/>
            </w:pPr>
            <w:r>
              <w:rPr>
                <w:b/>
                <w:color w:val="000000"/>
                <w:sz w:val="20"/>
              </w:rPr>
              <w:t>C16</w:t>
            </w:r>
          </w:p>
        </w:tc>
        <w:tc>
          <w:tcPr>
            <w:tcW w:type="dxa" w:w="9072"/>
            <w:vAlign w:val="center"/>
            <w:tcMar>
              <w:top w:w="100" w:type="dxa"/>
              <w:left w:w="100" w:type="dxa"/>
              <w:bottom w:w="100" w:type="dxa"/>
              <w:right w:w="100" w:type="dxa"/>
            </w:tcMar>
            <w:shd w:fill="F4F8FB"/>
          </w:tcPr>
          <w:p>
            <w:pPr>
              <w:widowControl/>
              <w:spacing w:after="40" w:before="40" w:line="250" w:lineRule="auto"/>
            </w:pPr>
            <w:r>
              <w:rPr>
                <w:b w:val="0"/>
                <w:color w:val="000000"/>
                <w:sz w:val="20"/>
              </w:rPr>
            </w:r>
            <w:hyperlink r:id="rId41">
              <w:r>
                <w:rPr>
                  <w:color w:val="205781"/>
                  <w:sz w:val="20"/>
                </w:rPr>
                <w:t>MatrixController</w:t>
              </w:r>
            </w:hyperlink>
            <w:r>
              <w:rPr>
                <w:b w:val="0"/>
                <w:color w:val="000000"/>
                <w:sz w:val="20"/>
              </w:rPr>
            </w:r>
          </w:p>
        </w:tc>
      </w:tr>
      <w:tr>
        <w:trPr>
          <w:cantSplit/>
        </w:trPr>
        <w:tc>
          <w:tcPr>
            <w:tcW w:type="dxa" w:w="1008"/>
            <w:vAlign w:val="center"/>
            <w:tcMar>
              <w:top w:w="100" w:type="dxa"/>
              <w:left w:w="100" w:type="dxa"/>
              <w:bottom w:w="100" w:type="dxa"/>
              <w:right w:w="100" w:type="dxa"/>
            </w:tcMar>
            <w:shd w:fill="FFFFFF"/>
          </w:tcPr>
          <w:p>
            <w:pPr>
              <w:widowControl/>
              <w:spacing w:after="40" w:before="40" w:line="250" w:lineRule="auto"/>
            </w:pPr>
            <w:r>
              <w:rPr>
                <w:b/>
                <w:color w:val="000000"/>
                <w:sz w:val="20"/>
              </w:rPr>
              <w:t>C17</w:t>
            </w:r>
          </w:p>
        </w:tc>
        <w:tc>
          <w:tcPr>
            <w:tcW w:type="dxa" w:w="9072"/>
            <w:vAlign w:val="center"/>
            <w:tcMar>
              <w:top w:w="100" w:type="dxa"/>
              <w:left w:w="100" w:type="dxa"/>
              <w:bottom w:w="100" w:type="dxa"/>
              <w:right w:w="100" w:type="dxa"/>
            </w:tcMar>
            <w:shd w:fill="FFFFFF"/>
          </w:tcPr>
          <w:p>
            <w:pPr>
              <w:widowControl/>
              <w:spacing w:after="40" w:before="40" w:line="250" w:lineRule="auto"/>
            </w:pPr>
            <w:r>
              <w:rPr>
                <w:b w:val="0"/>
                <w:color w:val="000000"/>
                <w:sz w:val="20"/>
              </w:rPr>
            </w:r>
            <w:hyperlink r:id="rId42">
              <w:r>
                <w:rPr>
                  <w:color w:val="205781"/>
                  <w:sz w:val="20"/>
                </w:rPr>
                <w:t>SolverBenchmark</w:t>
              </w:r>
            </w:hyperlink>
            <w:r>
              <w:rPr>
                <w:b w:val="0"/>
                <w:color w:val="000000"/>
                <w:sz w:val="20"/>
              </w:rPr>
            </w:r>
          </w:p>
        </w:tc>
      </w:tr>
      <w:tr>
        <w:trPr>
          <w:cantSplit/>
        </w:trPr>
        <w:tc>
          <w:tcPr>
            <w:tcW w:type="dxa" w:w="1008"/>
            <w:vAlign w:val="center"/>
            <w:tcMar>
              <w:top w:w="100" w:type="dxa"/>
              <w:left w:w="100" w:type="dxa"/>
              <w:bottom w:w="100" w:type="dxa"/>
              <w:right w:w="100" w:type="dxa"/>
            </w:tcMar>
            <w:shd w:fill="F4F8FB"/>
          </w:tcPr>
          <w:p>
            <w:pPr>
              <w:widowControl/>
              <w:spacing w:after="40" w:before="40" w:line="250" w:lineRule="auto"/>
            </w:pPr>
            <w:r>
              <w:rPr>
                <w:b/>
                <w:color w:val="000000"/>
                <w:sz w:val="20"/>
              </w:rPr>
              <w:t>C18</w:t>
            </w:r>
          </w:p>
        </w:tc>
        <w:tc>
          <w:tcPr>
            <w:tcW w:type="dxa" w:w="9072"/>
            <w:vAlign w:val="center"/>
            <w:tcMar>
              <w:top w:w="100" w:type="dxa"/>
              <w:left w:w="100" w:type="dxa"/>
              <w:bottom w:w="100" w:type="dxa"/>
              <w:right w:w="100" w:type="dxa"/>
            </w:tcMar>
            <w:shd w:fill="F4F8FB"/>
          </w:tcPr>
          <w:p>
            <w:pPr>
              <w:widowControl/>
              <w:spacing w:after="40" w:before="40" w:line="250" w:lineRule="auto"/>
            </w:pPr>
            <w:r>
              <w:rPr>
                <w:b w:val="0"/>
                <w:color w:val="000000"/>
                <w:sz w:val="20"/>
              </w:rPr>
            </w:r>
            <w:hyperlink r:id="rId43">
              <w:r>
                <w:rPr>
                  <w:color w:val="205781"/>
                  <w:sz w:val="20"/>
                </w:rPr>
                <w:t>SolverBenchmarkData</w:t>
              </w:r>
            </w:hyperlink>
            <w:r>
              <w:rPr>
                <w:b w:val="0"/>
                <w:color w:val="000000"/>
                <w:sz w:val="20"/>
              </w:rPr>
            </w:r>
          </w:p>
        </w:tc>
      </w:tr>
      <w:tr>
        <w:trPr>
          <w:cantSplit/>
        </w:trPr>
        <w:tc>
          <w:tcPr>
            <w:tcW w:type="dxa" w:w="1008"/>
            <w:vAlign w:val="center"/>
            <w:tcMar>
              <w:top w:w="100" w:type="dxa"/>
              <w:left w:w="100" w:type="dxa"/>
              <w:bottom w:w="100" w:type="dxa"/>
              <w:right w:w="100" w:type="dxa"/>
            </w:tcMar>
            <w:shd w:fill="FFFFFF"/>
          </w:tcPr>
          <w:p>
            <w:pPr>
              <w:widowControl/>
              <w:spacing w:after="40" w:before="40" w:line="250" w:lineRule="auto"/>
            </w:pPr>
            <w:r>
              <w:rPr>
                <w:b/>
                <w:color w:val="000000"/>
                <w:sz w:val="20"/>
              </w:rPr>
              <w:t>C19</w:t>
            </w:r>
          </w:p>
        </w:tc>
        <w:tc>
          <w:tcPr>
            <w:tcW w:type="dxa" w:w="9072"/>
            <w:vAlign w:val="center"/>
            <w:tcMar>
              <w:top w:w="100" w:type="dxa"/>
              <w:left w:w="100" w:type="dxa"/>
              <w:bottom w:w="100" w:type="dxa"/>
              <w:right w:w="100" w:type="dxa"/>
            </w:tcMar>
            <w:shd w:fill="FFFFFF"/>
          </w:tcPr>
          <w:p>
            <w:pPr>
              <w:widowControl/>
              <w:spacing w:after="40" w:before="40" w:line="250" w:lineRule="auto"/>
            </w:pPr>
            <w:r>
              <w:rPr>
                <w:b w:val="0"/>
                <w:color w:val="000000"/>
                <w:sz w:val="20"/>
              </w:rPr>
            </w:r>
            <w:hyperlink r:id="rId44">
              <w:r>
                <w:rPr>
                  <w:color w:val="205781"/>
                  <w:sz w:val="20"/>
                </w:rPr>
                <w:t>Experiment runtime</w:t>
              </w:r>
            </w:hyperlink>
            <w:r>
              <w:rPr>
                <w:b w:val="0"/>
                <w:color w:val="000000"/>
                <w:sz w:val="20"/>
              </w:rPr>
              <w:t xml:space="preserve"> and </w:t>
            </w:r>
            <w:hyperlink r:id="rId45">
              <w:r>
                <w:rPr>
                  <w:color w:val="205781"/>
                  <w:sz w:val="20"/>
                </w:rPr>
                <w:t>configuration contract</w:t>
              </w:r>
            </w:hyperlink>
            <w:r>
              <w:rPr>
                <w:b w:val="0"/>
                <w:color w:val="000000"/>
                <w:sz w:val="20"/>
              </w:rPr>
            </w:r>
          </w:p>
        </w:tc>
      </w:tr>
      <w:tr>
        <w:trPr>
          <w:cantSplit/>
        </w:trPr>
        <w:tc>
          <w:tcPr>
            <w:tcW w:type="dxa" w:w="1008"/>
            <w:vAlign w:val="center"/>
            <w:tcMar>
              <w:top w:w="100" w:type="dxa"/>
              <w:left w:w="100" w:type="dxa"/>
              <w:bottom w:w="100" w:type="dxa"/>
              <w:right w:w="100" w:type="dxa"/>
            </w:tcMar>
            <w:shd w:fill="F4F8FB"/>
          </w:tcPr>
          <w:p>
            <w:pPr>
              <w:widowControl/>
              <w:spacing w:after="40" w:before="40" w:line="250" w:lineRule="auto"/>
            </w:pPr>
            <w:r>
              <w:rPr>
                <w:b/>
                <w:color w:val="000000"/>
                <w:sz w:val="20"/>
              </w:rPr>
              <w:t>C20</w:t>
            </w:r>
          </w:p>
        </w:tc>
        <w:tc>
          <w:tcPr>
            <w:tcW w:type="dxa" w:w="9072"/>
            <w:vAlign w:val="center"/>
            <w:tcMar>
              <w:top w:w="100" w:type="dxa"/>
              <w:left w:w="100" w:type="dxa"/>
              <w:bottom w:w="100" w:type="dxa"/>
              <w:right w:w="100" w:type="dxa"/>
            </w:tcMar>
            <w:shd w:fill="F4F8FB"/>
          </w:tcPr>
          <w:p>
            <w:pPr>
              <w:widowControl/>
              <w:spacing w:after="40" w:before="40" w:line="250" w:lineRule="auto"/>
            </w:pPr>
            <w:r>
              <w:rPr>
                <w:b w:val="0"/>
                <w:color w:val="000000"/>
                <w:sz w:val="20"/>
              </w:rPr>
            </w:r>
            <w:hyperlink r:id="rId46">
              <w:r>
                <w:rPr>
                  <w:color w:val="205781"/>
                  <w:sz w:val="20"/>
                </w:rPr>
                <w:t>Experiment analysis</w:t>
              </w:r>
            </w:hyperlink>
            <w:r>
              <w:rPr>
                <w:b w:val="0"/>
                <w:color w:val="000000"/>
                <w:sz w:val="20"/>
              </w:rPr>
            </w:r>
          </w:p>
        </w:tc>
      </w:tr>
    </w:tbl>
    <w:p>
      <w:pPr>
        <w:spacing w:after="80" w:line="60" w:lineRule="exact"/>
      </w:pPr>
    </w:p>
    <w:p>
      <w:pPr>
        <w:pStyle w:val="Heading2"/>
      </w:pPr>
      <w:r>
        <w:t>Delivery evidence</w:t>
      </w:r>
    </w:p>
    <w:p>
      <w:pPr>
        <w:keepLines w:val="0"/>
      </w:pPr>
      <w:r>
        <w:t>The third-review directory contains source-register.json, campaign-design.json, verification.json, visual-qa.json, and manifest.json. The campaign-design file is a checked specification with calculated counts, not an executable experiment configuration. The verifier validates it independently and ensures that report counts agree. The manifest excludes itself and its final verification output to avoid circular hashes.</w:t>
      </w:r>
    </w:p>
    <w:p>
      <w:pPr>
        <w:keepLines w:val="0"/>
      </w:pPr>
      <w:r>
        <w:t>Historical original and second-review files remain byte-identical in Git. Their report and authoring artifacts are verified against the retained baseline commit; new report and helper hashes are verified against the third-review manifest. This preserves the old evidence without requiring the rewritten report to match an obsolete content hash. The supplied documentation remains an external local input and is not added wholesale to the PR.</w:t>
      </w:r>
    </w:p>
    <w:sectPr w:rsidR="00FC693F" w:rsidRPr="0006063C" w:rsidSect="00034616">
      <w:headerReference w:type="default" r:id="rId9"/>
      <w:footerReference w:type="default" r:id="rId10"/>
      <w:footerReference w:type="first" r:id="rId11"/>
      <w:pgSz w:w="12240" w:h="15840"/>
      <w:pgMar w:top="936" w:right="1080" w:bottom="936" w:left="1080" w:header="360" w:footer="432"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10080" w:val="right"/>
      </w:tabs>
    </w:pPr>
    <w:r>
      <w:rPr>
        <w:color w:val="555555"/>
        <w:sz w:val="16"/>
      </w:rPr>
      <w:t>WaterFlex  |  Technical review</w:t>
      <w:tab/>
    </w:r>
    <w:fldSimple w:instr="PAGE"/>
    <w:r>
      <w:rPr>
        <w:color w:val="555555"/>
        <w:sz w:val="16"/>
      </w:rPr>
      <w:t xml:space="preserve"> / </w:t>
    </w:r>
    <w:fldSimple w:instr="NUMPAGES"/>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10080" w:val="right"/>
      </w:tabs>
    </w:pPr>
    <w:r>
      <w:rPr>
        <w:color w:val="555555"/>
        <w:sz w:val="16"/>
      </w:rPr>
      <w:t>WaterFlex  |  Technical review</w:t>
      <w:tab/>
    </w:r>
    <w:fldSimple w:instr="PAGE"/>
    <w:r>
      <w:rPr>
        <w:color w:val="555555"/>
        <w:sz w:val="16"/>
      </w:rPr>
      <w:t xml:space="preserve"> / </w:t>
    </w:r>
    <w:fldSimple w:instr="NUMPAGES"/>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10080" w:val="right"/>
      </w:tabs>
    </w:pPr>
    <w:r>
      <w:rPr>
        <w:b/>
        <w:color w:val="000000"/>
        <w:sz w:val="16"/>
      </w:rPr>
      <w:t>WATERFLEX</w:t>
    </w:r>
    <w:r>
      <w:rPr>
        <w:color w:val="000000"/>
        <w:sz w:val="16"/>
      </w:rPr>
      <w:tab/>
      <w:t>Timefold audit and benchmark design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59" w:lineRule="auto"/>
    </w:pPr>
    <w:rPr>
      <w:rFonts w:ascii="Calibri" w:hAnsi="Calibri"/>
      <w:color w:val="222222"/>
      <w:sz w:val="22"/>
    </w:rPr>
  </w:style>
  <w:style w:type="paragraph" w:styleId="Header">
    <w:name w:val="header"/>
    <w:basedOn w:val="Normal"/>
    <w:link w:val="HeaderChar"/>
    <w:uiPriority w:val="99"/>
    <w:unhideWhenUsed/>
    <w:rsid w:val="00E618BF"/>
    <w:pPr>
      <w:spacing w:after="0" w:line="240" w:lineRule="auto"/>
    </w:pPr>
    <w:rPr>
      <w:rFonts w:ascii="Calibri" w:hAnsi="Calibri"/>
      <w:color w:val="000000"/>
      <w:sz w:val="16"/>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spacing w:after="0" w:line="240" w:lineRule="auto"/>
    </w:pPr>
    <w:rPr>
      <w:rFonts w:ascii="Calibri" w:hAnsi="Calibri"/>
      <w:color w:val="000000"/>
      <w:sz w:val="16"/>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320" w:after="16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60" w:line="240" w:lineRule="auto" w:before="320"/>
      <w:contextualSpacing/>
    </w:pPr>
    <w:rPr>
      <w:rFonts w:asciiTheme="majorHAnsi" w:eastAsiaTheme="majorEastAsia" w:hAnsiTheme="majorHAnsi" w:cstheme="majorBidi" w:ascii="Calibri" w:hAnsi="Calibri"/>
      <w:b/>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hyperlink" Target="https://docs.timefold.ai/timefold-solver/latest/running-timefold-solver/overview" TargetMode="External"/><Relationship Id="rId13" Type="http://schemas.openxmlformats.org/officeDocument/2006/relationships/hyperlink" Target="https://docs.timefold.ai/timefold-solver/latest/optimization-algorithms/construction-heuristics" TargetMode="External"/><Relationship Id="rId14" Type="http://schemas.openxmlformats.org/officeDocument/2006/relationships/hyperlink" Target="https://docs.timefold.ai/timefold-solver/latest/domain-modeling/modeling-planning-problems" TargetMode="External"/><Relationship Id="rId15" Type="http://schemas.openxmlformats.org/officeDocument/2006/relationships/hyperlink" Target="https://docs.timefold.ai/timefold-solver/latest/constraints-and-score/overview" TargetMode="External"/><Relationship Id="rId16" Type="http://schemas.openxmlformats.org/officeDocument/2006/relationships/hyperlink" Target="https://docs.timefold.ai/timefold-solver/latest/running-timefold-solver/library/library-integration" TargetMode="External"/><Relationship Id="rId17" Type="http://schemas.openxmlformats.org/officeDocument/2006/relationships/hyperlink" Target="https://docs.timefold.ai/timefold-solver/latest/constraints-and-score/performance" TargetMode="External"/><Relationship Id="rId18" Type="http://schemas.openxmlformats.org/officeDocument/2006/relationships/hyperlink" Target="https://docs.timefold.ai/timefold-solver/latest/optimization-algorithms/local-search" TargetMode="External"/><Relationship Id="rId19" Type="http://schemas.openxmlformats.org/officeDocument/2006/relationships/hyperlink" Target="https://docs.timefold.ai/timefold-solver/latest/optimization-algorithms/move-selector-reference" TargetMode="External"/><Relationship Id="rId20" Type="http://schemas.openxmlformats.org/officeDocument/2006/relationships/hyperlink" Target="https://docs.timefold.ai/timefold-solver/latest/running-timefold-solver/solver-diagnostics" TargetMode="External"/><Relationship Id="rId21" Type="http://schemas.openxmlformats.org/officeDocument/2006/relationships/hyperlink" Target="https://docs.timefold.ai/timefold-solver/latest/running-timefold-solver/multithreaded-solving" TargetMode="External"/><Relationship Id="rId22" Type="http://schemas.openxmlformats.org/officeDocument/2006/relationships/hyperlink" Target="https://docs.timefold.ai/timefold-solver/latest/running-timefold-solver/benchmarking-and-tweaking" TargetMode="External"/><Relationship Id="rId23" Type="http://schemas.openxmlformats.org/officeDocument/2006/relationships/hyperlink" Target="https://github.com/ethan-mcgee/waterflex-scheduler-java/blob/499fde2cc3fe79a8b7413a942a66cfc97b5d0e94/scheduler-service/src/main/java/dev/waterflex/scheduler/BookingSearchPipeline.java#L20" TargetMode="External"/><Relationship Id="rId24" Type="http://schemas.openxmlformats.org/officeDocument/2006/relationships/hyperlink" Target="https://github.com/ethan-mcgee/waterflex-scheduler-java/blob/499fde2cc3fe79a8b7413a942a66cfc97b5d0e94/scheduler-service/src/main/java/dev/waterflex/scheduler/BoundedBookingSearch.java#L15" TargetMode="External"/><Relationship Id="rId25" Type="http://schemas.openxmlformats.org/officeDocument/2006/relationships/hyperlink" Target="https://github.com/ethan-mcgee/waterflex-scheduler-java/blob/499fde2cc3fe79a8b7413a942a66cfc97b5d0e94/scheduler-service/src/main/java/dev/waterflex/scheduler/optimizer/OptimizationService.java#L64" TargetMode="External"/><Relationship Id="rId26" Type="http://schemas.openxmlformats.org/officeDocument/2006/relationships/hyperlink" Target="https://github.com/ethan-mcgee/waterflex-scheduler-java/blob/499fde2cc3fe79a8b7413a942a66cfc97b5d0e94/scheduler-service/src/main/java/dev/waterflex/scheduler/optimizer/DailySolver.java#L14" TargetMode="External"/><Relationship Id="rId27" Type="http://schemas.openxmlformats.org/officeDocument/2006/relationships/hyperlink" Target="https://github.com/ethan-mcgee/waterflex-scheduler-java/blob/499fde2cc3fe79a8b7413a942a66cfc97b5d0e94/scheduler-service/src/main/java/dev/waterflex/scheduler/optimizer/SolverExperiment.java#L19" TargetMode="External"/><Relationship Id="rId28" Type="http://schemas.openxmlformats.org/officeDocument/2006/relationships/hyperlink" Target="https://github.com/ethan-mcgee/waterflex-scheduler-java/blob/499fde2cc3fe79a8b7413a942a66cfc97b5d0e94/scheduler-service/src/main/java/dev/waterflex/scheduler/optimizer/SchedulingPolicy.java#L31" TargetMode="External"/><Relationship Id="rId29" Type="http://schemas.openxmlformats.org/officeDocument/2006/relationships/hyperlink" Target="https://github.com/ethan-mcgee/waterflex-scheduler-java/blob/499fde2cc3fe79a8b7413a942a66cfc97b5d0e94/scheduler-service/src/test/java/dev/waterflex/scheduler/optimizer/TimefoldAuditEvidenceTest.java#L12" TargetMode="External"/><Relationship Id="rId30" Type="http://schemas.openxmlformats.org/officeDocument/2006/relationships/hyperlink" Target="https://github.com/ethan-mcgee/waterflex-scheduler-java/blob/499fde2cc3fe79a8b7413a942a66cfc97b5d0e94/scheduler-service/src/main/java/dev/waterflex/scheduler/optimizer/PlanCopies.java#L11" TargetMode="External"/><Relationship Id="rId31" Type="http://schemas.openxmlformats.org/officeDocument/2006/relationships/hyperlink" Target="https://github.com/ethan-mcgee/waterflex-scheduler-java/blob/499fde2cc3fe79a8b7413a942a66cfc97b5d0e94/scheduler-service/src/main/java/dev/waterflex/scheduler/optimizer/DayPlan.java#L34" TargetMode="External"/><Relationship Id="rId32" Type="http://schemas.openxmlformats.org/officeDocument/2006/relationships/hyperlink" Target="https://github.com/ethan-mcgee/waterflex-scheduler-java/blob/499fde2cc3fe79a8b7413a942a66cfc97b5d0e94/scheduler-service/src/main/java/dev/waterflex/scheduler/optimizer/RouteEvaluator.java#L23" TargetMode="External"/><Relationship Id="rId33" Type="http://schemas.openxmlformats.org/officeDocument/2006/relationships/hyperlink" Target="https://github.com/ethan-mcgee/waterflex-scheduler-java/blob/499fde2cc3fe79a8b7413a942a66cfc97b5d0e94/scheduler-service/src/main/java/dev/waterflex/scheduler/optimizer/RouteScoringFacts.java#L17" TargetMode="External"/><Relationship Id="rId34" Type="http://schemas.openxmlformats.org/officeDocument/2006/relationships/hyperlink" Target="https://github.com/ethan-mcgee/waterflex-scheduler-java/blob/499fde2cc3fe79a8b7413a942a66cfc97b5d0e94/scheduler-service/src/main/java/dev/waterflex/scheduler/SearchDeadline.java#L82" TargetMode="External"/><Relationship Id="rId35" Type="http://schemas.openxmlformats.org/officeDocument/2006/relationships/hyperlink" Target="https://github.com/ethan-mcgee/waterflex-scheduler-java/blob/499fde2cc3fe79a8b7413a942a66cfc97b5d0e94/scheduler-service/src/main/java/dev/waterflex/scheduler/SearchAdmission.java#L1" TargetMode="External"/><Relationship Id="rId36" Type="http://schemas.openxmlformats.org/officeDocument/2006/relationships/hyperlink" Target="https://github.com/ethan-mcgee/waterflex-scheduler-java/blob/499fde2cc3fe79a8b7413a942a66cfc97b5d0e94/scheduler-service/src/main/java/dev/waterflex/scheduler/optimizer/RouteTimeline.java#L45" TargetMode="External"/><Relationship Id="rId37" Type="http://schemas.openxmlformats.org/officeDocument/2006/relationships/hyperlink" Target="https://github.com/ethan-mcgee/waterflex-scheduler-java/blob/499fde2cc3fe79a8b7413a942a66cfc97b5d0e94/scheduler-service/src/main/java/dev/waterflex/scheduler/optimizer/DayConstraintProvider.java#L19" TargetMode="External"/><Relationship Id="rId38" Type="http://schemas.openxmlformats.org/officeDocument/2006/relationships/hyperlink" Target="https://github.com/ethan-mcgee/waterflex-scheduler-java/blob/499fde2cc3fe79a8b7413a942a66cfc97b5d0e94/scheduler-service/src/test/java/dev/waterflex/scheduler/optimizer/DayConstraintProviderTest.java#L33" TargetMode="External"/><Relationship Id="rId39" Type="http://schemas.openxmlformats.org/officeDocument/2006/relationships/hyperlink" Target="https://github.com/ethan-mcgee/waterflex-scheduler-java/blob/499fde2cc3fe79a8b7413a942a66cfc97b5d0e94/.github/workflows/maintenance.yml#L1" TargetMode="External"/><Relationship Id="rId40" Type="http://schemas.openxmlformats.org/officeDocument/2006/relationships/hyperlink" Target="https://github.com/ethan-mcgee/waterflex-scheduler-java/blob/499fde2cc3fe79a8b7413a942a66cfc97b5d0e94/README.md#L79" TargetMode="External"/><Relationship Id="rId41" Type="http://schemas.openxmlformats.org/officeDocument/2006/relationships/hyperlink" Target="https://github.com/ethan-mcgee/waterflex-scheduler-java/blob/499fde2cc3fe79a8b7413a942a66cfc97b5d0e94/routing-service/src/main/java/dev/waterflex/routing/MatrixController.java#L122" TargetMode="External"/><Relationship Id="rId42" Type="http://schemas.openxmlformats.org/officeDocument/2006/relationships/hyperlink" Target="https://github.com/ethan-mcgee/waterflex-scheduler-java/blob/499fde2cc3fe79a8b7413a942a66cfc97b5d0e94/scheduler-service/src/test/java/dev/waterflex/scheduler/optimizer/SolverBenchmark.java#L21" TargetMode="External"/><Relationship Id="rId43" Type="http://schemas.openxmlformats.org/officeDocument/2006/relationships/hyperlink" Target="https://github.com/ethan-mcgee/waterflex-scheduler-java/blob/499fde2cc3fe79a8b7413a942a66cfc97b5d0e94/scheduler-service/src/test/java/dev/waterflex/scheduler/optimizer/SolverBenchmarkData.java#L9" TargetMode="External"/><Relationship Id="rId44" Type="http://schemas.openxmlformats.org/officeDocument/2006/relationships/hyperlink" Target="https://github.com/ethan-mcgee/waterflex-scheduler-java/blob/499fde2cc3fe79a8b7413a942a66cfc97b5d0e94/infra/experiment_runtime.py#L374" TargetMode="External"/><Relationship Id="rId45" Type="http://schemas.openxmlformats.org/officeDocument/2006/relationships/hyperlink" Target="https://github.com/ethan-mcgee/waterflex-scheduler-java/blob/499fde2cc3fe79a8b7413a942a66cfc97b5d0e94/infra/experiment_config.py#L48" TargetMode="External"/><Relationship Id="rId46" Type="http://schemas.openxmlformats.org/officeDocument/2006/relationships/hyperlink" Target="https://github.com/ethan-mcgee/waterflex-scheduler-java/blob/499fde2cc3fe79a8b7413a942a66cfc97b5d0e94/infra/experiment_analysis.py#L19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WaterFlex Timefold Audit and Benchmark Design</dc:title>
  <dc:subject>Explained architecture findings and benchmark redesign specification</dc:subject>
  <dc:creator>WaterFlex</dc:creator>
  <cp:keywords/>
  <dc:description>generated by python-docx</dc:description>
  <cp:lastModifiedBy/>
  <cp:revision>1</cp:revision>
  <dcterms:created xsi:type="dcterms:W3CDTF">2013-12-23T23:15:00Z</dcterms:created>
  <dcterms:modified xsi:type="dcterms:W3CDTF">2013-12-23T23:15:00Z</dcterms:modified>
  <cp:category/>
</cp:coreProperties>
</file>