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Title"/>
        <w:widowControl/>
      </w:pPr>
      <w:r>
        <w:t>WaterFlex scheduler explained</w:t>
      </w:r>
    </w:p>
    <w:p>
      <w:pPr>
        <w:pStyle w:val="Subtitle"/>
        <w:widowControl/>
      </w:pPr>
      <w:r>
        <w:t>The stateless scheduling API, the optimization work behind it, and what comes next</w:t>
      </w:r>
    </w:p>
    <w:p>
      <w:pPr>
        <w:widowControl/>
      </w:pPr>
      <w:r>
        <w:t>October 14 2026  |  Covers the work from the September 19 demonstration to 2026-10-14</w:t>
      </w:r>
    </w:p>
    <w:p>
      <w:pPr>
        <w:widowControl/>
      </w:pPr>
      <w:r>
        <w:t>At the September demonstration the scheduler was a module of the portal: it read its own copy of the portal's data, ran its own jobs and kept its own settings. Since then it has become a service with no screens and no copy of anyone's data. WaterFlex Software sends a snapshot of a metro day or a booking request to /api/v1 and gets back offers, optimized routes or a receipt, and the scheduler keeps only the thin store it needs to keep customer promises safe when several desks book at once.</w:t>
      </w:r>
    </w:p>
    <w:p>
      <w:pPr>
        <w:widowControl/>
      </w:pPr>
      <w:r>
        <w:t>Underneath, the same month produced five threads of optimization work. The daily search changed from Tabu to Tabu + K opt after 6,032 matched solver cases on synthetic days. The booking search kept bounded rearrangement and learned to give up its optional second pass when others wait. The road graph became a contraction hierarchy once the time inside a booking search was attributed part by part. Admission gained a rule that stops late snapshots from losing holds, a fair queue, separate pools and a confirm that never waits. And the engine itself evaluates almost twice the moves in the same seconds.</w:t>
      </w:r>
    </w:p>
    <w:p>
      <w:pPr>
        <w:widowControl/>
      </w:pPr>
      <w:r>
        <w:t>The solver cases are synthetic days with a synthetic travel matrix, and the load runs use random Omaha addresses against a rehearsal stack on one workstation. Each section says what its numbers can and cannot support. Part I explains the system; Part II explains how it was measured; Part III follows the five threads; Part IV is the system today; and Part V is what comes next. Appendix A lists every study and evidence file, and Appendix B defines the terms and measures.</w:t>
      </w:r>
    </w:p>
    <w:p>
      <w:pPr>
        <w:pStyle w:val="Heading1"/>
        <w:keepNext/>
        <w:pageBreakBefore/>
        <w:widowControl/>
      </w:pPr>
      <w:r>
        <w:t>Part I  The stateless API</w:t>
      </w:r>
    </w:p>
    <w:p>
      <w:pPr>
        <w:widowControl/>
      </w:pPr>
      <w:r>
        <w:t>Part I explains the system as it stands, from the outside in: who owns what, where it runs, the contract, the timestamp the design rests on, how one request flows, how many clients and replicas share it, and how a location becomes a road leg. Every later thread changed something in one of these pieces, so this is the map the rest of the trail refers to.</w:t>
      </w:r>
    </w:p>
    <w:p>
      <w:pPr>
        <w:keepNext/>
        <w:widowControl/>
      </w:pPr>
      <w:r>
        <w:drawing>
          <wp:inline xmlns:a="http://schemas.openxmlformats.org/drawingml/2006/main" xmlns:pic="http://schemas.openxmlformats.org/drawingml/2006/picture">
            <wp:extent cx="6263640" cy="2435150"/>
            <wp:docPr id="1" name="Picture 1" descr="Figure 1. The scheduler as a service of its own. WaterFlex Software keeps every record and calls the scheduler API over /api/v1 with a snapshot of the facts a call needs; the scheduler answers with results and keeps only its thin store. The host writes its own database with a compare-and-set on the timestamps the scheduler returns."/>
            <wp:cNvGraphicFramePr>
              <a:graphicFrameLocks noChangeAspect="1"/>
            </wp:cNvGraphicFramePr>
            <a:graphic>
              <a:graphicData uri="http://schemas.openxmlformats.org/drawingml/2006/picture">
                <pic:pic>
                  <pic:nvPicPr>
                    <pic:cNvPr id="0" name="stateless.png"/>
                    <pic:cNvPicPr/>
                  </pic:nvPicPr>
                  <pic:blipFill>
                    <a:blip r:embed="rId10"/>
                    <a:stretch>
                      <a:fillRect/>
                    </a:stretch>
                  </pic:blipFill>
                  <pic:spPr>
                    <a:xfrm>
                      <a:off x="0" y="0"/>
                      <a:ext cx="6263640" cy="2435150"/>
                    </a:xfrm>
                    <a:prstGeom prst="rect"/>
                  </pic:spPr>
                </pic:pic>
              </a:graphicData>
            </a:graphic>
          </wp:inline>
        </w:drawing>
      </w:r>
    </w:p>
    <w:p>
      <w:pPr>
        <w:pStyle w:val="Caption"/>
        <w:widowControl/>
        <w:spacing w:after="140"/>
      </w:pPr>
      <w:r>
        <w:rPr>
          <w:b w:val="0"/>
          <w:i/>
          <w:color w:val="000000"/>
        </w:rPr>
        <w:t>Figure 1. The scheduler as a service of its own. WaterFlex Software keeps every record and calls the scheduler API over /api/v1 with a snapshot of the facts a call needs; the scheduler answers with results and keeps only its thin store. The host writes its own database with a compare-and-set on the timestamps the scheduler returns.</w:t>
      </w:r>
    </w:p>
    <w:p>
      <w:pPr>
        <w:widowControl/>
      </w:pPr>
      <w:r>
        <w:t>Three consequences follow from this shape. The service has no screens, so every map and schedule is rendered by WaterFlex Software from data the scheduler returns. The service reads no policy of its own: every rule a client chooses (its fairness budget, its daily search method and times, its booking deadline and window threshold) arrives with every call, and a missing value is refused, never assumed. And no client library ships: the product stays Java on its own VM, and a host integrates from any language against the OpenAPI contract.</w:t>
      </w:r>
    </w:p>
    <w:p>
      <w:pPr>
        <w:pStyle w:val="Heading2"/>
        <w:keepNext/>
        <w:widowControl/>
      </w:pPr>
      <w:r>
        <w:t>1 Who owns what</w:t>
      </w:r>
    </w:p>
    <w:p>
      <w:pPr>
        <w:widowControl/>
      </w:pPr>
      <w:r>
        <w:t>The scheduler is an add-on to WaterFlex Software. WaterFlex Software owns master data (customers, addresses, jobs, appointments, technicians, qualifications, shifts, time off, depots) and the business record of every appointment. The scheduler owns only what it must to keep customer promises safe when several desks book at once: the holds and the arrangement they depend on, the offer sets and proposals it issued, and the receipts of what was committed. Calculation and routing are stateless: complete data in, results out.</w:t>
      </w:r>
    </w:p>
    <w:p>
      <w:pPr>
        <w:keepNext/>
        <w:widowControl/>
      </w:pPr>
      <w:r>
        <w:drawing>
          <wp:inline xmlns:a="http://schemas.openxmlformats.org/drawingml/2006/main" xmlns:pic="http://schemas.openxmlformats.org/drawingml/2006/picture">
            <wp:extent cx="6263640" cy="3432219"/>
            <wp:docPr id="2" name="Picture 2" descr="Figure 2. Who owns what. WaterFlex Software keeps every business record and sends a snapshot of the facts a call needs; the scheduler answers with offers, proposals and receipts, and keeps only the thin store. The host writes the business record itself, with a compare-and-set on the timestamps the receipt names."/>
            <wp:cNvGraphicFramePr>
              <a:graphicFrameLocks noChangeAspect="1"/>
            </wp:cNvGraphicFramePr>
            <a:graphic>
              <a:graphicData uri="http://schemas.openxmlformats.org/drawingml/2006/picture">
                <pic:pic>
                  <pic:nvPicPr>
                    <pic:cNvPr id="0" name="ownership.png"/>
                    <pic:cNvPicPr/>
                  </pic:nvPicPr>
                  <pic:blipFill>
                    <a:blip r:embed="rId11"/>
                    <a:stretch>
                      <a:fillRect/>
                    </a:stretch>
                  </pic:blipFill>
                  <pic:spPr>
                    <a:xfrm>
                      <a:off x="0" y="0"/>
                      <a:ext cx="6263640" cy="3432219"/>
                    </a:xfrm>
                    <a:prstGeom prst="rect"/>
                  </pic:spPr>
                </pic:pic>
              </a:graphicData>
            </a:graphic>
          </wp:inline>
        </w:drawing>
      </w:r>
    </w:p>
    <w:p>
      <w:pPr>
        <w:pStyle w:val="Caption"/>
        <w:widowControl/>
        <w:spacing w:after="140"/>
      </w:pPr>
      <w:r>
        <w:rPr>
          <w:b w:val="0"/>
          <w:i/>
          <w:color w:val="000000"/>
        </w:rPr>
        <w:t>Figure 2. Who owns what. WaterFlex Software keeps every business record and sends a snapshot of the facts a call needs; the scheduler answers with offers, proposals and receipts, and keeps only the thin store. The host writes the business record itself, with a compare-and-set on the timestamps the receipt names.</w:t>
      </w:r>
    </w:p>
    <w:p>
      <w:pPr>
        <w:widowControl/>
      </w:pPr>
      <w:r>
        <w:t>The arrows in the figure are the whole relationship. A snapshot goes in with every calculating call; results come out; and a receipt tells the host exactly which technician-days to write and which timestamps to compare. The scheduler never writes the host's records and never reads them except through the snapshot it was sent.</w:t>
      </w:r>
    </w:p>
    <w:p>
      <w:pPr>
        <w:pStyle w:val="Heading2"/>
        <w:keepNext/>
        <w:widowControl/>
      </w:pPr>
      <w:r>
        <w:t>2 Where it runs</w:t>
      </w:r>
    </w:p>
    <w:p>
      <w:pPr>
        <w:keepNext/>
        <w:widowControl/>
      </w:pPr>
      <w:r>
        <w:drawing>
          <wp:inline xmlns:a="http://schemas.openxmlformats.org/drawingml/2006/main" xmlns:pic="http://schemas.openxmlformats.org/drawingml/2006/picture">
            <wp:extent cx="6263640" cy="4761645"/>
            <wp:docPr id="3" name="Picture 3" descr="Figure 3. The scheduler VM and its host. WaterFlex Software calls one address; behind it the proxy sends booking calls to the booking pool and proposals to the daily pool. Both pools embed the calculation engine and reach the same three shared pieces. The management port is private and not behind the proxy."/>
            <wp:cNvGraphicFramePr>
              <a:graphicFrameLocks noChangeAspect="1"/>
            </wp:cNvGraphicFramePr>
            <a:graphic>
              <a:graphicData uri="http://schemas.openxmlformats.org/drawingml/2006/picture">
                <pic:pic>
                  <pic:nvPicPr>
                    <pic:cNvPr id="0" name="topology.png"/>
                    <pic:cNvPicPr/>
                  </pic:nvPicPr>
                  <pic:blipFill>
                    <a:blip r:embed="rId12"/>
                    <a:stretch>
                      <a:fillRect/>
                    </a:stretch>
                  </pic:blipFill>
                  <pic:spPr>
                    <a:xfrm>
                      <a:off x="0" y="0"/>
                      <a:ext cx="6263640" cy="4761645"/>
                    </a:xfrm>
                    <a:prstGeom prst="rect"/>
                  </pic:spPr>
                </pic:pic>
              </a:graphicData>
            </a:graphic>
          </wp:inline>
        </w:drawing>
      </w:r>
    </w:p>
    <w:p>
      <w:pPr>
        <w:pStyle w:val="Caption"/>
        <w:widowControl/>
        <w:spacing w:after="140"/>
      </w:pPr>
      <w:r>
        <w:rPr>
          <w:b w:val="0"/>
          <w:i/>
          <w:color w:val="000000"/>
        </w:rPr>
        <w:t>Figure 3. The scheduler VM and its host. WaterFlex Software calls one address; behind it the proxy sends booking calls to the booking pool and proposals to the daily pool. Both pools embed the calculation engine and reach the same three shared pieces. The management port is private and not behind the proxy.</w:t>
      </w:r>
    </w:p>
    <w:p>
      <w:pPr>
        <w:widowControl/>
      </w:pPr>
      <w:r>
        <w:t>The scheduler runs on its own VM with a partitioned share of compute, on the same private network as the rest of WaterFlex Software, reached only through https://&lt;scheduler-vm&gt;/api/v1. No replica holds state of its own and all share the one thin store, so which replica answers a call never changes the answer. The pieces in the figure each have one job.</w:t>
      </w:r>
    </w:p>
    <w:p>
      <w:pPr>
        <w:widowControl/>
      </w:pPr>
      <w:r>
        <w:rPr>
          <w:b/>
        </w:rPr>
        <w:t xml:space="preserve">The proxy. </w:t>
      </w:r>
      <w:r>
        <w:t>scheduler-proxy is nginx on port 8000 and the one address a host calls. Daily and repair proposals and request status go to the daily pool; everything else goes to the booking pool. It needs no sticky sessions.</w:t>
      </w:r>
    </w:p>
    <w:p>
      <w:pPr>
        <w:widowControl/>
      </w:pPr>
      <w:r>
        <w:rPr>
          <w:b/>
        </w:rPr>
        <w:t xml:space="preserve">Booking replicas. </w:t>
      </w:r>
      <w:r>
        <w:t>They answer booking offers, select, release and confirm, and route evaluation and geometry, with the calculation engine embedded in the same process. They take no queued daily work, so a long overnight optimization never competes with a customer on the phone.</w:t>
      </w:r>
    </w:p>
    <w:p>
      <w:pPr>
        <w:widowControl/>
      </w:pPr>
      <w:r>
        <w:rPr>
          <w:b/>
        </w:rPr>
        <w:t xml:space="preserve">Daily replicas. </w:t>
      </w:r>
      <w:r>
        <w:t>They take daily and repair proposals, synchronously or from the durable queue, and may run several calculations at once.</w:t>
      </w:r>
    </w:p>
    <w:p>
      <w:pPr>
        <w:widowControl/>
      </w:pPr>
      <w:r>
        <w:rPr>
          <w:b/>
        </w:rPr>
        <w:t xml:space="preserve">Routing. </w:t>
      </w:r>
      <w:r>
        <w:t>Each served metro has its own routing-service, loaded with that metro's road graph. It turns coordinates into directed road legs and sees only coordinates, never client data, so every client in a metro shares it.</w:t>
      </w:r>
    </w:p>
    <w:p>
      <w:pPr>
        <w:widowControl/>
      </w:pPr>
      <w:r>
        <w:rPr>
          <w:b/>
        </w:rPr>
        <w:t xml:space="preserve">Nominatim. </w:t>
      </w:r>
      <w:r>
        <w:t>Optional. In NOMINATIM mode it locates a location that arrives with an address and no coordinates, and only as an exact house.</w:t>
      </w:r>
    </w:p>
    <w:p>
      <w:pPr>
        <w:widowControl/>
      </w:pPr>
      <w:r>
        <w:rPr>
          <w:b/>
        </w:rPr>
        <w:t xml:space="preserve">The database. </w:t>
      </w:r>
      <w:r>
        <w:t>scheduler-db is Postgres 16 and holds the thin store, tenants and tokens, and the route cache. The scheduler creates and migrates it itself; nothing else connects to it.</w:t>
      </w:r>
    </w:p>
    <w:p>
      <w:pPr>
        <w:widowControl/>
      </w:pPr>
      <w:r>
        <w:rPr>
          <w:b/>
        </w:rPr>
        <w:t xml:space="preserve">The management port. </w:t>
      </w:r>
      <w:r>
        <w:t>Port 9000 serves health with components and Prometheus metrics, on the private network only and never behind the proxy.</w:t>
      </w:r>
    </w:p>
    <w:p>
      <w:pPr>
        <w:pStyle w:val="Heading2"/>
        <w:keepNext/>
        <w:widowControl/>
      </w:pPr>
      <w:r>
        <w:t>3 The contract</w:t>
      </w:r>
    </w:p>
    <w:p>
      <w:pPr>
        <w:widowControl/>
      </w:pPr>
      <w:r>
        <w:t>The machine-readable contract is docs/api/openapi-v1.yaml, OpenAPI 3.1, version 1.4.1. Every operation is marked implemented; a test validates every example against its schema and fails if the implemented operations differ from the routes the scheduler serves, and the Java types mirror every object schema. Within version 1 a change is additive only and raises the minor version: the contract is at 1.4.1 after 5 additive versions since 1.0.0.</w:t>
      </w:r>
    </w:p>
    <w:p>
      <w:pPr>
        <w:widowControl/>
      </w:pPr>
      <w:r>
        <w:t>The same conventions hold for every call. The tenant comes from the bearer token and a request never names one. Every write carries a host UUID, its requestId, that is its idempotency key across all of the tenant's endpoints: a replay returns the stored answer and a different body under the same key is refused. Money and rates are decimal strings and instants are RFC 3339. And no operation ever assigns overtime, so a repair that would need it is reported infeasible rather than solved.</w:t>
      </w:r>
    </w:p>
    <w:p>
      <w:pPr>
        <w:keepNext/>
        <w:widowControl/>
      </w:pPr>
      <w:r>
        <w:drawing>
          <wp:inline xmlns:a="http://schemas.openxmlformats.org/drawingml/2006/main" xmlns:pic="http://schemas.openxmlformats.org/drawingml/2006/picture">
            <wp:extent cx="6263640" cy="5247396"/>
            <wp:docPr id="4" name="Picture 4" descr="Figure 4. The API surface: twelve operations in six families. Arrows show the order in which a host calls them: a booking runs offers, select and confirm (or release), and a daily proposal runs create and commit. Confirm is the one call that turns a customer's choice into a booking."/>
            <wp:cNvGraphicFramePr>
              <a:graphicFrameLocks noChangeAspect="1"/>
            </wp:cNvGraphicFramePr>
            <a:graphic>
              <a:graphicData uri="http://schemas.openxmlformats.org/drawingml/2006/picture">
                <pic:pic>
                  <pic:nvPicPr>
                    <pic:cNvPr id="0" name="surface.png"/>
                    <pic:cNvPicPr/>
                  </pic:nvPicPr>
                  <pic:blipFill>
                    <a:blip r:embed="rId13"/>
                    <a:stretch>
                      <a:fillRect/>
                    </a:stretch>
                  </pic:blipFill>
                  <pic:spPr>
                    <a:xfrm>
                      <a:off x="0" y="0"/>
                      <a:ext cx="6263640" cy="5247396"/>
                    </a:xfrm>
                    <a:prstGeom prst="rect"/>
                  </pic:spPr>
                </pic:pic>
              </a:graphicData>
            </a:graphic>
          </wp:inline>
        </w:drawing>
      </w:r>
    </w:p>
    <w:p>
      <w:pPr>
        <w:pStyle w:val="Caption"/>
        <w:widowControl/>
        <w:spacing w:after="140"/>
      </w:pPr>
      <w:r>
        <w:rPr>
          <w:b w:val="0"/>
          <w:i/>
          <w:color w:val="000000"/>
        </w:rPr>
        <w:t>Figure 4. The API surface: twelve operations in six families. Arrows show the order in which a host calls them: a booking runs offers, select and confirm (or release), and a daily proposal runs create and commit. Confirm is the one call that turns a customer's choice into a booking.</w:t>
      </w:r>
    </w:p>
    <w:p>
      <w:pPr>
        <w:pStyle w:val="Heading2"/>
        <w:keepNext/>
        <w:widowControl/>
      </w:pPr>
      <w:r>
        <w:t>4 The timestamp the whole design rests on</w:t>
      </w:r>
    </w:p>
    <w:p>
      <w:pPr>
        <w:widowControl/>
      </w:pPr>
      <w:r>
        <w:t>The scheduler cannot lock rows it does not own, so every commit is optimistic on both sides, and the token is the lastModified timestamp WaterFlex Software already keeps per technician and day. Every snapshot includes it; a proposal or offer records the values it was computed from; a commit or confirm requires the submitted values to equal the recorded ones; and the host then writes the business record with a compare-and-set on the same values.</w:t>
      </w:r>
    </w:p>
    <w:p>
      <w:pPr>
        <w:keepNext/>
        <w:widowControl/>
      </w:pPr>
      <w:r>
        <w:drawing>
          <wp:inline xmlns:a="http://schemas.openxmlformats.org/drawingml/2006/main" xmlns:pic="http://schemas.openxmlformats.org/drawingml/2006/picture">
            <wp:extent cx="6263640" cy="4736079"/>
            <wp:docPr id="5" name="Picture 5" descr="Figure 5. The lastModified round trip. The host reads each technician-day with its timestamp, the scheduler records the values with the proposal or offer set, and a commit or confirm succeeds only if every value is still the one recorded; otherwise it is answered 409 STALE with the technician-days that changed."/>
            <wp:cNvGraphicFramePr>
              <a:graphicFrameLocks noChangeAspect="1"/>
            </wp:cNvGraphicFramePr>
            <a:graphic>
              <a:graphicData uri="http://schemas.openxmlformats.org/drawingml/2006/picture">
                <pic:pic>
                  <pic:nvPicPr>
                    <pic:cNvPr id="0" name="token.png"/>
                    <pic:cNvPicPr/>
                  </pic:nvPicPr>
                  <pic:blipFill>
                    <a:blip r:embed="rId14"/>
                    <a:stretch>
                      <a:fillRect/>
                    </a:stretch>
                  </pic:blipFill>
                  <pic:spPr>
                    <a:xfrm>
                      <a:off x="0" y="0"/>
                      <a:ext cx="6263640" cy="4736079"/>
                    </a:xfrm>
                    <a:prstGeom prst="rect"/>
                  </pic:spPr>
                </pic:pic>
              </a:graphicData>
            </a:graphic>
          </wp:inline>
        </w:drawing>
      </w:r>
    </w:p>
    <w:p>
      <w:pPr>
        <w:pStyle w:val="Caption"/>
        <w:widowControl/>
        <w:spacing w:after="140"/>
      </w:pPr>
      <w:r>
        <w:rPr>
          <w:b w:val="0"/>
          <w:i/>
          <w:color w:val="000000"/>
        </w:rPr>
        <w:t>Figure 5. The lastModified round trip. The host reads each technician-day with its timestamp, the scheduler records the values with the proposal or offer set, and a commit or confirm succeeds only if every value is still the one recorded; otherwise it is answered 409 STALE with the technician-days that changed.</w:t>
      </w:r>
    </w:p>
    <w:p>
      <w:pPr>
        <w:widowControl/>
      </w:pPr>
      <w:r>
        <w:t>The timestamp is compared for exact equality and never ordered, so clock skew between servers cannot cause a wrong decision; at worst an unrelated change forces a retry. The host must move it on every change that affects the day, on both sides of a move, and send it exactly as stored.</w:t>
      </w:r>
    </w:p>
    <w:p>
      <w:pPr>
        <w:pStyle w:val="Heading3"/>
        <w:keepNext/>
        <w:widowControl/>
      </w:pPr>
      <w:r>
        <w:t>Reconciling a booked day</w:t>
      </w:r>
    </w:p>
    <w:p>
      <w:pPr>
        <w:widowControl/>
      </w:pPr>
      <w:r>
        <w:t>For booking, each metro-day has one stored common arrangement: every technician's route with the host's appointments and every active hold. Each search and confirm compares the host's snapshot with it, technician-day by technician-day, and nothing is guessed.</w:t>
      </w:r>
    </w:p>
    <w:p>
      <w:pPr>
        <w:keepNext/>
        <w:widowControl/>
      </w:pPr>
      <w:r>
        <w:drawing>
          <wp:inline xmlns:a="http://schemas.openxmlformats.org/drawingml/2006/main" xmlns:pic="http://schemas.openxmlformats.org/drawingml/2006/picture">
            <wp:extent cx="6263640" cy="5886543"/>
            <wp:docPr id="6" name="Picture 6" descr="Figure 6. Reconciling a technician-day before a booking search or confirm. Rule 0 refuses a snapshot older than records the scheduler already used, before anything is reconciled. Rules 1 and 2 keep or accept the day; rule 3 replaces the stored route when no hold depends on it and otherwise loses that date's holds; rule 4 re-evaluates the whole arrangement against the snapshot's current facts."/>
            <wp:cNvGraphicFramePr>
              <a:graphicFrameLocks noChangeAspect="1"/>
            </wp:cNvGraphicFramePr>
            <a:graphic>
              <a:graphicData uri="http://schemas.openxmlformats.org/drawingml/2006/picture">
                <pic:pic>
                  <pic:nvPicPr>
                    <pic:cNvPr id="0" name="reconcile.png"/>
                    <pic:cNvPicPr/>
                  </pic:nvPicPr>
                  <pic:blipFill>
                    <a:blip r:embed="rId15"/>
                    <a:stretch>
                      <a:fillRect/>
                    </a:stretch>
                  </pic:blipFill>
                  <pic:spPr>
                    <a:xfrm>
                      <a:off x="0" y="0"/>
                      <a:ext cx="6263640" cy="5886543"/>
                    </a:xfrm>
                    <a:prstGeom prst="rect"/>
                  </pic:spPr>
                </pic:pic>
              </a:graphicData>
            </a:graphic>
          </wp:inline>
        </w:drawing>
      </w:r>
    </w:p>
    <w:p>
      <w:pPr>
        <w:pStyle w:val="Caption"/>
        <w:widowControl/>
        <w:spacing w:after="140"/>
      </w:pPr>
      <w:r>
        <w:rPr>
          <w:b w:val="0"/>
          <w:i/>
          <w:color w:val="000000"/>
        </w:rPr>
        <w:t>Figure 6. Reconciling a technician-day before a booking search or confirm. Rule 0 refuses a snapshot older than records the scheduler already used, before anything is reconciled. Rules 1 and 2 keep or accept the day; rule 3 replaces the stored route when no hold depends on it and otherwise loses that date's holds; rule 4 re-evaluates the whole arrangement against the snapshot's current facts.</w:t>
      </w:r>
    </w:p>
    <w:p>
      <w:pPr>
        <w:widowControl/>
      </w:pPr>
      <w:r>
        <w:t>Rule 0 did not exist in the first version of the API. Section 12 shows what happened without it: at five booking desks more than a third of the holds customers selected were lost at confirm. The rule is the clearest example in this document of a measurement changing the design.</w:t>
      </w:r>
    </w:p>
    <w:p>
      <w:pPr>
        <w:pStyle w:val="Heading3"/>
        <w:keepNext/>
        <w:widowControl/>
      </w:pPr>
      <w:r>
        <w:t>Every refusal, and what the host does next</w:t>
      </w:r>
    </w:p>
    <w:p>
      <w:pPr>
        <w:widowControl/>
      </w:pPr>
      <w:r>
        <w:t>A call that cannot be answered is refused with a problem+json body: a status, a stable code and a message. The integration guide lists 11 of them. What matters to a host is not the code but the next action, and there are only six.</w:t>
      </w:r>
    </w:p>
    <w:p>
      <w:pPr>
        <w:keepNext/>
        <w:widowControl/>
      </w:pPr>
      <w:r>
        <w:drawing>
          <wp:inline xmlns:a="http://schemas.openxmlformats.org/drawingml/2006/main" xmlns:pic="http://schemas.openxmlformats.org/drawingml/2006/picture">
            <wp:extent cx="6263640" cy="4352591"/>
            <wp:docPr id="7" name="Picture 7" descr="Figure 7. Every refusal the API can answer with, grouped by what the host does next: fix the request and send it with a new requestId, check the token, rebuild from current records, search again, wait and retry the same requestId, or nothing. The highlighted group is the one the concurrency token relies on."/>
            <wp:cNvGraphicFramePr>
              <a:graphicFrameLocks noChangeAspect="1"/>
            </wp:cNvGraphicFramePr>
            <a:graphic>
              <a:graphicData uri="http://schemas.openxmlformats.org/drawingml/2006/picture">
                <pic:pic>
                  <pic:nvPicPr>
                    <pic:cNvPr id="0" name="refusals.png"/>
                    <pic:cNvPicPr/>
                  </pic:nvPicPr>
                  <pic:blipFill>
                    <a:blip r:embed="rId16"/>
                    <a:stretch>
                      <a:fillRect/>
                    </a:stretch>
                  </pic:blipFill>
                  <pic:spPr>
                    <a:xfrm>
                      <a:off x="0" y="0"/>
                      <a:ext cx="6263640" cy="4352591"/>
                    </a:xfrm>
                    <a:prstGeom prst="rect"/>
                  </pic:spPr>
                </pic:pic>
              </a:graphicData>
            </a:graphic>
          </wp:inline>
        </w:drawing>
      </w:r>
    </w:p>
    <w:p>
      <w:pPr>
        <w:pStyle w:val="Caption"/>
        <w:widowControl/>
        <w:spacing w:after="140"/>
      </w:pPr>
      <w:r>
        <w:rPr>
          <w:b w:val="0"/>
          <w:i/>
          <w:color w:val="000000"/>
        </w:rPr>
        <w:t>Figure 7. Every refusal the API can answer with, grouped by what the host does next: fix the request and send it with a new requestId, check the token, rebuild from current records, search again, wait and retry the same requestId, or nothing. The highlighted group is the one the concurrency token relies on.</w:t>
      </w:r>
    </w:p>
    <w:p>
      <w:pPr>
        <w:pStyle w:val="Heading2"/>
        <w:keepNext/>
        <w:widowControl/>
      </w:pPr>
      <w:r>
        <w:t>5 One request, end to end</w:t>
      </w:r>
    </w:p>
    <w:p>
      <w:pPr>
        <w:widowControl/>
      </w:pPr>
      <w:r>
        <w:t>Every calculating call carries a Snapshot of one metro: its rates and policy, the technicians it covers, one TechnicianDay per technician and date with the host's lastModified, and every committed appointment on those days. The scheduler computes a canonical hash of it, the input revision, and every proposal and offer records which revision it was computed from. What happens next is a short pipeline, and every stage of it can refuse.</w:t>
      </w:r>
    </w:p>
    <w:p>
      <w:pPr>
        <w:pStyle w:val="Heading3"/>
        <w:keepNext/>
        <w:widowControl/>
      </w:pPr>
      <w:r>
        <w:t>A daily proposal</w:t>
      </w:r>
    </w:p>
    <w:p>
      <w:pPr>
        <w:keepNext/>
        <w:widowControl/>
      </w:pPr>
      <w:r>
        <w:drawing>
          <wp:inline xmlns:a="http://schemas.openxmlformats.org/drawingml/2006/main" xmlns:pic="http://schemas.openxmlformats.org/drawingml/2006/picture">
            <wp:extent cx="6263640" cy="3841273"/>
            <wp:docPr id="8" name="Picture 8" descr="Figure 8. A daily proposal through its nine stages, with the refusal each stage can return. The admission check (#153) refuses at once, with the estimated wait as Retry-After, a request that could not start in time."/>
            <wp:cNvGraphicFramePr>
              <a:graphicFrameLocks noChangeAspect="1"/>
            </wp:cNvGraphicFramePr>
            <a:graphic>
              <a:graphicData uri="http://schemas.openxmlformats.org/drawingml/2006/picture">
                <pic:pic>
                  <pic:nvPicPr>
                    <pic:cNvPr id="0" name="daily_pipeline.png"/>
                    <pic:cNvPicPr/>
                  </pic:nvPicPr>
                  <pic:blipFill>
                    <a:blip r:embed="rId17"/>
                    <a:stretch>
                      <a:fillRect/>
                    </a:stretch>
                  </pic:blipFill>
                  <pic:spPr>
                    <a:xfrm>
                      <a:off x="0" y="0"/>
                      <a:ext cx="6263640" cy="3841273"/>
                    </a:xfrm>
                    <a:prstGeom prst="rect"/>
                  </pic:spPr>
                </pic:pic>
              </a:graphicData>
            </a:graphic>
          </wp:inline>
        </w:drawing>
      </w:r>
    </w:p>
    <w:p>
      <w:pPr>
        <w:pStyle w:val="Caption"/>
        <w:widowControl/>
        <w:spacing w:after="140"/>
      </w:pPr>
      <w:r>
        <w:rPr>
          <w:b w:val="0"/>
          <w:i/>
          <w:color w:val="000000"/>
        </w:rPr>
        <w:t>Figure 8. A daily proposal through its nine stages, with the refusal each stage can return. The admission check (#153) refuses at once, with the estimated wait as Retry-After, a request that could not start in time.</w:t>
      </w:r>
    </w:p>
    <w:p>
      <w:pPr>
        <w:widowControl/>
      </w:pPr>
      <w:r>
        <w:t>Authentication maps the bearer token to a tenant. The body is read strictly: unknown fields, duplicate keys, missing values and dangling references are 400, and contradictions between sequence and plannedStart are 422. The requestId is claimed in the thin store with a hash of the body, so a replay returns the stored answer, a different body is 400 and a running one is 429. The 6 a.m. cutoff in the metro's zone freezes a day. Admission estimates when the work ahead would finish. The day is routed under its own 30 s allowance, and an unlocatable technician-day is skipped and reported. The engine runs the cost search and the fairness search for the client's seconds plus a 5 s reserve, and a watchdog ends an overrunning phase. Policy then compares the result with the day as sent, and the proposal and the timestamp of each technician-day are stored and answered 201.</w:t>
      </w:r>
    </w:p>
    <w:p>
      <w:pPr>
        <w:keepNext/>
        <w:widowControl/>
      </w:pPr>
      <w:r>
        <w:drawing>
          <wp:inline xmlns:a="http://schemas.openxmlformats.org/drawingml/2006/main" xmlns:pic="http://schemas.openxmlformats.org/drawingml/2006/picture">
            <wp:extent cx="6263640" cy="4352591"/>
            <wp:docPr id="9" name="Picture 9" descr="Figure 9. Daily and repair proposals: synchronous or queued, then the commit with the host's current timestamps. The note on the right lists the refusals and the cancel."/>
            <wp:cNvGraphicFramePr>
              <a:graphicFrameLocks noChangeAspect="1"/>
            </wp:cNvGraphicFramePr>
            <a:graphic>
              <a:graphicData uri="http://schemas.openxmlformats.org/drawingml/2006/picture">
                <pic:pic>
                  <pic:nvPicPr>
                    <pic:cNvPr id="0" name="daily.png"/>
                    <pic:cNvPicPr/>
                  </pic:nvPicPr>
                  <pic:blipFill>
                    <a:blip r:embed="rId18"/>
                    <a:stretch>
                      <a:fillRect/>
                    </a:stretch>
                  </pic:blipFill>
                  <pic:spPr>
                    <a:xfrm>
                      <a:off x="0" y="0"/>
                      <a:ext cx="6263640" cy="4352591"/>
                    </a:xfrm>
                    <a:prstGeom prst="rect"/>
                  </pic:spPr>
                </pic:pic>
              </a:graphicData>
            </a:graphic>
          </wp:inline>
        </w:drawing>
      </w:r>
    </w:p>
    <w:p>
      <w:pPr>
        <w:pStyle w:val="Caption"/>
        <w:widowControl/>
        <w:spacing w:after="140"/>
      </w:pPr>
      <w:r>
        <w:rPr>
          <w:b w:val="0"/>
          <w:i/>
          <w:color w:val="000000"/>
        </w:rPr>
        <w:t>Figure 9. Daily and repair proposals: synchronous or queued, then the commit with the host's current timestamps. The note on the right lists the refusals and the cancel.</w:t>
      </w:r>
    </w:p>
    <w:p>
      <w:pPr>
        <w:pStyle w:val="Heading3"/>
        <w:keepNext/>
        <w:widowControl/>
      </w:pPr>
      <w:r>
        <w:t>A booking search</w:t>
      </w:r>
    </w:p>
    <w:p>
      <w:pPr>
        <w:keepNext/>
        <w:widowControl/>
      </w:pPr>
      <w:r>
        <w:drawing>
          <wp:inline xmlns:a="http://schemas.openxmlformats.org/drawingml/2006/main" xmlns:pic="http://schemas.openxmlformats.org/drawingml/2006/picture">
            <wp:extent cx="6263640" cy="4352591"/>
            <wp:docPr id="10" name="Picture 10" descr="Figure 10. A booking search inside the client's deadline. Reconciliation is where the concurrency token bites; if another booking changed the same day while the search ran, the search runs again, at most three times, while the deadline leaves time."/>
            <wp:cNvGraphicFramePr>
              <a:graphicFrameLocks noChangeAspect="1"/>
            </wp:cNvGraphicFramePr>
            <a:graphic>
              <a:graphicData uri="http://schemas.openxmlformats.org/drawingml/2006/picture">
                <pic:pic>
                  <pic:nvPicPr>
                    <pic:cNvPr id="0" name="booking_pipeline.png"/>
                    <pic:cNvPicPr/>
                  </pic:nvPicPr>
                  <pic:blipFill>
                    <a:blip r:embed="rId19"/>
                    <a:stretch>
                      <a:fillRect/>
                    </a:stretch>
                  </pic:blipFill>
                  <pic:spPr>
                    <a:xfrm>
                      <a:off x="0" y="0"/>
                      <a:ext cx="6263640" cy="4352591"/>
                    </a:xfrm>
                    <a:prstGeom prst="rect"/>
                  </pic:spPr>
                </pic:pic>
              </a:graphicData>
            </a:graphic>
          </wp:inline>
        </w:drawing>
      </w:r>
    </w:p>
    <w:p>
      <w:pPr>
        <w:pStyle w:val="Caption"/>
        <w:widowControl/>
        <w:spacing w:after="140"/>
      </w:pPr>
      <w:r>
        <w:rPr>
          <w:b w:val="0"/>
          <w:i/>
          <w:color w:val="000000"/>
        </w:rPr>
        <w:t>Figure 10. A booking search inside the client's deadline. Reconciliation is where the concurrency token bites; if another booking changed the same day while the search ran, the search runs again, at most three times, while the deadline leaves time.</w:t>
      </w:r>
    </w:p>
    <w:p>
      <w:pPr>
        <w:widowControl/>
      </w:pPr>
      <w:r>
        <w:t>A booking search claims its requestId, bounds the whole call by the client's bookingDeadlineMs (at most 5 s), checks the cutoff and metro, builds the facts, takes an admission slot fairly across tenants, reconciles the stored arrangement of each date with the snapshot, routes the new job's legs, runs an insertion pass and then an optional refinement through the engine, validates the result independently, and publishes the offers as holds that last 10 minutes. The windows a customer sees are the insertion pass's; the refinement only improves cost. Section 10 is the story of that second pass.</w:t>
      </w:r>
    </w:p>
    <w:p>
      <w:pPr>
        <w:keepNext/>
        <w:widowControl/>
      </w:pPr>
      <w:r>
        <w:drawing>
          <wp:inline xmlns:a="http://schemas.openxmlformats.org/drawingml/2006/main" xmlns:pic="http://schemas.openxmlformats.org/drawingml/2006/picture">
            <wp:extent cx="6263640" cy="4480420"/>
            <wp:docPr id="11" name="Picture 11" descr="Figure 11. The booking sequence and its refusals. Each 409 and a failed receipt write lead to the same place: release the set (or let the hold expire) and search again from current records with a new requestId."/>
            <wp:cNvGraphicFramePr>
              <a:graphicFrameLocks noChangeAspect="1"/>
            </wp:cNvGraphicFramePr>
            <a:graphic>
              <a:graphicData uri="http://schemas.openxmlformats.org/drawingml/2006/picture">
                <pic:pic>
                  <pic:nvPicPr>
                    <pic:cNvPr id="0" name="booking.png"/>
                    <pic:cNvPicPr/>
                  </pic:nvPicPr>
                  <pic:blipFill>
                    <a:blip r:embed="rId20"/>
                    <a:stretch>
                      <a:fillRect/>
                    </a:stretch>
                  </pic:blipFill>
                  <pic:spPr>
                    <a:xfrm>
                      <a:off x="0" y="0"/>
                      <a:ext cx="6263640" cy="4480420"/>
                    </a:xfrm>
                    <a:prstGeom prst="rect"/>
                  </pic:spPr>
                </pic:pic>
              </a:graphicData>
            </a:graphic>
          </wp:inline>
        </w:drawing>
      </w:r>
    </w:p>
    <w:p>
      <w:pPr>
        <w:pStyle w:val="Caption"/>
        <w:widowControl/>
        <w:spacing w:after="140"/>
      </w:pPr>
      <w:r>
        <w:rPr>
          <w:b w:val="0"/>
          <w:i/>
          <w:color w:val="000000"/>
        </w:rPr>
        <w:t>Figure 11. The booking sequence and its refusals. Each 409 and a failed receipt write lead to the same place: release the set (or let the hold expire) and search again from current records with a new requestId.</w:t>
      </w:r>
    </w:p>
    <w:p>
      <w:pPr>
        <w:pStyle w:val="Heading2"/>
        <w:keepNext/>
        <w:widowControl/>
      </w:pPr>
      <w:r>
        <w:t>6 Many clients and many replicas</w:t>
      </w:r>
    </w:p>
    <w:p>
      <w:pPr>
        <w:widowControl/>
      </w:pPr>
      <w:r>
        <w:t>One Postgres database and one set of tables serve every client. Each WaterFlex client is a tenant with its own API tokens, stored only as SHA-256 digests and issued with the scheduler's own command line. Isolation does not rest on any one mechanism; it is a stack of guards, each of which would stop a leak the one above it missed.</w:t>
      </w:r>
    </w:p>
    <w:p>
      <w:pPr>
        <w:keepNext/>
        <w:widowControl/>
      </w:pPr>
      <w:r>
        <w:drawing>
          <wp:inline xmlns:a="http://schemas.openxmlformats.org/drawingml/2006/main" xmlns:pic="http://schemas.openxmlformats.org/drawingml/2006/picture">
            <wp:extent cx="6263640" cy="3969102"/>
            <wp:docPr id="12" name="Picture 12" descr="Figure 12. Many clients in one database: the guards, layer by layer. The token decides the tenant, every key starts with the tenant, row-level security makes the database itself refuse another tenant's rows, the runtime login has least privilege, and admission takes turns by client."/>
            <wp:cNvGraphicFramePr>
              <a:graphicFrameLocks noChangeAspect="1"/>
            </wp:cNvGraphicFramePr>
            <a:graphic>
              <a:graphicData uri="http://schemas.openxmlformats.org/drawingml/2006/picture">
                <pic:pic>
                  <pic:nvPicPr>
                    <pic:cNvPr id="0" name="isolation.png"/>
                    <pic:cNvPicPr/>
                  </pic:nvPicPr>
                  <pic:blipFill>
                    <a:blip r:embed="rId21"/>
                    <a:stretch>
                      <a:fillRect/>
                    </a:stretch>
                  </pic:blipFill>
                  <pic:spPr>
                    <a:xfrm>
                      <a:off x="0" y="0"/>
                      <a:ext cx="6263640" cy="3969102"/>
                    </a:xfrm>
                    <a:prstGeom prst="rect"/>
                  </pic:spPr>
                </pic:pic>
              </a:graphicData>
            </a:graphic>
          </wp:inline>
        </w:drawing>
      </w:r>
    </w:p>
    <w:p>
      <w:pPr>
        <w:pStyle w:val="Caption"/>
        <w:widowControl/>
        <w:spacing w:after="140"/>
      </w:pPr>
      <w:r>
        <w:rPr>
          <w:b w:val="0"/>
          <w:i/>
          <w:color w:val="000000"/>
        </w:rPr>
        <w:t>Figure 12. Many clients in one database: the guards, layer by layer. The token decides the tenant, every key starts with the tenant, row-level security makes the database itself refuse another tenant's rows, the runtime login has least privilege, and admission takes turns by client.</w:t>
      </w:r>
    </w:p>
    <w:p>
      <w:pPr>
        <w:widowControl/>
      </w:pPr>
      <w:r>
        <w:t>Row-level security is the layer that fails closed. Each transaction runs as the scheduler_tenant role with app.tenant_id set, and policies restrict every client-owned table to that tenant; a transaction with no tenant set sees nothing. A missed filter in application code therefore returns no rows rather than another client's. Road legs are the deliberate exception: they are not tenant data, they are shared by every client in a metro, and that sharing is where most of the cache benefit comes from.</w:t>
      </w:r>
    </w:p>
    <w:p>
      <w:pPr>
        <w:pStyle w:val="Heading3"/>
        <w:keepNext/>
        <w:widowControl/>
      </w:pPr>
      <w:r>
        <w:t>Several replicas on one database</w:t>
      </w:r>
    </w:p>
    <w:p>
      <w:pPr>
        <w:keepNext/>
        <w:widowControl/>
      </w:pPr>
      <w:r>
        <w:drawing>
          <wp:inline xmlns:a="http://schemas.openxmlformats.org/drawingml/2006/main" xmlns:pic="http://schemas.openxmlformats.org/drawingml/2006/picture">
            <wp:extent cx="6263640" cy="4224761"/>
            <wp:docPr id="13" name="Picture 13" descr="Figure 13. What lives in a replica and what lives in the database. Each replica keeps only its admission slots, the memory tier of the route cache and its list of running calls; correctness lives in the shared database, so any replica can answer any call."/>
            <wp:cNvGraphicFramePr>
              <a:graphicFrameLocks noChangeAspect="1"/>
            </wp:cNvGraphicFramePr>
            <a:graphic>
              <a:graphicData uri="http://schemas.openxmlformats.org/drawingml/2006/picture">
                <pic:pic>
                  <pic:nvPicPr>
                    <pic:cNvPr id="0" name="replicas.png"/>
                    <pic:cNvPicPr/>
                  </pic:nvPicPr>
                  <pic:blipFill>
                    <a:blip r:embed="rId22"/>
                    <a:stretch>
                      <a:fillRect/>
                    </a:stretch>
                  </pic:blipFill>
                  <pic:spPr>
                    <a:xfrm>
                      <a:off x="0" y="0"/>
                      <a:ext cx="6263640" cy="4224761"/>
                    </a:xfrm>
                    <a:prstGeom prst="rect"/>
                  </pic:spPr>
                </pic:pic>
              </a:graphicData>
            </a:graphic>
          </wp:inline>
        </w:drawing>
      </w:r>
    </w:p>
    <w:p>
      <w:pPr>
        <w:pStyle w:val="Caption"/>
        <w:widowControl/>
        <w:spacing w:after="140"/>
      </w:pPr>
      <w:r>
        <w:rPr>
          <w:b w:val="0"/>
          <w:i/>
          <w:color w:val="000000"/>
        </w:rPr>
        <w:t>Figure 13. What lives in a replica and what lives in the database. Each replica keeps only its admission slots, the memory tier of the route cache and its list of running calls; correctness lives in the shared database, so any replica can answer any call.</w:t>
      </w:r>
    </w:p>
    <w:p>
      <w:pPr>
        <w:widowControl/>
      </w:pPr>
      <w:r>
        <w:t>Holds are protected by row locks and unique constraints on (tenant, technician, date) and by the timestamp comparison inside one transaction, so the load balancer needs no sticky sessions. What stays per replica is there by design: admission is about the replica's own cores, the memory tier is a cache, and the list of running calls is reached from any replica by a cancel flag in the database within about a second. A replica's role (SCHEDULER_ROLE booking, daily or all) decides only which background work runs there.</w:t>
      </w:r>
    </w:p>
    <w:p>
      <w:pPr>
        <w:pStyle w:val="Heading3"/>
        <w:keepNext/>
        <w:widowControl/>
      </w:pPr>
      <w:r>
        <w:t>Queued proposals</w:t>
      </w:r>
    </w:p>
    <w:p>
      <w:pPr>
        <w:keepNext/>
        <w:widowControl/>
      </w:pPr>
      <w:r>
        <w:drawing>
          <wp:inline xmlns:a="http://schemas.openxmlformats.org/drawingml/2006/main" xmlns:pic="http://schemas.openxmlformats.org/drawingml/2006/picture">
            <wp:extent cx="6263640" cy="3585614"/>
            <wp:docPr id="14" name="Picture 14" descr="Figure 14. A queued proposal's life. A proposal sent with Prefer: respond-async is answered 202 and queued in a durable table, taken in turn by any replica's worker, and completed with the status and body the call itself would have answered; a request still waiting after 15 minutes completes with 429 without running."/>
            <wp:cNvGraphicFramePr>
              <a:graphicFrameLocks noChangeAspect="1"/>
            </wp:cNvGraphicFramePr>
            <a:graphic>
              <a:graphicData uri="http://schemas.openxmlformats.org/drawingml/2006/picture">
                <pic:pic>
                  <pic:nvPicPr>
                    <pic:cNvPr id="0" name="queue_states.png"/>
                    <pic:cNvPicPr/>
                  </pic:nvPicPr>
                  <pic:blipFill>
                    <a:blip r:embed="rId23"/>
                    <a:stretch>
                      <a:fillRect/>
                    </a:stretch>
                  </pic:blipFill>
                  <pic:spPr>
                    <a:xfrm>
                      <a:off x="0" y="0"/>
                      <a:ext cx="6263640" cy="3585614"/>
                    </a:xfrm>
                    <a:prstGeom prst="rect"/>
                  </pic:spPr>
                </pic:pic>
              </a:graphicData>
            </a:graphic>
          </wp:inline>
        </w:drawing>
      </w:r>
    </w:p>
    <w:p>
      <w:pPr>
        <w:pStyle w:val="Caption"/>
        <w:widowControl/>
        <w:spacing w:after="140"/>
      </w:pPr>
      <w:r>
        <w:rPr>
          <w:b w:val="0"/>
          <w:i/>
          <w:color w:val="000000"/>
        </w:rPr>
        <w:t>Figure 14. A queued proposal's life. A proposal sent with Prefer: respond-async is answered 202 and queued in a durable table, taken in turn by any replica's worker, and completed with the status and body the call itself would have answered; a request still waiting after 15 minutes completes with 429 without running.</w:t>
      </w:r>
    </w:p>
    <w:p>
      <w:pPr>
        <w:widowControl/>
      </w:pPr>
      <w:r>
        <w:t>Workers take queued requests with SKIP LOCKED, the waiting request of the client whose last one started longest ago first, so one client's thirty overnight days never hold back another's single day. A client may have 50 requests queued or running. Overnight optimization is therefore the host's to schedule; the scheduler has no batch of its own.</w:t>
      </w:r>
    </w:p>
    <w:p>
      <w:pPr>
        <w:pStyle w:val="Heading3"/>
        <w:keepNext/>
        <w:widowControl/>
      </w:pPr>
      <w:r>
        <w:t>What is stored, and for how long</w:t>
      </w:r>
    </w:p>
    <w:p>
      <w:pPr>
        <w:keepNext/>
        <w:widowControl/>
      </w:pPr>
      <w:r>
        <w:drawing>
          <wp:inline xmlns:a="http://schemas.openxmlformats.org/drawingml/2006/main" xmlns:pic="http://schemas.openxmlformats.org/drawingml/2006/picture">
            <wp:extent cx="6263640" cy="5758714"/>
            <wp:docPr id="15" name="Picture 15" descr="Figure 15. The thin store: the scheduler's own tables, grouped by what they serve, and how long each kind of data lives. The booking day is the row every booking locks; everything older than the deployment's retention period is purged."/>
            <wp:cNvGraphicFramePr>
              <a:graphicFrameLocks noChangeAspect="1"/>
            </wp:cNvGraphicFramePr>
            <a:graphic>
              <a:graphicData uri="http://schemas.openxmlformats.org/drawingml/2006/picture">
                <pic:pic>
                  <pic:nvPicPr>
                    <pic:cNvPr id="0" name="thin_store.png"/>
                    <pic:cNvPicPr/>
                  </pic:nvPicPr>
                  <pic:blipFill>
                    <a:blip r:embed="rId24"/>
                    <a:stretch>
                      <a:fillRect/>
                    </a:stretch>
                  </pic:blipFill>
                  <pic:spPr>
                    <a:xfrm>
                      <a:off x="0" y="0"/>
                      <a:ext cx="6263640" cy="5758714"/>
                    </a:xfrm>
                    <a:prstGeom prst="rect"/>
                  </pic:spPr>
                </pic:pic>
              </a:graphicData>
            </a:graphic>
          </wp:inline>
        </w:drawing>
      </w:r>
    </w:p>
    <w:p>
      <w:pPr>
        <w:pStyle w:val="Caption"/>
        <w:widowControl/>
        <w:spacing w:after="140"/>
      </w:pPr>
      <w:r>
        <w:rPr>
          <w:b w:val="0"/>
          <w:i/>
          <w:color w:val="000000"/>
        </w:rPr>
        <w:t>Figure 15. The thin store: the scheduler's own tables, grouped by what they serve, and how long each kind of data lives. The booking day is the row every booking locks; everything older than the deployment's retention period is purged.</w:t>
      </w:r>
    </w:p>
    <w:p>
      <w:pPr>
        <w:widowControl/>
      </w:pPr>
      <w:r>
        <w:t>The retention period is the deployment's SCHEDULER_RETENTION_DAYS, required with no default: the scheduler does not start without it. A daily purge deletes rows older than the period in batches through a database function, children before parents. A host keeps its own copy of any receipt it needs longer.</w:t>
      </w:r>
    </w:p>
    <w:p>
      <w:pPr>
        <w:pStyle w:val="Heading2"/>
        <w:keepNext/>
        <w:widowControl/>
      </w:pPr>
      <w:r>
        <w:t>7 Routing and geocoding</w:t>
      </w:r>
    </w:p>
    <w:p>
      <w:pPr>
        <w:widowControl/>
      </w:pPr>
      <w:r>
        <w:t>Every scored route needs the directed travel time between consecutive stops, so a day of 20 technicians needs a few thousand legs and a booking search for a new address needs a few hundred that nothing has seen before. Before a leg can be computed, every stop needs coordinates.</w:t>
      </w:r>
    </w:p>
    <w:p>
      <w:pPr>
        <w:keepNext/>
        <w:widowControl/>
      </w:pPr>
      <w:r>
        <w:drawing>
          <wp:inline xmlns:a="http://schemas.openxmlformats.org/drawingml/2006/main" xmlns:pic="http://schemas.openxmlformats.org/drawingml/2006/picture">
            <wp:extent cx="6263640" cy="3329956"/>
            <wp:docPr id="16" name="Picture 16" descr="Figure 16. Where a stop's coordinates come from. Coordinates in the snapshot are authoritative and never geocoded again; an address without coordinates is located by Nominatim only in NOMINATIM mode and only as an exact house, and a street-level or ambiguous match is not located."/>
            <wp:cNvGraphicFramePr>
              <a:graphicFrameLocks noChangeAspect="1"/>
            </wp:cNvGraphicFramePr>
            <a:graphic>
              <a:graphicData uri="http://schemas.openxmlformats.org/drawingml/2006/picture">
                <pic:pic>
                  <pic:nvPicPr>
                    <pic:cNvPr id="0" name="geocode.png"/>
                    <pic:cNvPicPr/>
                  </pic:nvPicPr>
                  <pic:blipFill>
                    <a:blip r:embed="rId25"/>
                    <a:stretch>
                      <a:fillRect/>
                    </a:stretch>
                  </pic:blipFill>
                  <pic:spPr>
                    <a:xfrm>
                      <a:off x="0" y="0"/>
                      <a:ext cx="6263640" cy="3329956"/>
                    </a:xfrm>
                    <a:prstGeom prst="rect"/>
                  </pic:spPr>
                </pic:pic>
              </a:graphicData>
            </a:graphic>
          </wp:inline>
        </w:drawing>
      </w:r>
    </w:p>
    <w:p>
      <w:pPr>
        <w:pStyle w:val="Caption"/>
        <w:widowControl/>
        <w:spacing w:after="140"/>
      </w:pPr>
      <w:r>
        <w:rPr>
          <w:b w:val="0"/>
          <w:i/>
          <w:color w:val="000000"/>
        </w:rPr>
        <w:t>Figure 16. Where a stop's coordinates come from. Coordinates in the snapshot are authoritative and never geocoded again; an address without coordinates is located by Nominatim only in NOMINATIM mode and only as an exact house, and a street-level or ambiguous match is not located.</w:t>
      </w:r>
    </w:p>
    <w:p>
      <w:pPr>
        <w:widowControl/>
      </w:pPr>
      <w:r>
        <w:t>Every drawn stop records where its coordinates came from, so a bad route can be traced to its input. The legs themselves are computed by the metro's routing service and cached in four tiers.</w:t>
      </w:r>
    </w:p>
    <w:p>
      <w:pPr>
        <w:keepNext/>
        <w:widowControl/>
      </w:pPr>
      <w:r>
        <w:drawing>
          <wp:inline xmlns:a="http://schemas.openxmlformats.org/drawingml/2006/main" xmlns:pic="http://schemas.openxmlformats.org/drawingml/2006/picture">
            <wp:extent cx="6263640" cy="4224761"/>
            <wp:docPr id="17" name="Picture 17" descr="Figure 17. The four route cache tiers in lookup order, from the design document. A pair of coordinates is answered by the first tier that holds it; a leg computed by the routing service is written back to the database and memory tiers in a separate short transaction."/>
            <wp:cNvGraphicFramePr>
              <a:graphicFrameLocks noChangeAspect="1"/>
            </wp:cNvGraphicFramePr>
            <a:graphic>
              <a:graphicData uri="http://schemas.openxmlformats.org/drawingml/2006/picture">
                <pic:pic>
                  <pic:nvPicPr>
                    <pic:cNvPr id="0" name="tiers.png"/>
                    <pic:cNvPicPr/>
                  </pic:nvPicPr>
                  <pic:blipFill>
                    <a:blip r:embed="rId26"/>
                    <a:stretch>
                      <a:fillRect/>
                    </a:stretch>
                  </pic:blipFill>
                  <pic:spPr>
                    <a:xfrm>
                      <a:off x="0" y="0"/>
                      <a:ext cx="6263640" cy="4224761"/>
                    </a:xfrm>
                    <a:prstGeom prst="rect"/>
                  </pic:spPr>
                </pic:pic>
              </a:graphicData>
            </a:graphic>
          </wp:inline>
        </w:drawing>
      </w:r>
    </w:p>
    <w:p>
      <w:pPr>
        <w:pStyle w:val="Caption"/>
        <w:widowControl/>
        <w:spacing w:after="140"/>
      </w:pPr>
      <w:r>
        <w:rPr>
          <w:b w:val="0"/>
          <w:i/>
          <w:color w:val="000000"/>
        </w:rPr>
        <w:t>Figure 17. The four route cache tiers in lookup order, from the design document. A pair of coordinates is answered by the first tier that holds it; a leg computed by the routing service is written back to the database and memory tiers in a separate short transaction.</w:t>
      </w:r>
    </w:p>
    <w:p>
      <w:pPr>
        <w:widowControl/>
      </w:pPr>
      <w:r>
        <w:t>None of the tiers is a source of truth: every entry is recomputable from the road graph, and every entry is bound to a routing identity, a hash of the graph and map version that the routing service reports and checks on every call. The database tier keeps a leg for up to 30 days and at most 500,000 rows, shared by every replica; the memory tiers are per replica and per request.</w:t>
      </w:r>
    </w:p>
    <w:p>
      <w:pPr>
        <w:keepNext/>
        <w:widowControl/>
      </w:pPr>
      <w:r>
        <w:drawing>
          <wp:inline xmlns:a="http://schemas.openxmlformats.org/drawingml/2006/main" xmlns:pic="http://schemas.openxmlformats.org/drawingml/2006/picture">
            <wp:extent cx="6263640" cy="3329956"/>
            <wp:docPr id="18" name="Picture 18" descr="Figure 18. A map version's life: the merged OpenStreetMap extract, both road graphs, tiles and TIGER address ranges are prepared as a whole, validated with preview services and activated by switching symlinks. Activation changes the routing identity, so no cached leg from the old network is ever used again."/>
            <wp:cNvGraphicFramePr>
              <a:graphicFrameLocks noChangeAspect="1"/>
            </wp:cNvGraphicFramePr>
            <a:graphic>
              <a:graphicData uri="http://schemas.openxmlformats.org/drawingml/2006/picture">
                <pic:pic>
                  <pic:nvPicPr>
                    <pic:cNvPr id="0" name="map_lifecycle.png"/>
                    <pic:cNvPicPr/>
                  </pic:nvPicPr>
                  <pic:blipFill>
                    <a:blip r:embed="rId27"/>
                    <a:stretch>
                      <a:fillRect/>
                    </a:stretch>
                  </pic:blipFill>
                  <pic:spPr>
                    <a:xfrm>
                      <a:off x="0" y="0"/>
                      <a:ext cx="6263640" cy="3329956"/>
                    </a:xfrm>
                    <a:prstGeom prst="rect"/>
                  </pic:spPr>
                </pic:pic>
              </a:graphicData>
            </a:graphic>
          </wp:inline>
        </w:drawing>
      </w:r>
    </w:p>
    <w:p>
      <w:pPr>
        <w:pStyle w:val="Caption"/>
        <w:widowControl/>
        <w:spacing w:after="140"/>
      </w:pPr>
      <w:r>
        <w:rPr>
          <w:b w:val="0"/>
          <w:i/>
          <w:color w:val="000000"/>
        </w:rPr>
        <w:t>Figure 18. A map version's life: the merged OpenStreetMap extract, both road graphs, tiles and TIGER address ranges are prepared as a whole, validated with preview services and activated by switching symlinks. Activation changes the routing identity, so no cached leg from the old network is ever used again.</w:t>
      </w:r>
    </w:p>
    <w:p>
      <w:pPr>
        <w:widowControl/>
      </w:pPr>
      <w:r>
        <w:t>A map update, or a switch between the flexible and contraction hierarchy graphs, changes the identity, clears the memory tiers and leaves the database tier unused for the old identity, so a changed road network can never be mixed with old legs. Section 11 is the story of how the second graph got onto that list.</w:t>
      </w:r>
    </w:p>
    <w:p>
      <w:pPr>
        <w:widowControl/>
      </w:pPr>
      <w:r>
        <w:rPr>
          <w:b/>
        </w:rPr>
        <w:t xml:space="preserve">What this thread handed on. </w:t>
      </w:r>
      <w:r>
        <w:t>The architecture fixed what is shared (the database, the routing service, the token) and what is per replica (slots and caches). Every optimization in Part III changed one of those pieces, and was measured against this API.</w:t>
      </w:r>
    </w:p>
    <w:p>
      <w:pPr>
        <w:pStyle w:val="Heading1"/>
        <w:keepNext/>
        <w:pageBreakBefore/>
        <w:widowControl/>
      </w:pPr>
      <w:r>
        <w:t>Part II  How the work was measured</w:t>
      </w:r>
    </w:p>
    <w:p>
      <w:pPr>
        <w:pStyle w:val="Heading2"/>
        <w:keepNext/>
        <w:widowControl/>
      </w:pPr>
      <w:r>
        <w:t>8 Three kinds of evidence, one discipline</w:t>
      </w:r>
    </w:p>
    <w:p>
      <w:pPr>
        <w:widowControl/>
      </w:pPr>
      <w:r>
        <w:t>Three kinds of evidence run through Part III, and they answer different questions. Fixture studies ask which daily search finds cheaper schedules in the same seconds. The September booking studies asked which booking method serves more customers and at what latency. The October load studies ask how the service behaves when many callers use it at once. None of them is customer traffic.</w:t>
      </w:r>
    </w:p>
    <w:p>
      <w:pPr>
        <w:keepNext/>
        <w:widowControl/>
      </w:pPr>
      <w:r>
        <w:drawing>
          <wp:inline xmlns:a="http://schemas.openxmlformats.org/drawingml/2006/main" xmlns:pic="http://schemas.openxmlformats.org/drawingml/2006/picture">
            <wp:extent cx="6263640" cy="3585614"/>
            <wp:docPr id="19" name="Picture 19" descr="Figure 19. Three kinds of evidence and what each can say. Below, the pipeline every number in this document passes through: raw files whose hashes are recorded, a loader that checks the shape of every file before a number is read, the builder, and a verifier that reads the raw files again without the loader's or the builder's help."/>
            <wp:cNvGraphicFramePr>
              <a:graphicFrameLocks noChangeAspect="1"/>
            </wp:cNvGraphicFramePr>
            <a:graphic>
              <a:graphicData uri="http://schemas.openxmlformats.org/drawingml/2006/picture">
                <pic:pic>
                  <pic:nvPicPr>
                    <pic:cNvPr id="0" name="evidence.png"/>
                    <pic:cNvPicPr/>
                  </pic:nvPicPr>
                  <pic:blipFill>
                    <a:blip r:embed="rId28"/>
                    <a:stretch>
                      <a:fillRect/>
                    </a:stretch>
                  </pic:blipFill>
                  <pic:spPr>
                    <a:xfrm>
                      <a:off x="0" y="0"/>
                      <a:ext cx="6263640" cy="3585614"/>
                    </a:xfrm>
                    <a:prstGeom prst="rect"/>
                  </pic:spPr>
                </pic:pic>
              </a:graphicData>
            </a:graphic>
          </wp:inline>
        </w:drawing>
      </w:r>
    </w:p>
    <w:p>
      <w:pPr>
        <w:pStyle w:val="Caption"/>
        <w:widowControl/>
        <w:spacing w:after="140"/>
      </w:pPr>
      <w:r>
        <w:rPr>
          <w:b w:val="0"/>
          <w:i/>
          <w:color w:val="000000"/>
        </w:rPr>
        <w:t>Figure 19. Three kinds of evidence and what each can say. Below, the pipeline every number in this document passes through: raw files whose hashes are recorded, a loader that checks the shape of every file before a number is read, the builder, and a verifier that reads the raw files again without the loader's or the builder's help.</w:t>
      </w:r>
    </w:p>
    <w:p>
      <w:pPr>
        <w:widowControl/>
      </w:pPr>
      <w:r>
        <w:t>The discipline is the same everywhere. Each study records its configuration, seeds, revision and raw results with hashes. A loader checks every file before a number is read: statuses add up to calls, matched pairs share a starting schedule, and there is no constraint violation anywhere. The report is built from those files, and a verifier recomputes every chart dataset from the raw data. This document is built that way from 10 load studies (54 runs), the solver profiling study, two routing benchmarks, the two daily search studies (6,032 cases), the September booking study (3,600 requests) and the field validation summary.</w:t>
      </w:r>
    </w:p>
    <w:p>
      <w:pPr>
        <w:widowControl/>
      </w:pPr>
      <w:r>
        <w:t>Two rules matter most for the load studies. Compare only fresh-seed runs, because a seed run before leaves its roads cached and makes a one-desk search about a quarter of a second faster. And read every latency as the caller's, waits and retries included, because that is where the booking target of the client's deadline plus 500 ms is defined. Appendix B defines each measure.</w:t>
      </w:r>
    </w:p>
    <w:p>
      <w:pPr>
        <w:widowControl/>
      </w:pPr>
      <w:r>
        <w:rPr>
          <w:b/>
        </w:rPr>
        <w:t xml:space="preserve">What this thread handed on. </w:t>
      </w:r>
      <w:r>
        <w:t>With the measures fixed, each thread in Part III can be read the same way: first iteration, measurement, change, evidence, decision.</w:t>
      </w:r>
    </w:p>
    <w:p>
      <w:pPr>
        <w:pStyle w:val="Heading1"/>
        <w:keepNext/>
        <w:pageBreakBefore/>
        <w:widowControl/>
      </w:pPr>
      <w:r>
        <w:t>Part III  The optimization trail</w:t>
      </w:r>
    </w:p>
    <w:p>
      <w:pPr>
        <w:widowControl/>
      </w:pPr>
      <w:r>
        <w:t>Part III follows the five threads in the order the evidence arrived. They are not independent. The booking search's second pass mattered only once admission stopped losing holds; the faster road graph mattered only once the booking search's own contention was gone; and the engine work started from a profile that the routing work made worth taking. Each thread ends with what it handed on.</w:t>
      </w:r>
    </w:p>
    <w:p>
      <w:pPr>
        <w:pStyle w:val="Heading2"/>
        <w:keepNext/>
        <w:widowControl/>
      </w:pPr>
      <w:r>
        <w:t>9 The daily search: from Tabu to Tabu + K opt</w:t>
      </w:r>
    </w:p>
    <w:p>
      <w:pPr>
        <w:widowControl/>
      </w:pPr>
      <w:r>
        <w:t>A daily proposal rearranges a day that is already booked: appointments may move between technicians and change order, but every customer's promised window holds and no overtime is added. The question of September was which local search to run inside the client's seconds.</w:t>
      </w:r>
    </w:p>
    <w:p>
      <w:pPr>
        <w:keepNext/>
        <w:widowControl/>
      </w:pPr>
      <w:r>
        <w:drawing>
          <wp:inline xmlns:a="http://schemas.openxmlformats.org/drawingml/2006/main" xmlns:pic="http://schemas.openxmlformats.org/drawingml/2006/picture">
            <wp:extent cx="6263640" cy="4352591"/>
            <wp:docPr id="20" name="Picture 20" descr="Figure 20. A daily proposal's search: a cost search, then a fairness search that may spend a small allowance of the cost it found to spread work more evenly, and policy accepts the result only if it beats the day as sent. Below, the moves a local search tries one step at a time; the K opt move changes several links of a route at once."/>
            <wp:cNvGraphicFramePr>
              <a:graphicFrameLocks noChangeAspect="1"/>
            </wp:cNvGraphicFramePr>
            <a:graphic>
              <a:graphicData uri="http://schemas.openxmlformats.org/drawingml/2006/picture">
                <pic:pic>
                  <pic:nvPicPr>
                    <pic:cNvPr id="0" name="two_phase.png"/>
                    <pic:cNvPicPr/>
                  </pic:nvPicPr>
                  <pic:blipFill>
                    <a:blip r:embed="rId29"/>
                    <a:stretch>
                      <a:fillRect/>
                    </a:stretch>
                  </pic:blipFill>
                  <pic:spPr>
                    <a:xfrm>
                      <a:off x="0" y="0"/>
                      <a:ext cx="6263640" cy="4352591"/>
                    </a:xfrm>
                    <a:prstGeom prst="rect"/>
                  </pic:spPr>
                </pic:pic>
              </a:graphicData>
            </a:graphic>
          </wp:inline>
        </w:drawing>
      </w:r>
    </w:p>
    <w:p>
      <w:pPr>
        <w:pStyle w:val="Caption"/>
        <w:widowControl/>
        <w:spacing w:after="140"/>
      </w:pPr>
      <w:r>
        <w:rPr>
          <w:b w:val="0"/>
          <w:i/>
          <w:color w:val="000000"/>
        </w:rPr>
        <w:t>Figure 20. A daily proposal's search: a cost search, then a fairness search that may spend a small allowance of the cost it found to spread work more evenly, and policy accepts the result only if it beats the day as sent. Below, the moves a local search tries one step at a time; the K opt move changes several links of a route at once.</w:t>
      </w:r>
    </w:p>
    <w:p>
      <w:pPr>
        <w:widowControl/>
      </w:pPr>
      <w:r>
        <w:t>Every local search here works the same way: start from the day as sent, try a move, keep or reject it, and repeat until the time runs out. What differs is which moves are tried and which worse steps are accepted. Tabu search keeps a short list of recently moved visits it will not move back at once, and takes the best available step even when it is worse, so it can leave a local trap. Late acceptance accepts a move if it beats the solution of a fixed number of steps ago. The K opt move reconnects several links of a route at once, which finds order changes that single relocations and swaps cannot reach one step at a time.</w:t>
      </w:r>
    </w:p>
    <w:p>
      <w:pPr>
        <w:pStyle w:val="Heading3"/>
        <w:keepNext/>
        <w:widowControl/>
      </w:pPr>
      <w:r>
        <w:t>First iteration: Tabu, and a comparison that said to keep it</w:t>
      </w:r>
    </w:p>
    <w:p>
      <w:pPr>
        <w:widowControl/>
      </w:pPr>
      <w:r>
        <w:t>The demonstration's default was Tabu search with a 15 s budget and a tabu list of 7. The first algorithm comparison, part of the field validation, tested seven alternatives on 240 clustered cases over two held-out seeds and three budgets.</w:t>
      </w:r>
    </w:p>
    <w:p>
      <w:pPr>
        <w:keepNext/>
        <w:widowControl/>
      </w:pPr>
      <w:r>
        <w:drawing>
          <wp:inline xmlns:a="http://schemas.openxmlformats.org/drawingml/2006/main" xmlns:pic="http://schemas.openxmlformats.org/drawingml/2006/picture">
            <wp:extent cx="6263640" cy="3713444"/>
            <wp:docPr id="21" name="Picture 21" descr="Figure 21. The first algorithm comparison: mean saving against Tabu in modeled dollars per case at 15, 30 and 60 s, from the field validation summary. At 15 s only the uncapped original search beat Tabu; at 60 s the K opt family led and a larger ruin-and-recreate neighborhood still trailed."/>
            <wp:cNvGraphicFramePr>
              <a:graphicFrameLocks noChangeAspect="1"/>
            </wp:cNvGraphicFramePr>
            <a:graphic>
              <a:graphicData uri="http://schemas.openxmlformats.org/drawingml/2006/picture">
                <pic:pic>
                  <pic:nvPicPr>
                    <pic:cNvPr id="0" name="budgets29.png"/>
                    <pic:cNvPicPr/>
                  </pic:nvPicPr>
                  <pic:blipFill>
                    <a:blip r:embed="rId30"/>
                    <a:stretch>
                      <a:fillRect/>
                    </a:stretch>
                  </pic:blipFill>
                  <pic:spPr>
                    <a:xfrm>
                      <a:off x="0" y="0"/>
                      <a:ext cx="6263640" cy="3713444"/>
                    </a:xfrm>
                    <a:prstGeom prst="rect"/>
                  </pic:spPr>
                </pic:pic>
              </a:graphicData>
            </a:graphic>
          </wp:inline>
        </w:drawing>
      </w:r>
    </w:p>
    <w:p>
      <w:pPr>
        <w:pStyle w:val="Caption"/>
        <w:widowControl/>
        <w:spacing w:after="140"/>
      </w:pPr>
      <w:r>
        <w:rPr>
          <w:b w:val="0"/>
          <w:i/>
          <w:color w:val="000000"/>
        </w:rPr>
        <w:t>Figure 21. The first algorithm comparison: mean saving against Tabu in modeled dollars per case at 15, 30 and 60 s, from the field validation summary. At 15 s only the uncapped original search beat Tabu; at 60 s the K opt family led and a larger ruin-and-recreate neighborhood still trailed.</w:t>
      </w:r>
    </w:p>
    <w:p>
      <w:pPr>
        <w:widowControl/>
      </w:pPr>
      <w:r>
        <w:t>At 15 s nothing beat Tabu except the uncapped version of the original search ($6.38 per case). K opt trailed by $15.36 per case and late acceptance by $13.09. At 60 s the picture reversed: K opt saved $8.38 per case and late acceptance $5.48. The comparison's report also noted that K opt's 15 s losses were concentrated in the 50-technician cases. The decision was to retain Tabu and study fleet size and budget together.</w:t>
      </w:r>
    </w:p>
    <w:p>
      <w:pPr>
        <w:widowControl/>
      </w:pPr>
      <w:r>
        <w:t>A budget study that followed (1,280 cases at 60 to 240 s) sharpened the fleet finding. By its report, K opt, sublist and late acceptance each saved about $6 per case on average, and each lost every one of the 40 matched 50-technician dispersed cases, by $47 to $52. A blanket switch would have hidden that trade. Its run archive is not in the repository, so this document quotes its report and recomputes nothing from it.</w:t>
      </w:r>
    </w:p>
    <w:p>
      <w:pPr>
        <w:pStyle w:val="Heading3"/>
        <w:keepNext/>
        <w:widowControl/>
      </w:pPr>
      <w:r>
        <w:t>The Tabu variant study</w:t>
      </w:r>
    </w:p>
    <w:p>
      <w:pPr>
        <w:widowControl/>
      </w:pPr>
      <w:r>
        <w:t>The question became whether Tabu's weakness on mid-size fleets and the K opt family's weakness on large ones could be traded away. The Tabu variant study ran 4,480 matched cases on 16 fixtures (5 to 50 technicians, four workloads, budgets of 60 to 240 s, three seeds) with seven configurations: Tabu, Tabu with a shorter and a longer tabu list, Tabu with the K opt and sublist moves added, and the three late acceptance methods.</w:t>
      </w:r>
    </w:p>
    <w:p>
      <w:pPr>
        <w:keepNext/>
        <w:widowControl/>
      </w:pPr>
      <w:r>
        <w:drawing>
          <wp:inline xmlns:a="http://schemas.openxmlformats.org/drawingml/2006/main" xmlns:pic="http://schemas.openxmlformats.org/drawingml/2006/picture">
            <wp:extent cx="6263640" cy="5094001"/>
            <wp:docPr id="22" name="Picture 22" descr="Figure 22. Mean saving against Tabu in modeled dollars per case by fleet size. Left: the Tabu variant study (160 cases per cell). Right: the follow-up on 40 fixtures the first study never saw (48 cases per cell), with the combined Tabu + K opt size 3. Blue saves, brown loses, and the green cell is the configuration each study chose."/>
            <wp:cNvGraphicFramePr>
              <a:graphicFrameLocks noChangeAspect="1"/>
            </wp:cNvGraphicFramePr>
            <a:graphic>
              <a:graphicData uri="http://schemas.openxmlformats.org/drawingml/2006/picture">
                <pic:pic>
                  <pic:nvPicPr>
                    <pic:cNvPr id="0" name="daily_fleet.png"/>
                    <pic:cNvPicPr/>
                  </pic:nvPicPr>
                  <pic:blipFill>
                    <a:blip r:embed="rId31"/>
                    <a:stretch>
                      <a:fillRect/>
                    </a:stretch>
                  </pic:blipFill>
                  <pic:spPr>
                    <a:xfrm>
                      <a:off x="0" y="0"/>
                      <a:ext cx="6263640" cy="5094001"/>
                    </a:xfrm>
                    <a:prstGeom prst="rect"/>
                  </pic:spPr>
                </pic:pic>
              </a:graphicData>
            </a:graphic>
          </wp:inline>
        </w:drawing>
      </w:r>
    </w:p>
    <w:p>
      <w:pPr>
        <w:pStyle w:val="Caption"/>
        <w:widowControl/>
        <w:spacing w:after="140"/>
      </w:pPr>
      <w:r>
        <w:rPr>
          <w:b w:val="0"/>
          <w:i/>
          <w:color w:val="000000"/>
        </w:rPr>
        <w:t>Figure 22. Mean saving against Tabu in modeled dollars per case by fleet size. Left: the Tabu variant study (160 cases per cell). Right: the follow-up on 40 fixtures the first study never saw (48 cases per cell), with the combined Tabu + K opt size 3. Blue saves, brown loses, and the green cell is the configuration each study chose.</w:t>
      </w:r>
    </w:p>
    <w:p>
      <w:pPr>
        <w:widowControl/>
      </w:pPr>
      <w:r>
        <w:t>Tabu + K opt saved $7.55 per case and was the only configuration ahead in every fleet size, every workload ($5.95 to $9.83) and every budget. The late acceptance family was the better choice on 10 and 20 technicians (about $15.22 per case) and lost about $27.39 on 50. A mean can hide a few large wins among many losses, so the next figure counts cases.</w:t>
      </w:r>
    </w:p>
    <w:p>
      <w:pPr>
        <w:keepNext/>
        <w:widowControl/>
      </w:pPr>
      <w:r>
        <w:drawing>
          <wp:inline xmlns:a="http://schemas.openxmlformats.org/drawingml/2006/main" xmlns:pic="http://schemas.openxmlformats.org/drawingml/2006/picture">
            <wp:extent cx="6263640" cy="4224761"/>
            <wp:docPr id="23" name="Picture 23" descr="Figure 23. Wins, ties and losses against Tabu, case by case, in both studies. A win is a lower accepted cost in exact cents on the same starting day, seed and budget. Tabu + K opt won the most cases in the first study; Tabu + K opt size 3 and Tabu + K opt led the follow-up."/>
            <wp:cNvGraphicFramePr>
              <a:graphicFrameLocks noChangeAspect="1"/>
            </wp:cNvGraphicFramePr>
            <a:graphic>
              <a:graphicData uri="http://schemas.openxmlformats.org/drawingml/2006/picture">
                <pic:pic>
                  <pic:nvPicPr>
                    <pic:cNvPr id="0" name="wtl.png"/>
                    <pic:cNvPicPr/>
                  </pic:nvPicPr>
                  <pic:blipFill>
                    <a:blip r:embed="rId32"/>
                    <a:stretch>
                      <a:fillRect/>
                    </a:stretch>
                  </pic:blipFill>
                  <pic:spPr>
                    <a:xfrm>
                      <a:off x="0" y="0"/>
                      <a:ext cx="6263640" cy="4224761"/>
                    </a:xfrm>
                    <a:prstGeom prst="rect"/>
                  </pic:spPr>
                </pic:pic>
              </a:graphicData>
            </a:graphic>
          </wp:inline>
        </w:drawing>
      </w:r>
    </w:p>
    <w:p>
      <w:pPr>
        <w:pStyle w:val="Caption"/>
        <w:widowControl/>
        <w:spacing w:after="140"/>
      </w:pPr>
      <w:r>
        <w:rPr>
          <w:b w:val="0"/>
          <w:i/>
          <w:color w:val="000000"/>
        </w:rPr>
        <w:t>Figure 23. Wins, ties and losses against Tabu, case by case, in both studies. A win is a lower accepted cost in exact cents on the same starting day, seed and budget. Tabu + K opt won the most cases in the first study; Tabu + K opt size 3 and Tabu + K opt led the follow-up.</w:t>
      </w:r>
    </w:p>
    <w:p>
      <w:pPr>
        <w:widowControl/>
      </w:pPr>
      <w:r>
        <w:t>Tabu + K opt had 535 wins, 22 ties and 83 losses out of 640, so its mean is not carried by a few cases. Rerun one case at a time on 64 cases it saved $5.54 per case (50 wins, 3 ties and 11 losses), so running six cases at once had not made the result.</w:t>
      </w:r>
    </w:p>
    <w:p>
      <w:pPr>
        <w:pStyle w:val="Heading3"/>
        <w:keepNext/>
        <w:widowControl/>
      </w:pPr>
      <w:r>
        <w:t>Why late acceptance loses on large fleets, and what Tabu + K opt costs</w:t>
      </w:r>
    </w:p>
    <w:p>
      <w:pPr>
        <w:keepNext/>
        <w:widowControl/>
      </w:pPr>
      <w:r>
        <w:drawing>
          <wp:inline xmlns:a="http://schemas.openxmlformats.org/drawingml/2006/main" xmlns:pic="http://schemas.openxmlformats.org/drawingml/2006/picture">
            <wp:extent cx="6263640" cy="5758714"/>
            <wp:docPr id="24" name="Picture 24" descr="Figure 24. Left: the point in the cost phase at which each search found its best schedule, by fleet size, in the Tabu variant study. Right: the mean fairness variance of the accepted schedules, lower being more even, with the fairness search on (first study) and with the cost search only (follow-up). The two right-hand groups come from different fixtures and compare only within themselves."/>
            <wp:cNvGraphicFramePr>
              <a:graphicFrameLocks noChangeAspect="1"/>
            </wp:cNvGraphicFramePr>
            <a:graphic>
              <a:graphicData uri="http://schemas.openxmlformats.org/drawingml/2006/picture">
                <pic:pic>
                  <pic:nvPicPr>
                    <pic:cNvPr id="0" name="late_mechanics.png"/>
                    <pic:cNvPicPr/>
                  </pic:nvPicPr>
                  <pic:blipFill>
                    <a:blip r:embed="rId33"/>
                    <a:stretch>
                      <a:fillRect/>
                    </a:stretch>
                  </pic:blipFill>
                  <pic:spPr>
                    <a:xfrm>
                      <a:off x="0" y="0"/>
                      <a:ext cx="6263640" cy="5758714"/>
                    </a:xfrm>
                    <a:prstGeom prst="rect"/>
                  </pic:spPr>
                </pic:pic>
              </a:graphicData>
            </a:graphic>
          </wp:inline>
        </w:drawing>
      </w:r>
    </w:p>
    <w:p>
      <w:pPr>
        <w:pStyle w:val="Caption"/>
        <w:widowControl/>
        <w:spacing w:after="140"/>
      </w:pPr>
      <w:r>
        <w:rPr>
          <w:b w:val="0"/>
          <w:i/>
          <w:color w:val="000000"/>
        </w:rPr>
        <w:t>Figure 24. Left: the point in the cost phase at which each search found its best schedule, by fleet size, in the Tabu variant study. Right: the mean fairness variance of the accepted schedules, lower being more even, with the fairness search on (first study) and with the cost search only (follow-up). The two right-hand groups come from different fixtures and compare only within themselves.</w:t>
      </w:r>
    </w:p>
    <w:p>
      <w:pPr>
        <w:widowControl/>
      </w:pPr>
      <w:r>
        <w:t>The recorded search mechanics say why the late acceptance family loses on 50 technicians. It found its best schedule at 96 percent of its phase on average there, against 69 percent for Tabu + K opt: it was still improving when its time ran out. Tabu + K opt keeps most of the mid-size gain because the K opt moves reconnect several route links at once, and avoids the large-fleet loss because Tabu's step style converges early.</w:t>
      </w:r>
    </w:p>
    <w:p>
      <w:pPr>
        <w:widowControl/>
      </w:pPr>
      <w:r>
        <w:t>Its cost is balance. With the fairness search on, its accepted schedules had a mean variance of 0.0107 against Tabu's 0.0089. With the cost search alone, as in the follow-up, every cheaper method spread work less evenly than Tabu (0.0586 for Tabu + K opt and 0.0604 for size 3, against 0.0521). The fairness search closes most of the absolute gap, and it is part of every real daily proposal.</w:t>
      </w:r>
    </w:p>
    <w:p>
      <w:pPr>
        <w:pStyle w:val="Heading3"/>
        <w:keepNext/>
        <w:widowControl/>
      </w:pPr>
      <w:r>
        <w:t>The decision, and the follow-up that tested it</w:t>
      </w:r>
    </w:p>
    <w:p>
      <w:pPr>
        <w:widowControl/>
      </w:pPr>
      <w:r>
        <w:t>The daily search then became each client's own choice in the snapshot's policy (TABU_KOPT or TABU, with its own cost and fairness seconds up to 240 together), and Tabu + K opt became the default for existing clients (#133). A study that chooses its winner on the fixtures it measured can be fooled by those fixtures, so the follow-up (#134) ran 1,200 cases on 40 new fixtures with new seeds, added 30 technicians, and tried the one combination the first study suggested: Tabu + K opt with the shorter tabu list of 3.</w:t>
      </w:r>
    </w:p>
    <w:p>
      <w:pPr>
        <w:widowControl/>
      </w:pPr>
      <w:r>
        <w:t>Tabu + K opt held: $8.22 per case, ahead at every fleet size, 207 wins, 15 ties and 18 losses. Tabu + K opt size 3 did better still, $11.50 per case, ahead of Tabu + K opt itself in 141 of 240 matched cases and at every fleet size from 10 technicians up; it trails by $1.17 at 5. Rerun one case at a time it beat Tabu in 16 of 16.</w:t>
      </w:r>
    </w:p>
    <w:p>
      <w:pPr>
        <w:keepNext/>
        <w:widowControl/>
      </w:pPr>
      <w:r>
        <w:drawing>
          <wp:inline xmlns:a="http://schemas.openxmlformats.org/drawingml/2006/main" xmlns:pic="http://schemas.openxmlformats.org/drawingml/2006/picture">
            <wp:extent cx="6263640" cy="3585614"/>
            <wp:docPr id="25" name="Picture 25" descr="Figure 25. The follow-up's long-budget arm: mean saving against Tabu + K opt at 240, 480 and 600 s, at 30 and 50 technicians. The shaded budgets are beyond the 240 s a client can set. On 50 technicians late acceptance draws level only at 600 s and K opt passes Tabu + K opt only from about 480 s."/>
            <wp:cNvGraphicFramePr>
              <a:graphicFrameLocks noChangeAspect="1"/>
            </wp:cNvGraphicFramePr>
            <a:graphic>
              <a:graphicData uri="http://schemas.openxmlformats.org/drawingml/2006/picture">
                <pic:pic>
                  <pic:nvPicPr>
                    <pic:cNvPr id="0" name="long_arm.png"/>
                    <pic:cNvPicPr/>
                  </pic:nvPicPr>
                  <pic:blipFill>
                    <a:blip r:embed="rId34"/>
                    <a:stretch>
                      <a:fillRect/>
                    </a:stretch>
                  </pic:blipFill>
                  <pic:spPr>
                    <a:xfrm>
                      <a:off x="0" y="0"/>
                      <a:ext cx="6263640" cy="3585614"/>
                    </a:xfrm>
                    <a:prstGeom prst="rect"/>
                  </pic:spPr>
                </pic:pic>
              </a:graphicData>
            </a:graphic>
          </wp:inline>
        </w:drawing>
      </w:r>
    </w:p>
    <w:p>
      <w:pPr>
        <w:pStyle w:val="Caption"/>
        <w:widowControl/>
        <w:spacing w:after="140"/>
      </w:pPr>
      <w:r>
        <w:rPr>
          <w:b w:val="0"/>
          <w:i/>
          <w:color w:val="000000"/>
        </w:rPr>
        <w:t>Figure 25. The follow-up's long-budget arm: mean saving against Tabu + K opt at 240, 480 and 600 s, at 30 and 50 technicians. The shaded budgets are beyond the 240 s a client can set. On 50 technicians late acceptance draws level only at 600 s and K opt passes Tabu + K opt only from about 480 s.</w:t>
      </w:r>
    </w:p>
    <w:p>
      <w:pPr>
        <w:widowControl/>
      </w:pPr>
      <w:r>
        <w:t>The long-budget arm answered the last open question. On 50 technicians late acceptance draws level with Tabu + K opt only at 600 s ($0.35 against it; -$7.89 at 240 s), and K opt passes it from about 480 s ($3.49, against -$4.19 at 240 s). Those budgets are beyond the 240 s a client can set, so the large-fleet weakness is slowness, not a fault, and a fleet-size rule is not needed: one method per client covers every fleet the studies measured.</w:t>
      </w:r>
    </w:p>
    <w:p>
      <w:pPr>
        <w:widowControl/>
      </w:pPr>
      <w:r>
        <w:rPr>
          <w:b/>
        </w:rPr>
        <w:t xml:space="preserve">What this thread handed on. </w:t>
      </w:r>
      <w:r>
        <w:t>Tabu + K opt is each client's default, with $7.55 per case over Tabu on the first study and $8.22 on fixtures it had never seen, and a stronger candidate (size 3) waits for the evidence Part V describes. A daily solve's quality now depends on how many moves it can evaluate in its seconds, which is where section 13 picks the thread up.</w:t>
      </w:r>
    </w:p>
    <w:p>
      <w:pPr>
        <w:pStyle w:val="Heading2"/>
        <w:keepNext/>
        <w:widowControl/>
      </w:pPr>
      <w:r>
        <w:t>10 The booking search: insertion, bounded rearrangement, and the deadline</w:t>
      </w:r>
    </w:p>
    <w:p>
      <w:pPr>
        <w:widowControl/>
      </w:pPr>
      <w:r>
        <w:t>Booking finds arrival windows for a new job and holds them while the customer chooses. The search must keep every existing promise and add no overtime, and it must answer inside the client's deadline. Two methods were in play from the start.</w:t>
      </w:r>
    </w:p>
    <w:p>
      <w:pPr>
        <w:keepNext/>
        <w:widowControl/>
      </w:pPr>
      <w:r>
        <w:drawing>
          <wp:inline xmlns:a="http://schemas.openxmlformats.org/drawingml/2006/main" xmlns:pic="http://schemas.openxmlformats.org/drawingml/2006/picture">
            <wp:extent cx="6263640" cy="3713444"/>
            <wp:docPr id="26" name="Picture 26" descr="Figure 26. Two ways to fit a new job into a booked day. Insertion tries the new visit in every gap of every eligible route without moving anything else; bounded search also tries small rearrangements around the affected work, within limits on routes, depth and candidates. The September studies measured the trade between the two."/>
            <wp:cNvGraphicFramePr>
              <a:graphicFrameLocks noChangeAspect="1"/>
            </wp:cNvGraphicFramePr>
            <a:graphic>
              <a:graphicData uri="http://schemas.openxmlformats.org/drawingml/2006/picture">
                <pic:pic>
                  <pic:nvPicPr>
                    <pic:cNvPr id="0" name="booking_methods.png"/>
                    <pic:cNvPicPr/>
                  </pic:nvPicPr>
                  <pic:blipFill>
                    <a:blip r:embed="rId35"/>
                    <a:stretch>
                      <a:fillRect/>
                    </a:stretch>
                  </pic:blipFill>
                  <pic:spPr>
                    <a:xfrm>
                      <a:off x="0" y="0"/>
                      <a:ext cx="6263640" cy="3713444"/>
                    </a:xfrm>
                    <a:prstGeom prst="rect"/>
                  </pic:spPr>
                </pic:pic>
              </a:graphicData>
            </a:graphic>
          </wp:inline>
        </w:drawing>
      </w:r>
    </w:p>
    <w:p>
      <w:pPr>
        <w:pStyle w:val="Caption"/>
        <w:widowControl/>
        <w:spacing w:after="140"/>
      </w:pPr>
      <w:r>
        <w:rPr>
          <w:b w:val="0"/>
          <w:i/>
          <w:color w:val="000000"/>
        </w:rPr>
        <w:t>Figure 26. Two ways to fit a new job into a booked day. Insertion tries the new visit in every gap of every eligible route without moving anything else; bounded search also tries small rearrangements around the affected work, within limits on routes, depth and candidates. The September studies measured the trade between the two.</w:t>
      </w:r>
    </w:p>
    <w:p>
      <w:pPr>
        <w:pStyle w:val="Heading3"/>
        <w:keepNext/>
        <w:widowControl/>
      </w:pPr>
      <w:r>
        <w:t>First iteration: the September studies</w:t>
      </w:r>
    </w:p>
    <w:p>
      <w:pPr>
        <w:widowControl/>
      </w:pPr>
      <w:r>
        <w:t>The first booking experiment compared the two on 360 cases (3,600 requests). In all 60 sequential comparisons where both methods booked the same ten requests, bounded search used 47.83 fewer paid minutes and $24.42 less modeled cost per case on average, and never more of either.</w:t>
      </w:r>
    </w:p>
    <w:p>
      <w:pPr>
        <w:keepNext/>
        <w:widowControl/>
      </w:pPr>
      <w:r>
        <w:drawing>
          <wp:inline xmlns:a="http://schemas.openxmlformats.org/drawingml/2006/main" xmlns:pic="http://schemas.openxmlformats.org/drawingml/2006/picture">
            <wp:extent cx="6263640" cy="3329956"/>
            <wp:docPr id="27" name="Picture 27" descr="Figure 27. The first booking experiment: what bounded search saved per case against insertion, by workload, in paid minutes (left) and modeled cost (right), over the sequential cases where both methods booked the same ten requests. Clustered days gain the most; sparse days have little to rearrange."/>
            <wp:cNvGraphicFramePr>
              <a:graphicFrameLocks noChangeAspect="1"/>
            </wp:cNvGraphicFramePr>
            <a:graphic>
              <a:graphicData uri="http://schemas.openxmlformats.org/drawingml/2006/picture">
                <pic:pic>
                  <pic:nvPicPr>
                    <pic:cNvPr id="0" name="workload24.png"/>
                    <pic:cNvPicPr/>
                  </pic:nvPicPr>
                  <pic:blipFill>
                    <a:blip r:embed="rId36"/>
                    <a:stretch>
                      <a:fillRect/>
                    </a:stretch>
                  </pic:blipFill>
                  <pic:spPr>
                    <a:xfrm>
                      <a:off x="0" y="0"/>
                      <a:ext cx="6263640" cy="3329956"/>
                    </a:xfrm>
                    <a:prstGeom prst="rect"/>
                  </pic:spPr>
                </pic:pic>
              </a:graphicData>
            </a:graphic>
          </wp:inline>
        </w:drawing>
      </w:r>
    </w:p>
    <w:p>
      <w:pPr>
        <w:pStyle w:val="Caption"/>
        <w:widowControl/>
        <w:spacing w:after="140"/>
      </w:pPr>
      <w:r>
        <w:rPr>
          <w:b w:val="0"/>
          <w:i/>
          <w:color w:val="000000"/>
        </w:rPr>
        <w:t>Figure 27. The first booking experiment: what bounded search saved per case against insertion, by workload, in paid minutes (left) and modeled cost (right), over the sequential cases where both methods booked the same ten requests. Clustered days gain the most; sparse days have little to rearrange.</w:t>
      </w:r>
    </w:p>
    <w:p>
      <w:pPr>
        <w:widowControl/>
      </w:pPr>
      <w:r>
        <w:t>The gain depended on the workload: clustered days saved 93.75 minutes and $46.88 per case, dispersed days 49.65 and $26.30, sparse days 0.10 minutes and $0.08. The price was time: one request at a time, the search p95 rose from 0.68 s to 3.59 s; at ten simultaneous requests from 4.01 s to 26.30 s.</w:t>
      </w:r>
    </w:p>
    <w:p>
      <w:pPr>
        <w:keepNext/>
        <w:widowControl/>
      </w:pPr>
      <w:r>
        <w:drawing>
          <wp:inline xmlns:a="http://schemas.openxmlformats.org/drawingml/2006/main" xmlns:pic="http://schemas.openxmlformats.org/drawingml/2006/picture">
            <wp:extent cx="6263640" cy="3841273"/>
            <wp:docPr id="28" name="Picture 28" descr="Figure 28. Left: requests served of 480 in the field validation's held-out matrix by search method, with each method's mean case p95. Right: search p95 by concurrency in the first booking experiment, insertion against bounded."/>
            <wp:cNvGraphicFramePr>
              <a:graphicFrameLocks noChangeAspect="1"/>
            </wp:cNvGraphicFramePr>
            <a:graphic>
              <a:graphicData uri="http://schemas.openxmlformats.org/drawingml/2006/picture">
                <pic:pic>
                  <pic:nvPicPr>
                    <pic:cNvPr id="0" name="booking_study.png"/>
                    <pic:cNvPicPr/>
                  </pic:nvPicPr>
                  <pic:blipFill>
                    <a:blip r:embed="rId37"/>
                    <a:stretch>
                      <a:fillRect/>
                    </a:stretch>
                  </pic:blipFill>
                  <pic:spPr>
                    <a:xfrm>
                      <a:off x="0" y="0"/>
                      <a:ext cx="6263640" cy="3841273"/>
                    </a:xfrm>
                    <a:prstGeom prst="rect"/>
                  </pic:spPr>
                </pic:pic>
              </a:graphicData>
            </a:graphic>
          </wp:inline>
        </w:drawing>
      </w:r>
    </w:p>
    <w:p>
      <w:pPr>
        <w:pStyle w:val="Caption"/>
        <w:widowControl/>
        <w:spacing w:after="140"/>
      </w:pPr>
      <w:r>
        <w:rPr>
          <w:b w:val="0"/>
          <w:i/>
          <w:color w:val="000000"/>
        </w:rPr>
        <w:t>Figure 28. Left: requests served of 480 in the field validation's held-out matrix by search method, with each method's mean case p95. Right: search p95 by concurrency in the first booking experiment, insertion against bounded.</w:t>
      </w:r>
    </w:p>
    <w:p>
      <w:pPr>
        <w:widowControl/>
      </w:pPr>
      <w:r>
        <w:t>The field validation widened the matrix (5 to 50 technicians, concurrency 1 to 10, cold and warm caches, two held-out seeds) and added three larger searches. Bounded search served 360 of 480 requests against insertion's 346, with a mean case p95 of 15.7 s against 2.9 s. The largest search, shared evaluation across windows, served 334 at 64.1 s and ended one run with an audit failure, so it and the expanded and ruin-and-recreate variants were set aside. The decision was to keep bounded search as the booking method and insertion as its control, under the policy the studies had been run with: a single best offer per window, zero new overtime, service and return travel inside regular availability.</w:t>
      </w:r>
    </w:p>
    <w:p>
      <w:pPr>
        <w:pStyle w:val="Heading3"/>
        <w:keepNext/>
        <w:widowControl/>
      </w:pPr>
      <w:r>
        <w:t>What changed in the API era</w:t>
      </w:r>
    </w:p>
    <w:p>
      <w:pPr>
        <w:widowControl/>
      </w:pPr>
      <w:r>
        <w:t>The public API runs the same bounded search as two passes inside the client's bookingDeadlineMs: an insertion pass that places the job on each day and finds the regular windows, then a refinement pass that improves cost and may move other appointments. When the insertion pass already finds more distinct windows than the client's regularWindowThreshold, the refinement is optional and capped, at 250 ms unless the client sets its own budget. When it finds fewer, offers are scarce and the refinement may use the rest of the deadline to find more.</w:t>
      </w:r>
    </w:p>
    <w:p>
      <w:pPr>
        <w:keepNext/>
        <w:widowControl/>
      </w:pPr>
      <w:r>
        <w:drawing>
          <wp:inline xmlns:a="http://schemas.openxmlformats.org/drawingml/2006/main" xmlns:pic="http://schemas.openxmlformats.org/drawingml/2006/picture">
            <wp:extent cx="6263640" cy="4736079"/>
            <wp:docPr id="29" name="Picture 29" descr="Figure 29. Inside the deadline: when the second pass runs, and how it ends. Each path reports how the refinement ended (refinement) and whether the offers are complete (searchComplete). The three highlighted outcomes are the API-era changes that the load tool's first measurements led to."/>
            <wp:cNvGraphicFramePr>
              <a:graphicFrameLocks noChangeAspect="1"/>
            </wp:cNvGraphicFramePr>
            <a:graphic>
              <a:graphicData uri="http://schemas.openxmlformats.org/drawingml/2006/picture">
                <pic:pic>
                  <pic:nvPicPr>
                    <pic:cNvPr id="0" name="deadline.png"/>
                    <pic:cNvPicPr/>
                  </pic:nvPicPr>
                  <pic:blipFill>
                    <a:blip r:embed="rId38"/>
                    <a:stretch>
                      <a:fillRect/>
                    </a:stretch>
                  </pic:blipFill>
                  <pic:spPr>
                    <a:xfrm>
                      <a:off x="0" y="0"/>
                      <a:ext cx="6263640" cy="4736079"/>
                    </a:xfrm>
                    <a:prstGeom prst="rect"/>
                  </pic:spPr>
                </pic:pic>
              </a:graphicData>
            </a:graphic>
          </wp:inline>
        </w:drawing>
      </w:r>
    </w:p>
    <w:p>
      <w:pPr>
        <w:pStyle w:val="Caption"/>
        <w:widowControl/>
        <w:spacing w:after="140"/>
      </w:pPr>
      <w:r>
        <w:rPr>
          <w:b w:val="0"/>
          <w:i/>
          <w:color w:val="000000"/>
        </w:rPr>
        <w:t>Figure 29. Inside the deadline: when the second pass runs, and how it ends. Each path reports how the refinement ended (refinement) and whether the offers are complete (searchComplete). The three highlighted outcomes are the API-era changes that the load tool's first measurements led to.</w:t>
      </w:r>
    </w:p>
    <w:p>
      <w:pPr>
        <w:widowControl/>
      </w:pPr>
      <w:r>
        <w:t>Three things about that second pass were wrong when the load tool first measured it, and each was fixed and measured in turn.</w:t>
      </w:r>
    </w:p>
    <w:p>
      <w:pPr>
        <w:keepNext/>
        <w:widowControl/>
      </w:pPr>
      <w:r>
        <w:drawing>
          <wp:inline xmlns:a="http://schemas.openxmlformats.org/drawingml/2006/main" xmlns:pic="http://schemas.openxmlformats.org/drawingml/2006/picture">
            <wp:extent cx="6263640" cy="3457785"/>
            <wp:docPr id="30" name="Picture 30" descr="Figure 30. The three fixes to the second pass. Left: searches at five desks that reported searchComplete false before #154 and after it. Middle: the #155 A/B at five desks on fresh addresses, searches per minute and offers p95. Right: #138, covered by tests rather than a load run."/>
            <wp:cNvGraphicFramePr>
              <a:graphicFrameLocks noChangeAspect="1"/>
            </wp:cNvGraphicFramePr>
            <a:graphic>
              <a:graphicData uri="http://schemas.openxmlformats.org/drawingml/2006/picture">
                <pic:pic>
                  <pic:nvPicPr>
                    <pic:cNvPr id="0" name="api_fixes.png"/>
                    <pic:cNvPicPr/>
                  </pic:nvPicPr>
                  <pic:blipFill>
                    <a:blip r:embed="rId39"/>
                    <a:stretch>
                      <a:fillRect/>
                    </a:stretch>
                  </pic:blipFill>
                  <pic:spPr>
                    <a:xfrm>
                      <a:off x="0" y="0"/>
                      <a:ext cx="6263640" cy="3457785"/>
                    </a:xfrm>
                    <a:prstGeom prst="rect"/>
                  </pic:spPr>
                </pic:pic>
              </a:graphicData>
            </a:graphic>
          </wp:inline>
        </w:drawing>
      </w:r>
    </w:p>
    <w:p>
      <w:pPr>
        <w:pStyle w:val="Caption"/>
        <w:widowControl/>
        <w:spacing w:after="140"/>
      </w:pPr>
      <w:r>
        <w:rPr>
          <w:b w:val="0"/>
          <w:i/>
          <w:color w:val="000000"/>
        </w:rPr>
        <w:t>Figure 30. The three fixes to the second pass. Left: searches at five desks that reported searchComplete false before #154 and after it. Middle: the #155 A/B at five desks on fresh addresses, searches per minute and offers p95. Right: #138, covered by tests rather than a load run.</w:t>
      </w:r>
    </w:p>
    <w:p>
      <w:pPr>
        <w:widowControl/>
      </w:pPr>
      <w:r>
        <w:rPr>
          <w:b/>
        </w:rPr>
        <w:t xml:space="preserve">searchComplete (#154). </w:t>
      </w:r>
      <w:r>
        <w:t>Reaching the optional refinement's cap marked the search incomplete, so 102 of 102 searches at five desks reported searchComplete false while returning four offers. Now the flag means what the contract says, that the deadline cut a needed pass short, and OfferSet.refinement says how the second pass ended: 0 of 123 searches were incomplete in 60 s at five desks, and all 123 refinements were SHORTENED by the cap.</w:t>
      </w:r>
    </w:p>
    <w:p>
      <w:pPr>
        <w:widowControl/>
      </w:pPr>
      <w:r>
        <w:rPr>
          <w:b/>
        </w:rPr>
        <w:t xml:space="preserve">Shedding (#155). </w:t>
      </w:r>
      <w:r>
        <w:t>The optional pass was spent while other customers waited for a slot. Now refinement is shed (SHED) while booking requests are queued on the replica, a client may set its own refinement budget, and the dates a needed pass did not finish are reported. In the A/B at five desks on fresh addresses the replica answered 127 searches per minute before and 263 after, with offers p95 from 2.6 s to 1.3 s, and every search still returned four offers.</w:t>
      </w:r>
    </w:p>
    <w:p>
      <w:pPr>
        <w:widowControl/>
      </w:pPr>
      <w:r>
        <w:rPr>
          <w:b/>
        </w:rPr>
        <w:t xml:space="preserve">Invalid refinement (#138). </w:t>
      </w:r>
      <w:r>
        <w:t>A refinement result that failed validation used to fail the whole search. Now the insertion offers are published with refinement UNAVAILABLE and the failure is logged and counted; an invalid insertion result still fails the search, so nothing unchecked is ever offered.</w:t>
      </w:r>
    </w:p>
    <w:p>
      <w:pPr>
        <w:widowControl/>
      </w:pPr>
      <w:r>
        <w:rPr>
          <w:b/>
        </w:rPr>
        <w:t xml:space="preserve">What this thread handed on. </w:t>
      </w:r>
      <w:r>
        <w:t>The second pass is worth its 250 ms when the replica is idle and worth nothing when four other desks wait for the slot it holds, so the right policy is conditional and the host is told which it got. Throughput at five desks doubled without changing a single offered window. With the search's own contention gone, what remained inside a search was routing, which is where section 11 begins.</w:t>
      </w:r>
    </w:p>
    <w:p>
      <w:pPr>
        <w:pStyle w:val="Heading2"/>
        <w:keepNext/>
        <w:widowControl/>
      </w:pPr>
      <w:r>
        <w:t>11 Routing: from a flexible graph to a contraction hierarchy</w:t>
      </w:r>
    </w:p>
    <w:p>
      <w:pPr>
        <w:widowControl/>
      </w:pPr>
      <w:r>
        <w:t>The routing service computes legs on a GraphHopper road graph of the metro, and the scheduler caches them in the tiers of section 7. The question of this thread was never whether a faster graph existed; it was whether routing was the bottleneck.</w:t>
      </w:r>
    </w:p>
    <w:p>
      <w:pPr>
        <w:pStyle w:val="Heading3"/>
        <w:keepNext/>
        <w:widowControl/>
      </w:pPr>
      <w:r>
        <w:t>First iteration: sparse pairs, and a faster graph that changed nothing</w:t>
      </w:r>
    </w:p>
    <w:p>
      <w:pPr>
        <w:widowControl/>
      </w:pPr>
      <w:r>
        <w:t>The first routing change fetched only the directed pairs a search needs instead of whole matrices: the first sparse Omaha request took 329.9 ms and a repeat 3.96 ms, with every pair matching the full matrix. Next, a contraction hierarchy (CH) graph was prepared for the Omaha map and benchmarked against the flexible graph on 132 directed pairs, and every leg matched to the metre.</w:t>
      </w:r>
    </w:p>
    <w:p>
      <w:pPr>
        <w:keepNext/>
        <w:widowControl/>
      </w:pPr>
      <w:r>
        <w:drawing>
          <wp:inline xmlns:a="http://schemas.openxmlformats.org/drawingml/2006/main" xmlns:pic="http://schemas.openxmlformats.org/drawingml/2006/picture">
            <wp:extent cx="6263640" cy="3457785"/>
            <wp:docPr id="31" name="Picture 31" descr="Figure 31. September's paradox. Left: the routing service alone answered a 16-pair request more than ten times faster on the CH graph. Right: under a 720-request booking run on real Omaha roads the two graphs served the same customers at the same pooled p95."/>
            <wp:cNvGraphicFramePr>
              <a:graphicFrameLocks noChangeAspect="1"/>
            </wp:cNvGraphicFramePr>
            <a:graphic>
              <a:graphicData uri="http://schemas.openxmlformats.org/drawingml/2006/picture">
                <pic:pic>
                  <pic:nvPicPr>
                    <pic:cNvPr id="0" name="paradox.png"/>
                    <pic:cNvPicPr/>
                  </pic:nvPicPr>
                  <pic:blipFill>
                    <a:blip r:embed="rId40"/>
                    <a:stretch>
                      <a:fillRect/>
                    </a:stretch>
                  </pic:blipFill>
                  <pic:spPr>
                    <a:xfrm>
                      <a:off x="0" y="0"/>
                      <a:ext cx="6263640" cy="3457785"/>
                    </a:xfrm>
                    <a:prstGeom prst="rect"/>
                  </pic:spPr>
                </pic:pic>
              </a:graphicData>
            </a:graphic>
          </wp:inline>
        </w:drawing>
      </w:r>
    </w:p>
    <w:p>
      <w:pPr>
        <w:pStyle w:val="Caption"/>
        <w:widowControl/>
        <w:spacing w:after="140"/>
      </w:pPr>
      <w:r>
        <w:rPr>
          <w:b w:val="0"/>
          <w:i/>
          <w:color w:val="000000"/>
        </w:rPr>
        <w:t>Figure 31. September's paradox. Left: the routing service alone answered a 16-pair request more than ten times faster on the CH graph. Right: under a 720-request booking run on real Omaha roads the two graphs served the same customers at the same pooled p95.</w:t>
      </w:r>
    </w:p>
    <w:p>
      <w:pPr>
        <w:widowControl/>
      </w:pPr>
      <w:r>
        <w:t>Alone, an uncached 16-pair request answered in 14.6 ms p50 instead of 168.3 with one caller, and 16.9 instead of 311.9 with ten. Under a full booking run of 720 requests the flexible graph served 379 at a pooled p95 of 4.16 s and the CH graph 383 at 4.17 s. A road query more than ten times faster had bought nothing a customer would notice, because the booking search of that time spent its deadline elsewhere, on reservation contention and its own candidate work. CH and road prewarming stayed off by default, with a note that the decision should be revisited with combined booking evidence.</w:t>
      </w:r>
    </w:p>
    <w:p>
      <w:pPr>
        <w:pStyle w:val="Heading3"/>
        <w:keepNext/>
        <w:widowControl/>
      </w:pPr>
      <w:r>
        <w:t>How a contraction hierarchy works</w:t>
      </w:r>
    </w:p>
    <w:p>
      <w:pPr>
        <w:keepNext/>
        <w:widowControl/>
      </w:pPr>
      <w:r>
        <w:drawing>
          <wp:inline xmlns:a="http://schemas.openxmlformats.org/drawingml/2006/main" xmlns:pic="http://schemas.openxmlformats.org/drawingml/2006/picture">
            <wp:extent cx="6263640" cy="3841273"/>
            <wp:docPr id="32" name="Picture 32" descr="Figure 32. How a contraction hierarchy answers with less work. At import every junction is ranked by importance and shortcuts stand for paths through less important junctions; a query searches only upward from both ends, follows the shortcuts, and meets at the most important junction between them. The answer is the same to the metre; only the work changes."/>
            <wp:cNvGraphicFramePr>
              <a:graphicFrameLocks noChangeAspect="1"/>
            </wp:cNvGraphicFramePr>
            <a:graphic>
              <a:graphicData uri="http://schemas.openxmlformats.org/drawingml/2006/picture">
                <pic:pic>
                  <pic:nvPicPr>
                    <pic:cNvPr id="0" name="ch_mechanism.png"/>
                    <pic:cNvPicPr/>
                  </pic:nvPicPr>
                  <pic:blipFill>
                    <a:blip r:embed="rId41"/>
                    <a:stretch>
                      <a:fillRect/>
                    </a:stretch>
                  </pic:blipFill>
                  <pic:spPr>
                    <a:xfrm>
                      <a:off x="0" y="0"/>
                      <a:ext cx="6263640" cy="3841273"/>
                    </a:xfrm>
                    <a:prstGeom prst="rect"/>
                  </pic:spPr>
                </pic:pic>
              </a:graphicData>
            </a:graphic>
          </wp:inline>
        </w:drawing>
      </w:r>
    </w:p>
    <w:p>
      <w:pPr>
        <w:pStyle w:val="Caption"/>
        <w:widowControl/>
        <w:spacing w:after="140"/>
      </w:pPr>
      <w:r>
        <w:rPr>
          <w:b w:val="0"/>
          <w:i/>
          <w:color w:val="000000"/>
        </w:rPr>
        <w:t>Figure 32. How a contraction hierarchy answers with less work. At import every junction is ranked by importance and shortcuts stand for paths through less important junctions; a query searches only upward from both ends, follows the shortcuts, and meets at the most important junction between them. The answer is the same to the metre; only the work changes.</w:t>
      </w:r>
    </w:p>
    <w:p>
      <w:pPr>
        <w:widowControl/>
      </w:pPr>
      <w:r>
        <w:t>A contraction hierarchy spends time once, at import, ordering every junction by importance and adding shortcut edges wherever removing a junction would break a shortest path. A query then climbs from both ends through ever more important junctions and meets near the top after touching a few hundred nodes instead of the thousands a plain search would settle. The price is an import step of about 27 s and about 200 MiB more on disk per map version, and a routing identity of its own, so switching starts every cache cold as a map change does.</w:t>
      </w:r>
    </w:p>
    <w:p>
      <w:pPr>
        <w:pStyle w:val="Heading3"/>
        <w:keepNext/>
        <w:widowControl/>
      </w:pPr>
      <w:r>
        <w:t>What the attribution showed</w:t>
      </w:r>
    </w:p>
    <w:p>
      <w:pPr>
        <w:widowControl/>
      </w:pPr>
      <w:r>
        <w:t>The combined evidence came from study J0. It ran the load tool against the VM-shaped rehearsal stack and, for the first time, the request log attributed each call's time to its parts. A booking search at five desks took 837 ms p50 at the caller: 424 ms waiting for a slot, 353 ms routing, 12 ms in the engine and 28 ms in the database.</w:t>
      </w:r>
    </w:p>
    <w:p>
      <w:pPr>
        <w:keepNext/>
        <w:widowControl/>
      </w:pPr>
      <w:r>
        <w:drawing>
          <wp:inline xmlns:a="http://schemas.openxmlformats.org/drawingml/2006/main" xmlns:pic="http://schemas.openxmlformats.org/drawingml/2006/picture">
            <wp:extent cx="6263640" cy="3329956"/>
            <wp:docPr id="33" name="Picture 33" descr="Figure 33. Server time of the median booking call, split into slot wait, routing, calculation engine and database, for the VM baseline (J0), the two J runs and the J2 build that shipped (section 12). The confirm has almost no work of its own; its bar is the wait behind searches."/>
            <wp:cNvGraphicFramePr>
              <a:graphicFrameLocks noChangeAspect="1"/>
            </wp:cNvGraphicFramePr>
            <a:graphic>
              <a:graphicData uri="http://schemas.openxmlformats.org/drawingml/2006/picture">
                <pic:pic>
                  <pic:nvPicPr>
                    <pic:cNvPr id="0" name="attribution.png"/>
                    <pic:cNvPicPr/>
                  </pic:nvPicPr>
                  <pic:blipFill>
                    <a:blip r:embed="rId42"/>
                    <a:stretch>
                      <a:fillRect/>
                    </a:stretch>
                  </pic:blipFill>
                  <pic:spPr>
                    <a:xfrm>
                      <a:off x="0" y="0"/>
                      <a:ext cx="6263640" cy="3329956"/>
                    </a:xfrm>
                    <a:prstGeom prst="rect"/>
                  </pic:spPr>
                </pic:pic>
              </a:graphicData>
            </a:graphic>
          </wp:inline>
        </w:drawing>
      </w:r>
    </w:p>
    <w:p>
      <w:pPr>
        <w:pStyle w:val="Caption"/>
        <w:widowControl/>
        <w:spacing w:after="140"/>
      </w:pPr>
      <w:r>
        <w:rPr>
          <w:b w:val="0"/>
          <w:i/>
          <w:color w:val="000000"/>
        </w:rPr>
        <w:t>Figure 33. Server time of the median booking call, split into slot wait, routing, calculation engine and database, for the VM baseline (J0), the two J runs and the J2 build that shipped (section 12). The confirm has almost no work of its own; its bar is the wait behind searches.</w:t>
      </w:r>
    </w:p>
    <w:p>
      <w:pPr>
        <w:widowControl/>
      </w:pPr>
      <w:r>
        <w:t>Each search needed about 511 directed legs and fetched 239 of them cold at about 1.48 ms each, because the service routed a batch's pairs one after another and the scheduler fed it through two worker threads; the routing container ran at 166 percent of a core for the booking replica's 63. By October the booking contention of September had been fixed (section 12), and routing was now the largest part of a search's own time. The engine was not the lever: 12 ms of a 832 ms server time.</w:t>
      </w:r>
    </w:p>
    <w:p>
      <w:pPr>
        <w:pStyle w:val="Heading3"/>
        <w:keepNext/>
        <w:widowControl/>
      </w:pPr>
      <w:r>
        <w:t>The change, and what it bought</w:t>
      </w:r>
    </w:p>
    <w:p>
      <w:pPr>
        <w:widowControl/>
      </w:pPr>
      <w:r>
        <w:t>Study J (#160) changed four things the attribution pointed at. Each map version now carries a CH graph beside the flexible one, prepared with the map, listed in its manifest and required at activation, and the routing service serves it by default. The routing service routes a request's pairs on several threads at once. The scheduler trusts a routing identity it fetched within the last two seconds instead of asking /health before every lookup. And the scheduler fetches leg batches on eight workers with a queue of 64 instead of two and 16.</w:t>
      </w:r>
    </w:p>
    <w:p>
      <w:pPr>
        <w:keepNext/>
        <w:widowControl/>
      </w:pPr>
      <w:r>
        <w:drawing>
          <wp:inline xmlns:a="http://schemas.openxmlformats.org/drawingml/2006/main" xmlns:pic="http://schemas.openxmlformats.org/drawingml/2006/picture">
            <wp:extent cx="6263640" cy="3713444"/>
            <wp:docPr id="34" name="Picture 34" descr="Figure 34. p50 of a 16-pair routing request against the routing service alone with its caches off, flexible against CH, in the first benchmark and on the current map with the new image, which routes a request's pairs in parallel. Log scale."/>
            <wp:cNvGraphicFramePr>
              <a:graphicFrameLocks noChangeAspect="1"/>
            </wp:cNvGraphicFramePr>
            <a:graphic>
              <a:graphicData uri="http://schemas.openxmlformats.org/drawingml/2006/picture">
                <pic:pic>
                  <pic:nvPicPr>
                    <pic:cNvPr id="0" name="ch.png"/>
                    <pic:cNvPicPr/>
                  </pic:nvPicPr>
                  <pic:blipFill>
                    <a:blip r:embed="rId43"/>
                    <a:stretch>
                      <a:fillRect/>
                    </a:stretch>
                  </pic:blipFill>
                  <pic:spPr>
                    <a:xfrm>
                      <a:off x="0" y="0"/>
                      <a:ext cx="6263640" cy="3713444"/>
                    </a:xfrm>
                    <a:prstGeom prst="rect"/>
                  </pic:spPr>
                </pic:pic>
              </a:graphicData>
            </a:graphic>
          </wp:inline>
        </w:drawing>
      </w:r>
    </w:p>
    <w:p>
      <w:pPr>
        <w:pStyle w:val="Caption"/>
        <w:widowControl/>
        <w:spacing w:after="140"/>
      </w:pPr>
      <w:r>
        <w:rPr>
          <w:b w:val="0"/>
          <w:i/>
          <w:color w:val="000000"/>
        </w:rPr>
        <w:t>Figure 34. p50 of a 16-pair routing request against the routing service alone with its caches off, flexible against CH, in the first benchmark and on the current map with the new image, which routes a request's pairs in parallel. Log scale.</w:t>
      </w:r>
    </w:p>
    <w:p>
      <w:pPr>
        <w:widowControl/>
      </w:pPr>
      <w:r>
        <w:t>The routing service alone now answers a 16-pair request in 3.7 ms instead of 29.6 with one caller and 8.1 instead of 118.9 with ten, with exact parity on all 132 pairs. Under load the difference between the two graphs finally showed.</w:t>
      </w:r>
    </w:p>
    <w:p>
      <w:pPr>
        <w:keepNext/>
        <w:widowControl/>
      </w:pPr>
      <w:r>
        <w:drawing>
          <wp:inline xmlns:a="http://schemas.openxmlformats.org/drawingml/2006/main" xmlns:pic="http://schemas.openxmlformats.org/drawingml/2006/picture">
            <wp:extent cx="6263640" cy="3329956"/>
            <wp:docPr id="35" name="Picture 35" descr="Figure 35. Study J at five desks: booking searches answered in 60 s, routing time per fetched leg, and the routing container's mean CPU in cores, for the VM baseline on the flexible graph (J0), the flexible graph with parallel pair routing, and the CH graph."/>
            <wp:cNvGraphicFramePr>
              <a:graphicFrameLocks noChangeAspect="1"/>
            </wp:cNvGraphicFramePr>
            <a:graphic>
              <a:graphicData uri="http://schemas.openxmlformats.org/drawingml/2006/picture">
                <pic:pic>
                  <pic:nvPicPr>
                    <pic:cNvPr id="0" name="j_routing.png"/>
                    <pic:cNvPicPr/>
                  </pic:nvPicPr>
                  <pic:blipFill>
                    <a:blip r:embed="rId44"/>
                    <a:stretch>
                      <a:fillRect/>
                    </a:stretch>
                  </pic:blipFill>
                  <pic:spPr>
                    <a:xfrm>
                      <a:off x="0" y="0"/>
                      <a:ext cx="6263640" cy="3329956"/>
                    </a:xfrm>
                    <a:prstGeom prst="rect"/>
                  </pic:spPr>
                </pic:pic>
              </a:graphicData>
            </a:graphic>
          </wp:inline>
        </w:drawing>
      </w:r>
    </w:p>
    <w:p>
      <w:pPr>
        <w:pStyle w:val="Caption"/>
        <w:widowControl/>
        <w:spacing w:after="140"/>
      </w:pPr>
      <w:r>
        <w:rPr>
          <w:b w:val="0"/>
          <w:i/>
          <w:color w:val="000000"/>
        </w:rPr>
        <w:t>Figure 35. Study J at five desks: booking searches answered in 60 s, routing time per fetched leg, and the routing container's mean CPU in cores, for the VM baseline on the flexible graph (J0), the flexible graph with parallel pair routing, and the CH graph.</w:t>
      </w:r>
    </w:p>
    <w:p>
      <w:pPr>
        <w:widowControl/>
      </w:pPr>
      <w:r>
        <w:t>The CH run answered 3.5 times the baseline's searches at a quarter of the latency, and the engine and database shares did not move, so the whole gain is routing and the slot time routing was holding: a slot held 408 ms per search before and 118 ms after. CH is the lever and parallel flexible search is not: routing a batch's pairs in parallel on the flexible graph halved the routing time but spent 13 cores doing it, while CH answered in a third of that time on 2.6. One lesson for anyone repeating the September benchmark: with the service's own cache on, both engines answer repeated pairs from memory and CH looks slower by its small overhead, so the benchmark launches both instances with the cache limited to one entry.</w:t>
      </w:r>
    </w:p>
    <w:p>
      <w:pPr>
        <w:widowControl/>
      </w:pPr>
      <w:r>
        <w:rPr>
          <w:b/>
        </w:rPr>
        <w:t xml:space="preserve">What this thread handed on. </w:t>
      </w:r>
      <w:r>
        <w:t>Why did the same graph change nothing in September and everything in October? Because the September booking search was bound by contention and its own candidate work, and the October one, after sections 10 and 12, was bound by routing. The order of the work was the finding. With routing fast, what remained was waiting for a slot, which is the admission thread.</w:t>
      </w:r>
    </w:p>
    <w:p>
      <w:pPr>
        <w:pStyle w:val="Heading2"/>
        <w:keepNext/>
        <w:widowControl/>
      </w:pPr>
      <w:r>
        <w:t>12 Admission and concurrency under load</w:t>
      </w:r>
    </w:p>
    <w:p>
      <w:pPr>
        <w:widowControl/>
      </w:pPr>
      <w:r>
        <w:t>The load tool's first measurement (#151) showed that one booking desk met the latency target with room to spare, and five or more did not. The reason was not computation. Across the next eight pull requests each measurement found one thing, one change fixed it, and the next measurement found the next.</w:t>
      </w:r>
    </w:p>
    <w:p>
      <w:pPr>
        <w:pStyle w:val="Heading3"/>
        <w:keepNext/>
        <w:widowControl/>
      </w:pPr>
      <w:r>
        <w:t>Lost holds, and the rule that keeps them (#152)</w:t>
      </w:r>
    </w:p>
    <w:p>
      <w:pPr>
        <w:keepNext/>
        <w:widowControl/>
      </w:pPr>
      <w:r>
        <w:drawing>
          <wp:inline xmlns:a="http://schemas.openxmlformats.org/drawingml/2006/main" xmlns:pic="http://schemas.openxmlformats.org/drawingml/2006/picture">
            <wp:extent cx="6263640" cy="3457785"/>
            <wp:docPr id="36" name="Picture 36" descr="Figure 36. Holds lost and the latency tail by booking desks, in the first load measurement (#151) and after rule 0 (#152, fresh seeds). Left: selected holds lost at confirm. Right: offers p95 at the caller against the 5.5 s bound."/>
            <wp:cNvGraphicFramePr>
              <a:graphicFrameLocks noChangeAspect="1"/>
            </wp:cNvGraphicFramePr>
            <a:graphic>
              <a:graphicData uri="http://schemas.openxmlformats.org/drawingml/2006/picture">
                <pic:pic>
                  <pic:nvPicPr>
                    <pic:cNvPr id="0" name="holds.png"/>
                    <pic:cNvPicPr/>
                  </pic:nvPicPr>
                  <pic:blipFill>
                    <a:blip r:embed="rId45"/>
                    <a:stretch>
                      <a:fillRect/>
                    </a:stretch>
                  </pic:blipFill>
                  <pic:spPr>
                    <a:xfrm>
                      <a:off x="0" y="0"/>
                      <a:ext cx="6263640" cy="3457785"/>
                    </a:xfrm>
                    <a:prstGeom prst="rect"/>
                  </pic:spPr>
                </pic:pic>
              </a:graphicData>
            </a:graphic>
          </wp:inline>
        </w:drawing>
      </w:r>
    </w:p>
    <w:p>
      <w:pPr>
        <w:pStyle w:val="Caption"/>
        <w:widowControl/>
        <w:spacing w:after="140"/>
      </w:pPr>
      <w:r>
        <w:rPr>
          <w:b w:val="0"/>
          <w:i/>
          <w:color w:val="000000"/>
        </w:rPr>
        <w:t>Figure 36. Holds lost and the latency tail by booking desks, in the first load measurement (#151) and after rule 0 (#152, fresh seeds). Left: selected holds lost at confirm. Right: offers p95 at the caller against the 5.5 s bound.</w:t>
      </w:r>
    </w:p>
    <w:p>
      <w:pPr>
        <w:widowControl/>
      </w:pPr>
      <w:r>
        <w:t>At five desks 37% of the holds customers selected were lost at confirm, and at ten 59%. The cause was reproduced deterministically, and it was a race the design had not anticipated.</w:t>
      </w:r>
    </w:p>
    <w:p>
      <w:pPr>
        <w:keepNext/>
        <w:widowControl/>
      </w:pPr>
      <w:r>
        <w:drawing>
          <wp:inline xmlns:a="http://schemas.openxmlformats.org/drawingml/2006/main" xmlns:pic="http://schemas.openxmlformats.org/drawingml/2006/picture">
            <wp:extent cx="6263640" cy="4736079"/>
            <wp:docPr id="37" name="Picture 37" descr="Figure 37. How a late snapshot lost holds. Desk B confirms and the day moves on; desk A's search, built from records read before that, arrives late. Before #152 rule 3 read the old timestamp as a host edit and lost every hold on the date; with rule 0 the scheduler recognizes a timestamp it already moved past and answers 409 STALE, and nothing is lost."/>
            <wp:cNvGraphicFramePr>
              <a:graphicFrameLocks noChangeAspect="1"/>
            </wp:cNvGraphicFramePr>
            <a:graphic>
              <a:graphicData uri="http://schemas.openxmlformats.org/drawingml/2006/picture">
                <pic:pic>
                  <pic:nvPicPr>
                    <pic:cNvPr id="0" name="race.png"/>
                    <pic:cNvPicPr/>
                  </pic:nvPicPr>
                  <pic:blipFill>
                    <a:blip r:embed="rId46"/>
                    <a:stretch>
                      <a:fillRect/>
                    </a:stretch>
                  </pic:blipFill>
                  <pic:spPr>
                    <a:xfrm>
                      <a:off x="0" y="0"/>
                      <a:ext cx="6263640" cy="4736079"/>
                    </a:xfrm>
                    <a:prstGeom prst="rect"/>
                  </pic:spPr>
                </pic:pic>
              </a:graphicData>
            </a:graphic>
          </wp:inline>
        </w:drawing>
      </w:r>
    </w:p>
    <w:p>
      <w:pPr>
        <w:pStyle w:val="Caption"/>
        <w:widowControl/>
        <w:spacing w:after="140"/>
      </w:pPr>
      <w:r>
        <w:rPr>
          <w:b w:val="0"/>
          <w:i/>
          <w:color w:val="000000"/>
        </w:rPr>
        <w:t>Figure 37. How a late snapshot lost holds. Desk B confirms and the day moves on; desk A's search, built from records read before that, arrives late. Before #152 rule 3 read the old timestamp as a host edit and lost every hold on the date; with rule 0 the scheduler recognizes a timestamp it already moved past and answers 409 STALE, and nothing is lost.</w:t>
      </w:r>
    </w:p>
    <w:p>
      <w:pPr>
        <w:widowControl/>
      </w:pPr>
      <w:r>
        <w:t>The scheduler compares a technician-day's lastModified only for equality. A request built from older records, arriving after a newer receipt was already used, looked like a fresh host edit of a route that holds depended on, and rule 3 lost every hold on that date. Any host with several desks produces such late requests. The fix is rule 0: each technician-day remembers the last 32 timestamps the scheduler has moved past and the route from before a confirm receipt the host has not written yet, and a snapshot carrying either is answered 409 STALE before anything is reconciled. Nothing is guessed and nothing is lost; the cost is a resend. The same pull request let concurrent bookings publish: a search had refused to publish unless every day it had read was still at the version it read, so ten desks on five dates kept invalidating each other, and now it checks only the days its offers hold.</w:t>
      </w:r>
    </w:p>
    <w:p>
      <w:pPr>
        <w:widowControl/>
      </w:pPr>
      <w:r>
        <w:t>No hold was lost in any run after the fix, and every desk count was within the 5.5 s bound: offers p95 went from 6.2 s to 2.6 s at five desks and from 12.0 s to 5.0 s at ten. At ten desks on the same five dates 1.7 resends per answered search is a high price, and it is a price of the test's shape: ten desks booking the same fifty technician-days is more contention than one metro sees. From J0 the load tool gives each desk its own dates, and the resends vanish.</w:t>
      </w:r>
    </w:p>
    <w:p>
      <w:pPr>
        <w:pStyle w:val="Heading3"/>
        <w:keepNext/>
        <w:widowControl/>
      </w:pPr>
      <w:r>
        <w:t>The daily side: refuse early, queue fairly, split the pools (#153, #157, #158)</w:t>
      </w:r>
    </w:p>
    <w:p>
      <w:pPr>
        <w:widowControl/>
      </w:pPr>
      <w:r>
        <w:t>A replica ran one daily calculation at a time, and planners behind it queued for their whole allowance and then failed: 25 of 28 proposals at four planners were a 503 after about 9.0 s, and the planner learned nothing it could act on. #153 routes the day before the calculation asks for a slot, under its own 30 s deadline, and refuses at once with 429 and the estimated wait as Retry-After any request that could not start within its reserve: at four planners 15 of 15 were answered.</w:t>
      </w:r>
    </w:p>
    <w:p>
      <w:pPr>
        <w:keepNext/>
        <w:widowControl/>
      </w:pPr>
      <w:r>
        <w:drawing>
          <wp:inline xmlns:a="http://schemas.openxmlformats.org/drawingml/2006/main" xmlns:pic="http://schemas.openxmlformats.org/drawingml/2006/picture">
            <wp:extent cx="6263640" cy="3713444"/>
            <wp:docPr id="38" name="Picture 38" descr="Figure 38. Left: proposals answered (solid) or refused with 503 (hatched) at one and four planners, before and after #153. Middle: proposals each of two clients got in 90 s on one replica, synchronously and queued (#157). Right: proposals in 60 s from one replica doing everything or from booking and daily pools at equal capacity (#158)."/>
            <wp:cNvGraphicFramePr>
              <a:graphicFrameLocks noChangeAspect="1"/>
            </wp:cNvGraphicFramePr>
            <a:graphic>
              <a:graphicData uri="http://schemas.openxmlformats.org/drawingml/2006/picture">
                <pic:pic>
                  <pic:nvPicPr>
                    <pic:cNvPr id="0" name="daily_load.png"/>
                    <pic:cNvPicPr/>
                  </pic:nvPicPr>
                  <pic:blipFill>
                    <a:blip r:embed="rId47"/>
                    <a:stretch>
                      <a:fillRect/>
                    </a:stretch>
                  </pic:blipFill>
                  <pic:spPr>
                    <a:xfrm>
                      <a:off x="0" y="0"/>
                      <a:ext cx="6263640" cy="3713444"/>
                    </a:xfrm>
                    <a:prstGeom prst="rect"/>
                  </pic:spPr>
                </pic:pic>
              </a:graphicData>
            </a:graphic>
          </wp:inline>
        </w:drawing>
      </w:r>
    </w:p>
    <w:p>
      <w:pPr>
        <w:pStyle w:val="Caption"/>
        <w:widowControl/>
        <w:spacing w:after="140"/>
      </w:pPr>
      <w:r>
        <w:rPr>
          <w:b w:val="0"/>
          <w:i/>
          <w:color w:val="000000"/>
        </w:rPr>
        <w:t>Figure 38. Left: proposals answered (solid) or refused with 503 (hatched) at one and four planners, before and after #153. Middle: proposals each of two clients got in 90 s on one replica, synchronously and queued (#157). Right: proposals in 60 s from one replica doing everything or from booking and daily pools at equal capacity (#158).</w:t>
      </w:r>
    </w:p>
    <w:p>
      <w:pPr>
        <w:widowControl/>
      </w:pPr>
      <w:r>
        <w:t>What remained was fairness: retries were a lottery, and on a replica that also books, queued bookings always go first. #157 added the durable queue of section 6 with per-client turns. Measured with two clients on one replica for 90 s, client A with four planners and client B with one: synchronously B got 1 proposal because A's planners took each freed slot first; queued, B got 9, one every 9 to 15 s. The total was the same (21 and 21), because a replica still runs one calculation at a time; the queue shares the work out rather than adding any.</w:t>
      </w:r>
    </w:p>
    <w:p>
      <w:pPr>
        <w:widowControl/>
      </w:pPr>
      <w:r>
        <w:t>#158 split the jar into booking replicas, which take no queued daily work, and daily replicas, which may run several calculations at once, with nginx in front. At equal total search capacity, with five desks and five queued planners for 60 s in the order all, split, split, all, daily throughput went from 13 and 14 proposals to 25 and 25. A queued day waited 7.5 s instead of 20.7 s for its turn, and the booking tail fell (offers p95 1,746 ms to 1,430 ms) because no daily calculation competes for the booking replica's cores. The cost was the confirm: with two booking slots instead of four, a confirm waited behind searches, and its p50 rose from 136 ms to 379 ms.</w:t>
      </w:r>
    </w:p>
    <w:p>
      <w:pPr>
        <w:pStyle w:val="Heading3"/>
        <w:keepNext/>
        <w:widowControl/>
      </w:pPr>
      <w:r>
        <w:t>A confirm that never waits (#162)</w:t>
      </w:r>
    </w:p>
    <w:p>
      <w:pPr>
        <w:widowControl/>
      </w:pPr>
      <w:r>
        <w:t>After the routing work a confirm, which does a few milliseconds of work to complete a booking the customer already chose, still spent 98 ms of its 112 ms on the server waiting for a search slot. J2 changed admission in two steps, and measured the JVM flags the compose file sets with a decision rule set before the runs: a default changes only on a 5 percent latency improvement.</w:t>
      </w:r>
    </w:p>
    <w:p>
      <w:pPr>
        <w:keepNext/>
        <w:widowControl/>
      </w:pPr>
      <w:r>
        <w:drawing>
          <wp:inline xmlns:a="http://schemas.openxmlformats.org/drawingml/2006/main" xmlns:pic="http://schemas.openxmlformats.org/drawingml/2006/picture">
            <wp:extent cx="6263640" cy="3585614"/>
            <wp:docPr id="39" name="Picture 39" descr="Figure 39. Admission on a booking replica before and after J2. Before, a confirm queued behind waiting searches for one of two search slots. After, admission chooses a confirm before any waiting search, and a confirm-only slot beyond the search capacity means it never waits for a running search either."/>
            <wp:cNvGraphicFramePr>
              <a:graphicFrameLocks noChangeAspect="1"/>
            </wp:cNvGraphicFramePr>
            <a:graphic>
              <a:graphicData uri="http://schemas.openxmlformats.org/drawingml/2006/picture">
                <pic:pic>
                  <pic:nvPicPr>
                    <pic:cNvPr id="0" name="slots.png"/>
                    <pic:cNvPicPr/>
                  </pic:nvPicPr>
                  <pic:blipFill>
                    <a:blip r:embed="rId48"/>
                    <a:stretch>
                      <a:fillRect/>
                    </a:stretch>
                  </pic:blipFill>
                  <pic:spPr>
                    <a:xfrm>
                      <a:off x="0" y="0"/>
                      <a:ext cx="6263640" cy="3585614"/>
                    </a:xfrm>
                    <a:prstGeom prst="rect"/>
                  </pic:spPr>
                </pic:pic>
              </a:graphicData>
            </a:graphic>
          </wp:inline>
        </w:drawing>
      </w:r>
    </w:p>
    <w:p>
      <w:pPr>
        <w:pStyle w:val="Caption"/>
        <w:widowControl/>
        <w:spacing w:after="140"/>
      </w:pPr>
      <w:r>
        <w:rPr>
          <w:b w:val="0"/>
          <w:i/>
          <w:color w:val="000000"/>
        </w:rPr>
        <w:t>Figure 39. Admission on a booking replica before and after J2. Before, a confirm queued behind waiting searches for one of two search slots. After, admission chooses a confirm before any waiting search, and a confirm-only slot beyond the search capacity means it never waits for a running search either.</w:t>
      </w:r>
    </w:p>
    <w:p>
      <w:pPr>
        <w:keepNext/>
        <w:widowControl/>
      </w:pPr>
      <w:r>
        <w:drawing>
          <wp:inline xmlns:a="http://schemas.openxmlformats.org/drawingml/2006/main" xmlns:pic="http://schemas.openxmlformats.org/drawingml/2006/picture">
            <wp:extent cx="6263640" cy="3713444"/>
            <wp:docPr id="40" name="Picture 40" descr="Figure 40. Confirm (left) and offers (right) at the caller, p50 and p95, from J's CH run through the four J2 runs. Hollow dots are p50 and filled dots p95; the WAIT line under each confirm row is the median slot wait the server recorded."/>
            <wp:cNvGraphicFramePr>
              <a:graphicFrameLocks noChangeAspect="1"/>
            </wp:cNvGraphicFramePr>
            <a:graphic>
              <a:graphicData uri="http://schemas.openxmlformats.org/drawingml/2006/picture">
                <pic:pic>
                  <pic:nvPicPr>
                    <pic:cNvPr id="0" name="confirm.png"/>
                    <pic:cNvPicPr/>
                  </pic:nvPicPr>
                  <pic:blipFill>
                    <a:blip r:embed="rId49"/>
                    <a:stretch>
                      <a:fillRect/>
                    </a:stretch>
                  </pic:blipFill>
                  <pic:spPr>
                    <a:xfrm>
                      <a:off x="0" y="0"/>
                      <a:ext cx="6263640" cy="3713444"/>
                    </a:xfrm>
                    <a:prstGeom prst="rect"/>
                  </pic:spPr>
                </pic:pic>
              </a:graphicData>
            </a:graphic>
          </wp:inline>
        </w:drawing>
      </w:r>
    </w:p>
    <w:p>
      <w:pPr>
        <w:pStyle w:val="Caption"/>
        <w:widowControl/>
        <w:spacing w:after="140"/>
      </w:pPr>
      <w:r>
        <w:rPr>
          <w:b w:val="0"/>
          <w:i/>
          <w:color w:val="000000"/>
        </w:rPr>
        <w:t>Figure 40. Confirm (left) and offers (right) at the caller, p50 and p95, from J's CH run through the four J2 runs. Hollow dots are p50 and filled dots p95; the WAIT line under each confirm row is the median slot wait the server recorded.</w:t>
      </w:r>
    </w:p>
    <w:p>
      <w:pPr>
        <w:widowControl/>
      </w:pPr>
      <w:r>
        <w:t>A confirm now answers in 20 ms p50 and 35 ms p95 at the caller, from 116 ms and 214 ms. Priority alone took the wait from 98 ms to 71 ms, and the slot took it to 0 ms. Offers were unchanged within run-to-run variation, and the replica served 14% more searches in the minute because the desks spent less of it in confirms. The garbage collector is not a lever: ZGC on the booking replica was within 3 percent on offers and worse on confirm p95 and heap, Parallel GC on the daily replica changed nothing the load tool can see, and compact object headers were within noise; G1 and the JDK defaults stay.</w:t>
      </w:r>
    </w:p>
    <w:p>
      <w:pPr>
        <w:keepNext/>
        <w:widowControl/>
      </w:pPr>
      <w:r>
        <w:drawing>
          <wp:inline xmlns:a="http://schemas.openxmlformats.org/drawingml/2006/main" xmlns:pic="http://schemas.openxmlformats.org/drawingml/2006/picture">
            <wp:extent cx="6263640" cy="3969102"/>
            <wp:docPr id="41" name="Picture 41" descr="Figure 41. Five booking desks at each stage: searches answered per minute (left) and caller latency of offers as p50 (hollow) and p95 (filled) against the 5.5 s bound (right). Left of the dotted line, one machine with the desks alone; right of it, the VM rehearsal stack with five daily planners working beside the desks. The two halves are not one series."/>
            <wp:cNvGraphicFramePr>
              <a:graphicFrameLocks noChangeAspect="1"/>
            </wp:cNvGraphicFramePr>
            <a:graphic>
              <a:graphicData uri="http://schemas.openxmlformats.org/drawingml/2006/picture">
                <pic:pic>
                  <pic:nvPicPr>
                    <pic:cNvPr id="0" name="progression.png"/>
                    <pic:cNvPicPr/>
                  </pic:nvPicPr>
                  <pic:blipFill>
                    <a:blip r:embed="rId50"/>
                    <a:stretch>
                      <a:fillRect/>
                    </a:stretch>
                  </pic:blipFill>
                  <pic:spPr>
                    <a:xfrm>
                      <a:off x="0" y="0"/>
                      <a:ext cx="6263640" cy="3969102"/>
                    </a:xfrm>
                    <a:prstGeom prst="rect"/>
                  </pic:spPr>
                </pic:pic>
              </a:graphicData>
            </a:graphic>
          </wp:inline>
        </w:drawing>
      </w:r>
    </w:p>
    <w:p>
      <w:pPr>
        <w:pStyle w:val="Caption"/>
        <w:widowControl/>
        <w:spacing w:after="140"/>
      </w:pPr>
      <w:r>
        <w:rPr>
          <w:b w:val="0"/>
          <w:i/>
          <w:color w:val="000000"/>
        </w:rPr>
        <w:t>Figure 41. Five booking desks at each stage: searches answered per minute (left) and caller latency of offers as p50 (hollow) and p95 (filled) against the 5.5 s bound (right). Left of the dotted line, one machine with the desks alone; right of it, the VM rehearsal stack with five daily planners working beside the desks. The two halves are not one series.</w:t>
      </w:r>
    </w:p>
    <w:p>
      <w:pPr>
        <w:widowControl/>
      </w:pPr>
      <w:r>
        <w:rPr>
          <w:b/>
        </w:rPr>
        <w:t xml:space="preserve">What this thread handed on. </w:t>
      </w:r>
      <w:r>
        <w:t>With confirms out of the way, the booking replica's remaining wait is searches queuing for the two slots (117 ms p50 of a 221 ms search), which is CPU: more cores, more replicas, or a cheaper search. The cheaper search is inside the engine.</w:t>
      </w:r>
    </w:p>
    <w:p>
      <w:pPr>
        <w:pStyle w:val="Heading2"/>
        <w:keepNext/>
        <w:widowControl/>
      </w:pPr>
      <w:r>
        <w:t>13 Inside the engine</w:t>
      </w:r>
    </w:p>
    <w:p>
      <w:pPr>
        <w:widowControl/>
      </w:pPr>
      <w:r>
        <w:t>One study looked at the calculation itself: where a daily solve spends its time inside the embedded engine, and how to make that time buy more search.</w:t>
      </w:r>
    </w:p>
    <w:p>
      <w:pPr>
        <w:pStyle w:val="Heading3"/>
        <w:keepNext/>
        <w:widowControl/>
      </w:pPr>
      <w:r>
        <w:t>More moves per second in the same budget (study L, #163)</w:t>
      </w:r>
    </w:p>
    <w:p>
      <w:pPr>
        <w:widowControl/>
      </w:pPr>
      <w:r>
        <w:t>A daily proposal's latency is its queue wait plus a fixed search budget, so the daily side cannot be made faster by the load tool's measure; it can only be made better in the same seconds by evaluating more candidate moves. The benchmark harness now starts a JDK Flight Recorder recording just before each solve and stops it just after, so the samples cover the solve alone. The first profile (Tabu + K opt, 20 and 50 technicians, clustered and dispersed, a fixture seed never used for tuning, 10 s per case) collected 3,719 samples.</w:t>
      </w:r>
    </w:p>
    <w:p>
      <w:pPr>
        <w:keepNext/>
        <w:widowControl/>
      </w:pPr>
      <w:r>
        <w:drawing>
          <wp:inline xmlns:a="http://schemas.openxmlformats.org/drawingml/2006/main" xmlns:pic="http://schemas.openxmlformats.org/drawingml/2006/picture">
            <wp:extent cx="6263640" cy="2818638"/>
            <wp:docPr id="42" name="Picture 42" descr="Figure 42. Where a daily solve's profiler samples went, by group, before and after the RoadMatrix treatment. Before, looking legs up, copying arrival maps and BigDecimal arithmetic around the engine's own timing methods held about half the samples; after, BigDecimal and the clock arithmetic of Instant and Duration are the largest named shares."/>
            <wp:cNvGraphicFramePr>
              <a:graphicFrameLocks noChangeAspect="1"/>
            </wp:cNvGraphicFramePr>
            <a:graphic>
              <a:graphicData uri="http://schemas.openxmlformats.org/drawingml/2006/picture">
                <pic:pic>
                  <pic:nvPicPr>
                    <pic:cNvPr id="0" name="profile.png"/>
                    <pic:cNvPicPr/>
                  </pic:nvPicPr>
                  <pic:blipFill>
                    <a:blip r:embed="rId51"/>
                    <a:stretch>
                      <a:fillRect/>
                    </a:stretch>
                  </pic:blipFill>
                  <pic:spPr>
                    <a:xfrm>
                      <a:off x="0" y="0"/>
                      <a:ext cx="6263640" cy="2818638"/>
                    </a:xfrm>
                    <a:prstGeom prst="rect"/>
                  </pic:spPr>
                </pic:pic>
              </a:graphicData>
            </a:graphic>
          </wp:inline>
        </w:drawing>
      </w:r>
    </w:p>
    <w:p>
      <w:pPr>
        <w:pStyle w:val="Caption"/>
        <w:widowControl/>
        <w:spacing w:after="140"/>
      </w:pPr>
      <w:r>
        <w:rPr>
          <w:b w:val="0"/>
          <w:i/>
          <w:color w:val="000000"/>
        </w:rPr>
        <w:t>Figure 42. Where a daily solve's profiler samples went, by group, before and after the RoadMatrix treatment. Before, looking legs up, copying arrival maps and BigDecimal arithmetic around the engine's own timing methods held about half the samples; after, BigDecimal and the clock arithmetic of Instant and Duration are the largest named shares.</w:t>
      </w:r>
    </w:p>
    <w:p>
      <w:pPr>
        <w:widowControl/>
      </w:pPr>
      <w:r>
        <w:t>Of the samples, the engine's own timing methods held 10.6 percent; the rest was what scoring did around them. Every scored route looked its road legs up in an immutable map keyed by a from-to string built for each leg (13.1 percent of samples), built a HashMap of arrivals and a day plan that were then copied into a result (16.8 percent), and computed its buffered travel minutes in BigDecimal per leg (18.1 percent).</w:t>
      </w:r>
    </w:p>
    <w:p>
      <w:pPr>
        <w:keepNext/>
        <w:widowControl/>
      </w:pPr>
      <w:r>
        <w:drawing>
          <wp:inline xmlns:a="http://schemas.openxmlformats.org/drawingml/2006/main" xmlns:pic="http://schemas.openxmlformats.org/drawingml/2006/picture">
            <wp:extent cx="6263640" cy="3585614"/>
            <wp:docPr id="43" name="Picture 43" descr="Figure 43. One road leg lookup before and after RoadMatrix. Before, every scored route built a string key per leg, probed a map, computed minutes in BigDecimal and built an arrival map that was copied. After, endpoints are numbered once per fact revision, legs are read from two tables with the minutes precomputed, and the score-only path builds no arrival map. The scoring exactness test is the gate."/>
            <wp:cNvGraphicFramePr>
              <a:graphicFrameLocks noChangeAspect="1"/>
            </wp:cNvGraphicFramePr>
            <a:graphic>
              <a:graphicData uri="http://schemas.openxmlformats.org/drawingml/2006/picture">
                <pic:pic>
                  <pic:nvPicPr>
                    <pic:cNvPr id="0" name="roadmatrix.png"/>
                    <pic:cNvPicPr/>
                  </pic:nvPicPr>
                  <pic:blipFill>
                    <a:blip r:embed="rId52"/>
                    <a:stretch>
                      <a:fillRect/>
                    </a:stretch>
                  </pic:blipFill>
                  <pic:spPr>
                    <a:xfrm>
                      <a:off x="0" y="0"/>
                      <a:ext cx="6263640" cy="3585614"/>
                    </a:xfrm>
                    <a:prstGeom prst="rect"/>
                  </pic:spPr>
                </pic:pic>
              </a:graphicData>
            </a:graphic>
          </wp:inline>
        </w:drawing>
      </w:r>
    </w:p>
    <w:p>
      <w:pPr>
        <w:pStyle w:val="Caption"/>
        <w:widowControl/>
        <w:spacing w:after="140"/>
      </w:pPr>
      <w:r>
        <w:rPr>
          <w:b w:val="0"/>
          <w:i/>
          <w:color w:val="000000"/>
        </w:rPr>
        <w:t>Figure 43. One road leg lookup before and after RoadMatrix. Before, every scored route built a string key per leg, probed a map, computed minutes in BigDecimal and built an arrival map that was copied. After, endpoints are numbered once per fact revision, legs are read from two tables with the minutes precomputed, and the score-only path builds no arrival map. The scoring exactness test is the gate.</w:t>
      </w:r>
    </w:p>
    <w:p>
      <w:pPr>
        <w:widowControl/>
      </w:pPr>
      <w:r>
        <w:t>The treatment keeps every number the same and removes the work around it. RoadMatrix gives each endpoint identity a number and holds the legs in two tables with their buffered minutes computed once per fact revision, built lazily on the first scoring lookup, so a plan evaluated once outside the solver (a booking candidate) pays nothing new. The timing search evaluates a route against the plan facts directly and, on the score-only path, builds no arrival map. A scoring exactness test captured a step-limited, fixed-seed solve on three fixtures before the change and asserts the same score, move count, arrangement and independent evaluation after it. Then the engine built from the commit before the change was paired against the treated one on 24 cases, one after the other on an idle workstation.</w:t>
      </w:r>
    </w:p>
    <w:p>
      <w:pPr>
        <w:keepNext/>
        <w:widowControl/>
      </w:pPr>
      <w:r>
        <w:drawing>
          <wp:inline xmlns:a="http://schemas.openxmlformats.org/drawingml/2006/main" xmlns:pic="http://schemas.openxmlformats.org/drawingml/2006/picture">
            <wp:extent cx="6263640" cy="3841273"/>
            <wp:docPr id="44" name="Picture 44" descr="Figure 44. Each paired case's cost-phase moves per second before (x) and after (y) the RoadMatrix treatment, in study L; the dotted line is no change and the dashed line is twice the rate."/>
            <wp:cNvGraphicFramePr>
              <a:graphicFrameLocks noChangeAspect="1"/>
            </wp:cNvGraphicFramePr>
            <a:graphic>
              <a:graphicData uri="http://schemas.openxmlformats.org/drawingml/2006/picture">
                <pic:pic>
                  <pic:nvPicPr>
                    <pic:cNvPr id="0" name="engine.png"/>
                    <pic:cNvPicPr/>
                  </pic:nvPicPr>
                  <pic:blipFill>
                    <a:blip r:embed="rId53"/>
                    <a:stretch>
                      <a:fillRect/>
                    </a:stretch>
                  </pic:blipFill>
                  <pic:spPr>
                    <a:xfrm>
                      <a:off x="0" y="0"/>
                      <a:ext cx="6263640" cy="3841273"/>
                    </a:xfrm>
                    <a:prstGeom prst="rect"/>
                  </pic:spPr>
                </pic:pic>
              </a:graphicData>
            </a:graphic>
          </wp:inline>
        </w:drawing>
      </w:r>
    </w:p>
    <w:p>
      <w:pPr>
        <w:pStyle w:val="Caption"/>
        <w:widowControl/>
        <w:spacing w:after="140"/>
      </w:pPr>
      <w:r>
        <w:rPr>
          <w:b w:val="0"/>
          <w:i/>
          <w:color w:val="000000"/>
        </w:rPr>
        <w:t>Figure 44. Each paired case's cost-phase moves per second before (x) and after (y) the RoadMatrix treatment, in study L; the dotted line is no change and the dashed line is twice the rate.</w:t>
      </w:r>
    </w:p>
    <w:p>
      <w:pPr>
        <w:keepNext/>
        <w:widowControl/>
      </w:pPr>
      <w:r>
        <w:drawing>
          <wp:inline xmlns:a="http://schemas.openxmlformats.org/drawingml/2006/main" xmlns:pic="http://schemas.openxmlformats.org/drawingml/2006/picture">
            <wp:extent cx="6263640" cy="2946467"/>
            <wp:docPr id="45" name="Picture 45" descr="Figure 45. Moves per second by fleet: the median cost-phase rate before and after the treatment with its speedup, the fairness phase's median speedup, and each paired case marked cheaper, tied or dearer at the same budget."/>
            <wp:cNvGraphicFramePr>
              <a:graphicFrameLocks noChangeAspect="1"/>
            </wp:cNvGraphicFramePr>
            <a:graphic>
              <a:graphicData uri="http://schemas.openxmlformats.org/drawingml/2006/picture">
                <pic:pic>
                  <pic:nvPicPr>
                    <pic:cNvPr id="0" name="paired_fleets.png"/>
                    <pic:cNvPicPr/>
                  </pic:nvPicPr>
                  <pic:blipFill>
                    <a:blip r:embed="rId54"/>
                    <a:stretch>
                      <a:fillRect/>
                    </a:stretch>
                  </pic:blipFill>
                  <pic:spPr>
                    <a:xfrm>
                      <a:off x="0" y="0"/>
                      <a:ext cx="6263640" cy="2946467"/>
                    </a:xfrm>
                    <a:prstGeom prst="rect"/>
                  </pic:spPr>
                </pic:pic>
              </a:graphicData>
            </a:graphic>
          </wp:inline>
        </w:drawing>
      </w:r>
    </w:p>
    <w:p>
      <w:pPr>
        <w:pStyle w:val="Caption"/>
        <w:widowControl/>
        <w:spacing w:after="140"/>
      </w:pPr>
      <w:r>
        <w:rPr>
          <w:b w:val="0"/>
          <w:i/>
          <w:color w:val="000000"/>
        </w:rPr>
        <w:t>Figure 45. Moves per second by fleet: the median cost-phase rate before and after the treatment with its speedup, the fairness phase's median speedup, and each paired case marked cheaper, tied or dearer at the same budget.</w:t>
      </w:r>
    </w:p>
    <w:p>
      <w:pPr>
        <w:widowControl/>
      </w:pPr>
      <w:r>
        <w:t>The cost phase evaluates 1.79 times the moves per second (median; 1.42 to 2.26 across the 24 cases), more on 50 technicians (2.00 times) than on 20 (1.54), because each scored route there had more legs to look up. The fairness phase gains 1.30 times, less, because its time goes to the fairness term and the BigDecimal score, which the treatment leaves alone. Because a solve now evaluates more moves in the same seconds, 21 of 24 cases ended cheaper at the same budget, 2 tied and 1 was dearer by 50 cents, with no constraint violation on either side. This is not a search-policy change: the acceptor, moves and tabu size are what section 9 chose, so the promotion review that belongs to policy changes was not run for it.</w:t>
      </w:r>
    </w:p>
    <w:p>
      <w:pPr>
        <w:widowControl/>
      </w:pPr>
      <w:r>
        <w:rPr>
          <w:b/>
        </w:rPr>
        <w:t xml:space="preserve">What this thread handed on. </w:t>
      </w:r>
      <w:r>
        <w:t>After the treatment the profile's largest named shares are BigDecimal (22.5 percent) and the clock arithmetic of Instant and Duration (16.2 percent). They are the next performance step, and the first one Part V names after measuring on the VM.</w:t>
      </w:r>
    </w:p>
    <w:p>
      <w:pPr>
        <w:pStyle w:val="Heading1"/>
        <w:keepNext/>
        <w:pageBreakBefore/>
        <w:widowControl/>
      </w:pPr>
      <w:r>
        <w:t>Part IV  Where it stands</w:t>
      </w:r>
    </w:p>
    <w:p>
      <w:pPr>
        <w:pStyle w:val="Heading2"/>
        <w:keepNext/>
        <w:widowControl/>
      </w:pPr>
      <w:r>
        <w:t>14 The system today</w:t>
      </w:r>
    </w:p>
    <w:p>
      <w:pPr>
        <w:widowControl/>
      </w:pPr>
      <w:r>
        <w:t>The five threads end in one system. The figure below is the topology of Part I with each piece annotated by the choice its thread settled and the number behind it.</w:t>
      </w:r>
    </w:p>
    <w:p>
      <w:pPr>
        <w:keepNext/>
        <w:widowControl/>
      </w:pPr>
      <w:r>
        <w:drawing>
          <wp:inline xmlns:a="http://schemas.openxmlformats.org/drawingml/2006/main" xmlns:pic="http://schemas.openxmlformats.org/drawingml/2006/picture">
            <wp:extent cx="6263640" cy="4480420"/>
            <wp:docPr id="46" name="Picture 46" descr="Figure 46. The scheduler today, with the choice each thread settled. The booking pool runs bounded two-pass search that sheds its optional pass under load, a confirm slot with priority, and the embedded engine with RoadMatrix; the daily pool runs each client's daily search (Tabu + K opt by default) from a fair durable queue; both share the CH routing graph and the thin store with rule 0."/>
            <wp:cNvGraphicFramePr>
              <a:graphicFrameLocks noChangeAspect="1"/>
            </wp:cNvGraphicFramePr>
            <a:graphic>
              <a:graphicData uri="http://schemas.openxmlformats.org/drawingml/2006/picture">
                <pic:pic>
                  <pic:nvPicPr>
                    <pic:cNvPr id="0" name="today.png"/>
                    <pic:cNvPicPr/>
                  </pic:nvPicPr>
                  <pic:blipFill>
                    <a:blip r:embed="rId55"/>
                    <a:stretch>
                      <a:fillRect/>
                    </a:stretch>
                  </pic:blipFill>
                  <pic:spPr>
                    <a:xfrm>
                      <a:off x="0" y="0"/>
                      <a:ext cx="6263640" cy="4480420"/>
                    </a:xfrm>
                    <a:prstGeom prst="rect"/>
                  </pic:spPr>
                </pic:pic>
              </a:graphicData>
            </a:graphic>
          </wp:inline>
        </w:drawing>
      </w:r>
    </w:p>
    <w:p>
      <w:pPr>
        <w:pStyle w:val="Caption"/>
        <w:widowControl/>
        <w:spacing w:after="140"/>
      </w:pPr>
      <w:r>
        <w:rPr>
          <w:b w:val="0"/>
          <w:i/>
          <w:color w:val="000000"/>
        </w:rPr>
        <w:t>Figure 46. The scheduler today, with the choice each thread settled. The booking pool runs bounded two-pass search that sheds its optional pass under load, a confirm slot with priority, and the embedded engine with RoadMatrix; the daily pool runs each client's daily search (Tabu + K opt by default) from a fair durable queue; both share the CH routing graph and the thin store with rule 0.</w:t>
      </w:r>
    </w:p>
    <w:p>
      <w:pPr>
        <w:widowControl/>
      </w:pPr>
      <w:r>
        <w:t>Read from the top, the figure is the trail in reverse. A host's call reaches one address. A booking search runs the method September chose, inside the client's deadline, giving up its optional pass when others wait (127 to 263 searches per minute at five desks). Its legs come from a contraction hierarchy that finally mattered once contention was gone (289 to 1,020 searches in 60 s). Its confirm never waits (116 ms to 20 ms p50). Its holds survive late snapshots (14 lost at five desks to none). A daily proposal runs the search the fixture studies chose ($7.55 per case over Tabu), from a queue that takes turns by client, in an engine that evaluates 1.79 times the moves in the same seconds.</w:t>
      </w:r>
    </w:p>
    <w:p>
      <w:pPr>
        <w:widowControl/>
      </w:pPr>
      <w:r>
        <w:t>The method behind every one of those numbers was the same: measure where the time or the money actually goes before changing anything, change one thing, and keep it only when a paired measurement on fresh inputs says so. The September CH graph and the October CH graph were the same graph; what changed between them was the evidence.</w:t>
      </w:r>
    </w:p>
    <w:p>
      <w:pPr>
        <w:widowControl/>
      </w:pPr>
      <w:r>
        <w:rPr>
          <w:b/>
        </w:rPr>
        <w:t xml:space="preserve">What this thread handed on. </w:t>
      </w:r>
      <w:r>
        <w:t>Two gaps remain in that evidence: every load number is from a rehearsal stack, not the VM, and every solver number is from synthetic days. Part V starts from both.</w:t>
      </w:r>
    </w:p>
    <w:p>
      <w:pPr>
        <w:pStyle w:val="Heading1"/>
        <w:keepNext/>
        <w:pageBreakBefore/>
        <w:widowControl/>
      </w:pPr>
      <w:r>
        <w:t>Part V  What comes next</w:t>
      </w:r>
    </w:p>
    <w:p>
      <w:pPr>
        <w:pStyle w:val="Heading2"/>
        <w:keepNext/>
        <w:widowControl/>
      </w:pPr>
      <w:r>
        <w:t>15 Performance</w:t>
      </w:r>
    </w:p>
    <w:p>
      <w:pPr>
        <w:widowControl/>
      </w:pPr>
      <w:r>
        <w:t>After J2 the median booking search spends 117 ms waiting for a slot, 56 ms routing, 19 ms in the database and 12 ms in the engine, and a confirm no longer waits at all. The daily search does 1.8 times the work in its budget. The evidence supports the following steps, in this order.</w:t>
      </w:r>
    </w:p>
    <w:p>
      <w:pPr>
        <w:keepNext/>
        <w:widowControl/>
      </w:pPr>
      <w:r>
        <w:drawing>
          <wp:inline xmlns:a="http://schemas.openxmlformats.org/drawingml/2006/main" xmlns:pic="http://schemas.openxmlformats.org/drawingml/2006/picture">
            <wp:extent cx="6263640" cy="3457785"/>
            <wp:docPr id="47" name="Picture 47" descr="Figure 47. Performance next steps in dependency order. Measuring on the real VM comes first, because every load number so far is from a rehearsal stack. Booking cores and the primitive-time work follow; multithreaded solving follows the primitive-time work through the same gate."/>
            <wp:cNvGraphicFramePr>
              <a:graphicFrameLocks noChangeAspect="1"/>
            </wp:cNvGraphicFramePr>
            <a:graphic>
              <a:graphicData uri="http://schemas.openxmlformats.org/drawingml/2006/picture">
                <pic:pic>
                  <pic:nvPicPr>
                    <pic:cNvPr id="0" name="roadmap_perf.png"/>
                    <pic:cNvPicPr/>
                  </pic:nvPicPr>
                  <pic:blipFill>
                    <a:blip r:embed="rId56"/>
                    <a:stretch>
                      <a:fillRect/>
                    </a:stretch>
                  </pic:blipFill>
                  <pic:spPr>
                    <a:xfrm>
                      <a:off x="0" y="0"/>
                      <a:ext cx="6263640" cy="3457785"/>
                    </a:xfrm>
                    <a:prstGeom prst="rect"/>
                  </pic:spPr>
                </pic:pic>
              </a:graphicData>
            </a:graphic>
          </wp:inline>
        </w:drawing>
      </w:r>
    </w:p>
    <w:p>
      <w:pPr>
        <w:pStyle w:val="Caption"/>
        <w:widowControl/>
        <w:spacing w:after="140"/>
      </w:pPr>
      <w:r>
        <w:rPr>
          <w:b w:val="0"/>
          <w:i/>
          <w:color w:val="000000"/>
        </w:rPr>
        <w:t>Figure 47. Performance next steps in dependency order. Measuring on the real VM comes first, because every load number so far is from a rehearsal stack. Booking cores and the primitive-time work follow; multithreaded solving follows the primitive-time work through the same gate.</w:t>
      </w:r>
    </w:p>
    <w:p>
      <w:pPr>
        <w:widowControl/>
      </w:pPr>
      <w:r>
        <w:rPr>
          <w:b/>
        </w:rPr>
        <w:t xml:space="preserve">Measure on the VM. </w:t>
      </w:r>
      <w:r>
        <w:t>Repeat J0 and J2 across the network on the real VM, with the load generator on the host's side. Every number in sections 11 to 13 is from a rehearsal stack whose CPU limits are a shape, not the VM's share, and the latency target is defined at the WaterFlex caller across the network, which has not been measured yet. This decides whether the target holds where it is defined.</w:t>
      </w:r>
    </w:p>
    <w:p>
      <w:pPr>
        <w:widowControl/>
      </w:pPr>
      <w:r>
        <w:rPr>
          <w:b/>
        </w:rPr>
        <w:t xml:space="preserve">Booking cores. </w:t>
      </w:r>
      <w:r>
        <w:t>The slot wait is half of a search (117 ms of 221 ms). Measure five and ten desks at 2, 3 and 4 booking cores, and with a second booking replica. This sizes the booking pool on the VM.</w:t>
      </w:r>
    </w:p>
    <w:p>
      <w:pPr>
        <w:widowControl/>
      </w:pPr>
      <w:r>
        <w:rPr>
          <w:b/>
        </w:rPr>
        <w:t xml:space="preserve">Primitive time in the timing search. </w:t>
      </w:r>
      <w:r>
        <w:t>BigDecimal and Instant and Duration are now the largest shares of a solve. Replace them with integer seconds in the route timing search, gated by the scoring exactness test, then repeat the 24-case paired study. This decides whether a 5 s search can do still more, and like RoadMatrix it changes no number the engine computes.</w:t>
      </w:r>
    </w:p>
    <w:p>
      <w:pPr>
        <w:widowControl/>
      </w:pPr>
      <w:r>
        <w:rPr>
          <w:b/>
        </w:rPr>
        <w:t xml:space="preserve">Multithreaded solving. </w:t>
      </w:r>
      <w:r>
        <w:t>Planned work with a gate. The daily search runs single threaded today: parallelism comes from several solves at once on each daily replica, independent solves per core in the benchmarks, and parallel pair routing. Timefold can spread one solve's move evaluation over several threads (moveThreadCount); the production configuration sets none today and the campaign configuration refuses any value but NONE, so the first step is to make it a measured option.</w:t>
      </w:r>
    </w:p>
    <w:p>
      <w:pPr>
        <w:keepNext/>
        <w:widowControl/>
      </w:pPr>
      <w:r>
        <w:drawing>
          <wp:inline xmlns:a="http://schemas.openxmlformats.org/drawingml/2006/main" xmlns:pic="http://schemas.openxmlformats.org/drawingml/2006/picture">
            <wp:extent cx="6263640" cy="3841273"/>
            <wp:docPr id="48" name="Picture 48" descr="Figure 48. Multithreaded solving spends the same cores differently. Illustrated on a four-core daily replica: today four days solve at once on one core each; with two move threads per solve, two days solve at once, each evaluating more moves in its seconds. The gate below decides whether that trade is worth it for any client."/>
            <wp:cNvGraphicFramePr>
              <a:graphicFrameLocks noChangeAspect="1"/>
            </wp:cNvGraphicFramePr>
            <a:graphic>
              <a:graphicData uri="http://schemas.openxmlformats.org/drawingml/2006/picture">
                <pic:pic>
                  <pic:nvPicPr>
                    <pic:cNvPr id="0" name="cores.png"/>
                    <pic:cNvPicPr/>
                  </pic:nvPicPr>
                  <pic:blipFill>
                    <a:blip r:embed="rId57"/>
                    <a:stretch>
                      <a:fillRect/>
                    </a:stretch>
                  </pic:blipFill>
                  <pic:spPr>
                    <a:xfrm>
                      <a:off x="0" y="0"/>
                      <a:ext cx="6263640" cy="3841273"/>
                    </a:xfrm>
                    <a:prstGeom prst="rect"/>
                  </pic:spPr>
                </pic:pic>
              </a:graphicData>
            </a:graphic>
          </wp:inline>
        </w:drawing>
      </w:r>
    </w:p>
    <w:p>
      <w:pPr>
        <w:pStyle w:val="Caption"/>
        <w:widowControl/>
        <w:spacing w:after="140"/>
      </w:pPr>
      <w:r>
        <w:rPr>
          <w:b w:val="0"/>
          <w:i/>
          <w:color w:val="000000"/>
        </w:rPr>
        <w:t>Figure 48. Multithreaded solving spends the same cores differently. Illustrated on a four-core daily replica: today four days solve at once on one core each; with two move threads per solve, two days solve at once, each evaluating more moves in its seconds. The gate below decides whether that trade is worth it for any client.</w:t>
      </w:r>
    </w:p>
    <w:p>
      <w:pPr>
        <w:widowControl/>
      </w:pPr>
      <w:r>
        <w:t>The gate has three parts, the same discipline as every thread in Part III. The paired study on fresh fixtures compares one thread against two on the same days, budgets and seeds, and shows whether more moves per solve buys a cheaper schedule. The scoring exactness test shows that every score stays the same. And the replica's core budget decides the cost: a solve that uses two cores halves the calculations a replica can run at once, so the fair queue must not lengthen past what clients accept. Multithreaded solving goes to a client only when all three say so, and only as a per-pool setting the measurements justify.</w:t>
      </w:r>
    </w:p>
    <w:p>
      <w:pPr>
        <w:pStyle w:val="Heading2"/>
        <w:keepNext/>
        <w:widowControl/>
      </w:pPr>
      <w:r>
        <w:t>16 Solver quality, booking quality and features</w:t>
      </w:r>
    </w:p>
    <w:p>
      <w:pPr>
        <w:widowControl/>
      </w:pPr>
      <w:r>
        <w:t>The daily search studies ended with a candidate that beats the current default on every new fixture from 10 technicians up, and with questions the fixtures cannot answer. The booking search has not had a quality study since the API replaced the internal endpoints. And the integration itself has steps left on the WaterFlex Software side.</w:t>
      </w:r>
    </w:p>
    <w:p>
      <w:pPr>
        <w:keepNext/>
        <w:widowControl/>
      </w:pPr>
      <w:r>
        <w:drawing>
          <wp:inline xmlns:a="http://schemas.openxmlformats.org/drawingml/2006/main" xmlns:pic="http://schemas.openxmlformats.org/drawingml/2006/picture">
            <wp:extent cx="6263640" cy="4480420"/>
            <wp:docPr id="49" name="Picture 49" descr="Figure 49. Next steps in three lanes. The daily search: offer Tabu + K opt size 3 as a third client choice, replay real days, measure balance with the fairness search on, then decide a default. Booking: a quality study against /api/v1 on recorded days. Integration: host snapshots and receipts with the conformance kit and the integration guide, side-by-side migration and cutover, then TLS before production traffic. Below, the design document's two open questions."/>
            <wp:cNvGraphicFramePr>
              <a:graphicFrameLocks noChangeAspect="1"/>
            </wp:cNvGraphicFramePr>
            <a:graphic>
              <a:graphicData uri="http://schemas.openxmlformats.org/drawingml/2006/picture">
                <pic:pic>
                  <pic:nvPicPr>
                    <pic:cNvPr id="0" name="roadmap_quality.png"/>
                    <pic:cNvPicPr/>
                  </pic:nvPicPr>
                  <pic:blipFill>
                    <a:blip r:embed="rId58"/>
                    <a:stretch>
                      <a:fillRect/>
                    </a:stretch>
                  </pic:blipFill>
                  <pic:spPr>
                    <a:xfrm>
                      <a:off x="0" y="0"/>
                      <a:ext cx="6263640" cy="4480420"/>
                    </a:xfrm>
                    <a:prstGeom prst="rect"/>
                  </pic:spPr>
                </pic:pic>
              </a:graphicData>
            </a:graphic>
          </wp:inline>
        </w:drawing>
      </w:r>
    </w:p>
    <w:p>
      <w:pPr>
        <w:pStyle w:val="Caption"/>
        <w:widowControl/>
        <w:spacing w:after="140"/>
      </w:pPr>
      <w:r>
        <w:rPr>
          <w:b w:val="0"/>
          <w:i/>
          <w:color w:val="000000"/>
        </w:rPr>
        <w:t>Figure 49. Next steps in three lanes. The daily search: offer Tabu + K opt size 3 as a third client choice, replay real days, measure balance with the fairness search on, then decide a default. Booking: a quality study against /api/v1 on recorded days. Integration: host snapshots and receipts with the conformance kit and the integration guide, side-by-side migration and cutover, then TLS before production traffic. Below, the design document's two open questions.</w:t>
      </w:r>
    </w:p>
    <w:p>
      <w:pPr>
        <w:pStyle w:val="Heading3"/>
        <w:keepNext/>
        <w:widowControl/>
      </w:pPr>
      <w:r>
        <w:t>The daily search</w:t>
      </w:r>
    </w:p>
    <w:p>
      <w:pPr>
        <w:widowControl/>
      </w:pPr>
      <w:r>
        <w:rPr>
          <w:b/>
        </w:rPr>
        <w:t xml:space="preserve">A third choice. </w:t>
      </w:r>
      <w:r>
        <w:t>Add Tabu + K opt size 3 as a daily search choice beside TABU_KOPT and TABU. It exists today as an experiment configuration only. On 40 unseen fixtures it saved $3.28 per case more than Tabu + K opt, led from 10 technicians up, trailed slightly at 5, and won 16 of 16 when run alone. Making it a choice costs nothing and lets a client opt in; making it a default needs the next two steps.</w:t>
      </w:r>
    </w:p>
    <w:p>
      <w:pPr>
        <w:widowControl/>
      </w:pPr>
      <w:r>
        <w:rPr>
          <w:b/>
        </w:rPr>
        <w:t xml:space="preserve">Real days. </w:t>
      </w:r>
      <w:r>
        <w:t>Every fixture is synthetic, with a synthetic travel matrix, and the one study on real Omaha roads was a booking study. Replay recorded days with measured road travel through both Tabu + K opt variants; the daily proposal endpoint accepts a recorded snapshot as it is, so no new code is needed to run it.</w:t>
      </w:r>
    </w:p>
    <w:p>
      <w:pPr>
        <w:widowControl/>
      </w:pPr>
      <w:r>
        <w:rPr>
          <w:b/>
        </w:rPr>
        <w:t xml:space="preserve">Balance with the fairness search on. </w:t>
      </w:r>
      <w:r>
        <w:t>Cheaper methods are less even without a fairness search (0.0604 against Tabu's 0.0521 in the follow-up), and with one most of the gap closes. Measure Tabu + K opt size 3 with the fairness search on before adoption, and decide whether a client's fairness budget should carry an explicit acceptable variance.</w:t>
      </w:r>
    </w:p>
    <w:p>
      <w:pPr>
        <w:widowControl/>
      </w:pPr>
      <w:r>
        <w:rPr>
          <w:b/>
        </w:rPr>
        <w:t xml:space="preserve">What not to do. </w:t>
      </w:r>
      <w:r>
        <w:t>Keep the 240 s client limit: K opt passes Tabu + K opt at 50 technicians only from about 480 s, so longer searches matter only for overnight runs, where the queue of section 6 already makes a long search harmless to other clients. And add no fleet-size selector: the first study's hindsight rule held up on new fixtures, and one method per client matches it.</w:t>
      </w:r>
    </w:p>
    <w:p>
      <w:pPr>
        <w:pStyle w:val="Heading3"/>
        <w:keepNext/>
        <w:widowControl/>
      </w:pPr>
      <w:r>
        <w:t>The booking search</w:t>
      </w:r>
    </w:p>
    <w:p>
      <w:pPr>
        <w:widowControl/>
      </w:pPr>
      <w:r>
        <w:rPr>
          <w:b/>
        </w:rPr>
        <w:t xml:space="preserve">A booking quality study. </w:t>
      </w:r>
      <w:r>
        <w:t>The booking benchmarks of September measured the retired internal endpoints, and the load tool measures speed, not offer quality. Run a booking quality study against /api/v1 on recorded days, with the served-customer denominator the September studies insisted on, so that the two-pass search, shedding and the refinement fallback are known to have kept the quality September measured.</w:t>
      </w:r>
    </w:p>
    <w:p>
      <w:pPr>
        <w:pStyle w:val="Heading3"/>
        <w:keepNext/>
        <w:widowControl/>
      </w:pPr>
      <w:r>
        <w:t>The integration</w:t>
      </w:r>
    </w:p>
    <w:p>
      <w:pPr>
        <w:widowControl/>
      </w:pPr>
      <w:r>
        <w:rPr>
          <w:b/>
        </w:rPr>
        <w:t xml:space="preserve">The host's side. </w:t>
      </w:r>
      <w:r>
        <w:t>WaterFlex Software builds snapshots from its own records, including a lastModified per technician-day that follows the rules of section 4; writes receipts with a compare-and-set on those timestamps; treats STALE and HOLD_UNAVAILABLE as ask again; holds one tenant token per client; and runs its own overnight schedule against the daily proposal endpoint. The host conformance kit (#149) proves each of those behaviours against a running scheduler, and the integration guide (#150) is the contract in prose.</w:t>
      </w:r>
    </w:p>
    <w:p>
      <w:pPr>
        <w:widowControl/>
      </w:pPr>
      <w:r>
        <w:rPr>
          <w:b/>
        </w:rPr>
        <w:t xml:space="preserve">Side by side, then cutover. </w:t>
      </w:r>
      <w:r>
        <w:t>The side-by-side migration and cutover (S7) is the remaining step on the WaterFlex Software side: run the host's integration beside the current path until both agree, then switch.</w:t>
      </w:r>
    </w:p>
    <w:p>
      <w:pPr>
        <w:widowControl/>
      </w:pPr>
      <w:r>
        <w:rPr>
          <w:b/>
        </w:rPr>
        <w:t xml:space="preserve">TLS. </w:t>
      </w:r>
      <w:r>
        <w:t>TLS is not yet set up between WaterFlex Software and the scheduler, nor from the scheduler to routing and Nominatim; it has been deferred. It is a precondition of production traffic, and the operations runbook lists what must be encrypted.</w:t>
      </w:r>
    </w:p>
    <w:p>
      <w:pPr>
        <w:pStyle w:val="Heading3"/>
        <w:keepNext/>
        <w:widowControl/>
      </w:pPr>
      <w:r>
        <w:t>Two open questions</w:t>
      </w:r>
    </w:p>
    <w:p>
      <w:pPr>
        <w:widowControl/>
      </w:pPr>
      <w:r>
        <w:t>The design document ends with two questions only WaterFlex can answer. Does WaterFlex Software's Google Maps Platform agreement allow passing Google-geocoded coordinates to the scheduler and caching them for up to 30 days? The route cache keeps coordinates at about 1 m for up to 30 days, so the answer decides whether host coordinates from Google can be used as they are. And does any client require a dedicated database? Every row already carries tenant_id, so that client's rows could move to a database of its own without an API change; the question is whether any contract requires it.</w:t>
      </w:r>
    </w:p>
    <w:p>
      <w:pPr>
        <w:widowControl/>
      </w:pPr>
      <w:r>
        <w:t>The thread that runs through both of these sections is the one that ran through the whole month. Each next step names the evidence that would justify it before anyone builds it, and each will be kept only when a paired measurement on fresh inputs says so.</w:t>
      </w:r>
    </w:p>
    <w:p>
      <w:pPr>
        <w:pStyle w:val="Heading1"/>
        <w:keepNext/>
        <w:pageBreakBefore/>
        <w:widowControl/>
      </w:pPr>
      <w:r>
        <w:t>Appendix A  Studies and evidence</w:t>
      </w:r>
    </w:p>
    <w:tbl>
      <w:tblPr>
        <w:tblW w:type="auto" w:w="0"/>
        <w:jc w:val="center"/>
        <w:tblLayout w:type="fixed"/>
        <w:tblLook w:firstColumn="1" w:firstRow="1" w:lastColumn="0" w:lastRow="0" w:noHBand="0" w:noVBand="1" w:val="04A0"/>
        <w:tblBorders>
          <w:top w:val="single" w:sz="4" w:color="D9D9D9"/>
          <w:left w:val="single" w:sz="4" w:color="D9D9D9"/>
          <w:bottom w:val="single" w:sz="4" w:color="D9D9D9"/>
          <w:right w:val="single" w:sz="4" w:color="D9D9D9"/>
          <w:insideH w:val="single" w:sz="4" w:color="D9D9D9"/>
          <w:insideV w:val="single" w:sz="4" w:color="D9D9D9"/>
        </w:tblBorders>
      </w:tblPr>
      <w:tblGrid>
        <w:gridCol w:w="1152"/>
        <w:gridCol w:w="2304"/>
        <w:gridCol w:w="3888"/>
        <w:gridCol w:w="2592"/>
      </w:tblGrid>
      <w:tr>
        <w:trPr>
          <w:cantSplit/>
          <w:tblHeader/>
        </w:trPr>
        <w:tc>
          <w:tcPr>
            <w:tcW w:type="dxa" w:w="1152"/>
            <w:vAlign w:val="center"/>
            <w:shd w:fill="DCE6EF"/>
            <w:tcMar>
              <w:top w:w="65" w:type="dxa"/>
              <w:left w:w="65" w:type="dxa"/>
              <w:bottom w:w="65" w:type="dxa"/>
              <w:right w:w="65" w:type="dxa"/>
            </w:tcMar>
          </w:tcPr>
          <w:p>
            <w:pPr>
              <w:spacing w:after="40" w:before="40" w:line="240" w:lineRule="auto"/>
            </w:pPr>
            <w:r>
              <w:rPr>
                <w:rFonts w:ascii="Calibri" w:hAnsi="Calibri"/>
                <w:b/>
                <w:sz w:val="18"/>
              </w:rPr>
              <w:t>Date</w:t>
            </w:r>
          </w:p>
        </w:tc>
        <w:tc>
          <w:tcPr>
            <w:tcW w:type="dxa" w:w="2304"/>
            <w:vAlign w:val="center"/>
            <w:shd w:fill="DCE6EF"/>
            <w:tcMar>
              <w:top w:w="65" w:type="dxa"/>
              <w:left w:w="65" w:type="dxa"/>
              <w:bottom w:w="65" w:type="dxa"/>
              <w:right w:w="65" w:type="dxa"/>
            </w:tcMar>
          </w:tcPr>
          <w:p>
            <w:pPr>
              <w:spacing w:after="40" w:before="40" w:line="240" w:lineRule="auto"/>
              <w:jc w:val="center"/>
            </w:pPr>
            <w:r>
              <w:rPr>
                <w:rFonts w:ascii="Calibri" w:hAnsi="Calibri"/>
                <w:b/>
                <w:sz w:val="18"/>
              </w:rPr>
              <w:t>Study</w:t>
            </w:r>
          </w:p>
        </w:tc>
        <w:tc>
          <w:tcPr>
            <w:tcW w:type="dxa" w:w="3888"/>
            <w:vAlign w:val="center"/>
            <w:shd w:fill="DCE6EF"/>
            <w:tcMar>
              <w:top w:w="65" w:type="dxa"/>
              <w:left w:w="65" w:type="dxa"/>
              <w:bottom w:w="65" w:type="dxa"/>
              <w:right w:w="65" w:type="dxa"/>
            </w:tcMar>
          </w:tcPr>
          <w:p>
            <w:pPr>
              <w:spacing w:after="40" w:before="40" w:line="240" w:lineRule="auto"/>
              <w:jc w:val="center"/>
            </w:pPr>
            <w:r>
              <w:rPr>
                <w:rFonts w:ascii="Calibri" w:hAnsi="Calibri"/>
                <w:b/>
                <w:sz w:val="18"/>
              </w:rPr>
              <w:t>File</w:t>
            </w:r>
          </w:p>
        </w:tc>
        <w:tc>
          <w:tcPr>
            <w:tcW w:type="dxa" w:w="2592"/>
            <w:vAlign w:val="center"/>
            <w:shd w:fill="DCE6EF"/>
            <w:tcMar>
              <w:top w:w="65" w:type="dxa"/>
              <w:left w:w="65" w:type="dxa"/>
              <w:bottom w:w="65" w:type="dxa"/>
              <w:right w:w="65" w:type="dxa"/>
            </w:tcMar>
          </w:tcPr>
          <w:p>
            <w:pPr>
              <w:spacing w:after="40" w:before="40" w:line="240" w:lineRule="auto"/>
              <w:jc w:val="center"/>
            </w:pPr>
            <w:r>
              <w:rPr>
                <w:rFonts w:ascii="Calibri" w:hAnsi="Calibri"/>
                <w:b/>
                <w:sz w:val="18"/>
              </w:rPr>
              <w:t>What it holds</w:t>
            </w:r>
          </w:p>
        </w:tc>
      </w:tr>
      <w:tr>
        <w:trPr>
          <w:cantSplit/>
        </w:trPr>
        <w:tc>
          <w:tcPr>
            <w:tcW w:type="dxa" w:w="1152"/>
            <w:vAlign w:val="center"/>
            <w:shd w:fill="FFFFFF"/>
            <w:tcMar>
              <w:top w:w="65" w:type="dxa"/>
              <w:left w:w="65" w:type="dxa"/>
              <w:bottom w:w="65" w:type="dxa"/>
              <w:right w:w="65" w:type="dxa"/>
            </w:tcMar>
          </w:tcPr>
          <w:p>
            <w:pPr>
              <w:spacing w:after="40" w:before="40" w:line="240" w:lineRule="auto"/>
            </w:pPr>
            <w:r>
              <w:rPr>
                <w:rFonts w:ascii="Calibri" w:hAnsi="Calibri"/>
                <w:b w:val="0"/>
                <w:sz w:val="18"/>
              </w:rPr>
              <w:t>2026-09-23</w:t>
            </w:r>
          </w:p>
        </w:tc>
        <w:tc>
          <w:tcPr>
            <w:tcW w:type="dxa" w:w="2304"/>
            <w:vAlign w:val="center"/>
            <w:shd w:fill="FFFFFF"/>
            <w:tcMar>
              <w:top w:w="65" w:type="dxa"/>
              <w:left w:w="65" w:type="dxa"/>
              <w:bottom w:w="65" w:type="dxa"/>
              <w:right w:w="65" w:type="dxa"/>
            </w:tcMar>
          </w:tcPr>
          <w:p>
            <w:pPr>
              <w:spacing w:after="40" w:before="40" w:line="240" w:lineRule="auto"/>
              <w:jc w:val="center"/>
            </w:pPr>
            <w:r>
              <w:rPr>
                <w:rFonts w:ascii="Calibri" w:hAnsi="Calibri"/>
                <w:b w:val="0"/>
                <w:sz w:val="18"/>
              </w:rPr>
              <w:t>Sparse routing check</w:t>
            </w:r>
          </w:p>
        </w:tc>
        <w:tc>
          <w:tcPr>
            <w:tcW w:type="dxa" w:w="3888"/>
            <w:vAlign w:val="center"/>
            <w:shd w:fill="FFFFFF"/>
            <w:tcMar>
              <w:top w:w="65" w:type="dxa"/>
              <w:left w:w="65" w:type="dxa"/>
              <w:bottom w:w="65" w:type="dxa"/>
              <w:right w:w="65" w:type="dxa"/>
            </w:tcMar>
          </w:tcPr>
          <w:p>
            <w:pPr>
              <w:spacing w:after="40" w:before="40" w:line="240" w:lineRule="auto"/>
              <w:jc w:val="center"/>
            </w:pPr>
            <w:r>
              <w:rPr>
                <w:rFonts w:ascii="Calibri" w:hAnsi="Calibri"/>
                <w:b w:val="0"/>
                <w:sz w:val="18"/>
              </w:rPr>
              <w:t>docs/evidence/sparse-routing-omaha-2026-09-23.json</w:t>
            </w:r>
          </w:p>
        </w:tc>
        <w:tc>
          <w:tcPr>
            <w:tcW w:type="dxa" w:w="2592"/>
            <w:vAlign w:val="center"/>
            <w:shd w:fill="FFFFFF"/>
            <w:tcMar>
              <w:top w:w="65" w:type="dxa"/>
              <w:left w:w="65" w:type="dxa"/>
              <w:bottom w:w="65" w:type="dxa"/>
              <w:right w:w="65" w:type="dxa"/>
            </w:tcMar>
          </w:tcPr>
          <w:p>
            <w:pPr>
              <w:spacing w:after="40" w:before="40" w:line="240" w:lineRule="auto"/>
              <w:jc w:val="center"/>
            </w:pPr>
            <w:r>
              <w:rPr>
                <w:rFonts w:ascii="Calibri" w:hAnsi="Calibri"/>
                <w:b w:val="0"/>
                <w:sz w:val="18"/>
              </w:rPr>
              <w:t>Six directed Omaha pairs; sparse against full matrix; API samples</w:t>
            </w:r>
          </w:p>
        </w:tc>
      </w:tr>
      <w:tr>
        <w:trPr>
          <w:cantSplit/>
        </w:trPr>
        <w:tc>
          <w:tcPr>
            <w:tcW w:type="dxa" w:w="1152"/>
            <w:vAlign w:val="center"/>
            <w:shd w:fill="F4F6F8"/>
            <w:tcMar>
              <w:top w:w="65" w:type="dxa"/>
              <w:left w:w="65" w:type="dxa"/>
              <w:bottom w:w="65" w:type="dxa"/>
              <w:right w:w="65" w:type="dxa"/>
            </w:tcMar>
          </w:tcPr>
          <w:p>
            <w:pPr>
              <w:spacing w:after="40" w:before="40" w:line="240" w:lineRule="auto"/>
            </w:pPr>
            <w:r>
              <w:rPr>
                <w:rFonts w:ascii="Calibri" w:hAnsi="Calibri"/>
                <w:b w:val="0"/>
                <w:sz w:val="18"/>
              </w:rPr>
              <w:t>2026-09-24</w:t>
            </w:r>
          </w:p>
        </w:tc>
        <w:tc>
          <w:tcPr>
            <w:tcW w:type="dxa" w:w="2304"/>
            <w:vAlign w:val="center"/>
            <w:shd w:fill="F4F6F8"/>
            <w:tcMar>
              <w:top w:w="65" w:type="dxa"/>
              <w:left w:w="65" w:type="dxa"/>
              <w:bottom w:w="65" w:type="dxa"/>
              <w:right w:w="65" w:type="dxa"/>
            </w:tcMar>
          </w:tcPr>
          <w:p>
            <w:pPr>
              <w:spacing w:after="40" w:before="40" w:line="240" w:lineRule="auto"/>
              <w:jc w:val="center"/>
            </w:pPr>
            <w:r>
              <w:rPr>
                <w:rFonts w:ascii="Calibri" w:hAnsi="Calibri"/>
                <w:b w:val="0"/>
                <w:sz w:val="18"/>
              </w:rPr>
              <w:t>Flexible against CH, routing alone</w:t>
            </w:r>
          </w:p>
        </w:tc>
        <w:tc>
          <w:tcPr>
            <w:tcW w:type="dxa" w:w="3888"/>
            <w:vAlign w:val="center"/>
            <w:shd w:fill="F4F6F8"/>
            <w:tcMar>
              <w:top w:w="65" w:type="dxa"/>
              <w:left w:w="65" w:type="dxa"/>
              <w:bottom w:w="65" w:type="dxa"/>
              <w:right w:w="65" w:type="dxa"/>
            </w:tcMar>
          </w:tcPr>
          <w:p>
            <w:pPr>
              <w:spacing w:after="40" w:before="40" w:line="240" w:lineRule="auto"/>
              <w:jc w:val="center"/>
            </w:pPr>
            <w:r>
              <w:rPr>
                <w:rFonts w:ascii="Calibri" w:hAnsi="Calibri"/>
                <w:b w:val="0"/>
                <w:sz w:val="18"/>
              </w:rPr>
              <w:t>docs/evidence/routing-ch-omaha-2026-09-24.json</w:t>
            </w:r>
          </w:p>
        </w:tc>
        <w:tc>
          <w:tcPr>
            <w:tcW w:type="dxa" w:w="2592"/>
            <w:vAlign w:val="center"/>
            <w:shd w:fill="F4F6F8"/>
            <w:tcMar>
              <w:top w:w="65" w:type="dxa"/>
              <w:left w:w="65" w:type="dxa"/>
              <w:bottom w:w="65" w:type="dxa"/>
              <w:right w:w="65" w:type="dxa"/>
            </w:tcMar>
          </w:tcPr>
          <w:p>
            <w:pPr>
              <w:spacing w:after="40" w:before="40" w:line="240" w:lineRule="auto"/>
              <w:jc w:val="center"/>
            </w:pPr>
            <w:r>
              <w:rPr>
                <w:rFonts w:ascii="Calibri" w:hAnsi="Calibri"/>
                <w:b w:val="0"/>
                <w:sz w:val="18"/>
              </w:rPr>
              <w:t>132 pairs, map 2026-09-16, 1/5/10 callers</w:t>
            </w:r>
          </w:p>
        </w:tc>
      </w:tr>
      <w:tr>
        <w:trPr>
          <w:cantSplit/>
        </w:trPr>
        <w:tc>
          <w:tcPr>
            <w:tcW w:type="dxa" w:w="1152"/>
            <w:vAlign w:val="center"/>
            <w:shd w:fill="FFFFFF"/>
            <w:tcMar>
              <w:top w:w="65" w:type="dxa"/>
              <w:left w:w="65" w:type="dxa"/>
              <w:bottom w:w="65" w:type="dxa"/>
              <w:right w:w="65" w:type="dxa"/>
            </w:tcMar>
          </w:tcPr>
          <w:p>
            <w:pPr>
              <w:spacing w:after="40" w:before="40" w:line="240" w:lineRule="auto"/>
            </w:pPr>
            <w:r>
              <w:rPr>
                <w:rFonts w:ascii="Calibri" w:hAnsi="Calibri"/>
                <w:b w:val="0"/>
                <w:sz w:val="18"/>
              </w:rPr>
              <w:t>2026-09-24</w:t>
            </w:r>
          </w:p>
        </w:tc>
        <w:tc>
          <w:tcPr>
            <w:tcW w:type="dxa" w:w="2304"/>
            <w:vAlign w:val="center"/>
            <w:shd w:fill="FFFFFF"/>
            <w:tcMar>
              <w:top w:w="65" w:type="dxa"/>
              <w:left w:w="65" w:type="dxa"/>
              <w:bottom w:w="65" w:type="dxa"/>
              <w:right w:w="65" w:type="dxa"/>
            </w:tcMar>
          </w:tcPr>
          <w:p>
            <w:pPr>
              <w:spacing w:after="40" w:before="40" w:line="240" w:lineRule="auto"/>
              <w:jc w:val="center"/>
            </w:pPr>
            <w:r>
              <w:rPr>
                <w:rFonts w:ascii="Calibri" w:hAnsi="Calibri"/>
                <w:b w:val="0"/>
                <w:sz w:val="18"/>
              </w:rPr>
              <w:t>Flexible against CH, booking</w:t>
            </w:r>
          </w:p>
        </w:tc>
        <w:tc>
          <w:tcPr>
            <w:tcW w:type="dxa" w:w="3888"/>
            <w:vAlign w:val="center"/>
            <w:shd w:fill="FFFFFF"/>
            <w:tcMar>
              <w:top w:w="65" w:type="dxa"/>
              <w:left w:w="65" w:type="dxa"/>
              <w:bottom w:w="65" w:type="dxa"/>
              <w:right w:w="65" w:type="dxa"/>
            </w:tcMar>
          </w:tcPr>
          <w:p>
            <w:pPr>
              <w:spacing w:after="40" w:before="40" w:line="240" w:lineRule="auto"/>
              <w:jc w:val="center"/>
            </w:pPr>
            <w:r>
              <w:rPr>
                <w:rFonts w:ascii="Calibri" w:hAnsi="Calibri"/>
                <w:b w:val="0"/>
                <w:sz w:val="18"/>
              </w:rPr>
              <w:t>docs/evidence/booking-omaha-routing-2026-09-24.json</w:t>
            </w:r>
          </w:p>
        </w:tc>
        <w:tc>
          <w:tcPr>
            <w:tcW w:type="dxa" w:w="2592"/>
            <w:vAlign w:val="center"/>
            <w:shd w:fill="FFFFFF"/>
            <w:tcMar>
              <w:top w:w="65" w:type="dxa"/>
              <w:left w:w="65" w:type="dxa"/>
              <w:bottom w:w="65" w:type="dxa"/>
              <w:right w:w="65" w:type="dxa"/>
            </w:tcMar>
          </w:tcPr>
          <w:p>
            <w:pPr>
              <w:spacing w:after="40" w:before="40" w:line="240" w:lineRule="auto"/>
              <w:jc w:val="center"/>
            </w:pPr>
            <w:r>
              <w:rPr>
                <w:rFonts w:ascii="Calibri" w:hAnsi="Calibri"/>
                <w:b w:val="0"/>
                <w:sz w:val="18"/>
              </w:rPr>
              <w:t>720 requests per graph on real Omaha roads</w:t>
            </w:r>
          </w:p>
        </w:tc>
      </w:tr>
      <w:tr>
        <w:trPr>
          <w:cantSplit/>
        </w:trPr>
        <w:tc>
          <w:tcPr>
            <w:tcW w:type="dxa" w:w="1152"/>
            <w:vAlign w:val="center"/>
            <w:shd w:fill="F4F6F8"/>
            <w:tcMar>
              <w:top w:w="65" w:type="dxa"/>
              <w:left w:w="65" w:type="dxa"/>
              <w:bottom w:w="65" w:type="dxa"/>
              <w:right w:w="65" w:type="dxa"/>
            </w:tcMar>
          </w:tcPr>
          <w:p>
            <w:pPr>
              <w:spacing w:after="40" w:before="40" w:line="240" w:lineRule="auto"/>
            </w:pPr>
            <w:r>
              <w:rPr>
                <w:rFonts w:ascii="Calibri" w:hAnsi="Calibri"/>
                <w:b w:val="0"/>
                <w:sz w:val="18"/>
              </w:rPr>
              <w:t>2026-09-24</w:t>
            </w:r>
          </w:p>
        </w:tc>
        <w:tc>
          <w:tcPr>
            <w:tcW w:type="dxa" w:w="2304"/>
            <w:vAlign w:val="center"/>
            <w:shd w:fill="F4F6F8"/>
            <w:tcMar>
              <w:top w:w="65" w:type="dxa"/>
              <w:left w:w="65" w:type="dxa"/>
              <w:bottom w:w="65" w:type="dxa"/>
              <w:right w:w="65" w:type="dxa"/>
            </w:tcMar>
          </w:tcPr>
          <w:p>
            <w:pPr>
              <w:spacing w:after="40" w:before="40" w:line="240" w:lineRule="auto"/>
              <w:jc w:val="center"/>
            </w:pPr>
            <w:r>
              <w:rPr>
                <w:rFonts w:ascii="Calibri" w:hAnsi="Calibri"/>
                <w:b w:val="0"/>
                <w:sz w:val="18"/>
              </w:rPr>
              <w:t>Insertion against bounded</w:t>
            </w:r>
          </w:p>
        </w:tc>
        <w:tc>
          <w:tcPr>
            <w:tcW w:type="dxa" w:w="3888"/>
            <w:vAlign w:val="center"/>
            <w:shd w:fill="F4F6F8"/>
            <w:tcMar>
              <w:top w:w="65" w:type="dxa"/>
              <w:left w:w="65" w:type="dxa"/>
              <w:bottom w:w="65" w:type="dxa"/>
              <w:right w:w="65" w:type="dxa"/>
            </w:tcMar>
          </w:tcPr>
          <w:p>
            <w:pPr>
              <w:spacing w:after="40" w:before="40" w:line="240" w:lineRule="auto"/>
              <w:jc w:val="center"/>
            </w:pPr>
            <w:r>
              <w:rPr>
                <w:rFonts w:ascii="Calibri" w:hAnsi="Calibri"/>
                <w:b w:val="0"/>
                <w:sz w:val="18"/>
              </w:rPr>
              <w:t>docs/booking-experiment-explainer/evidence.json</w:t>
            </w:r>
          </w:p>
        </w:tc>
        <w:tc>
          <w:tcPr>
            <w:tcW w:type="dxa" w:w="2592"/>
            <w:vAlign w:val="center"/>
            <w:shd w:fill="F4F6F8"/>
            <w:tcMar>
              <w:top w:w="65" w:type="dxa"/>
              <w:left w:w="65" w:type="dxa"/>
              <w:bottom w:w="65" w:type="dxa"/>
              <w:right w:w="65" w:type="dxa"/>
            </w:tcMar>
          </w:tcPr>
          <w:p>
            <w:pPr>
              <w:spacing w:after="40" w:before="40" w:line="240" w:lineRule="auto"/>
              <w:jc w:val="center"/>
            </w:pPr>
            <w:r>
              <w:rPr>
                <w:rFonts w:ascii="Calibri" w:hAnsi="Calibri"/>
                <w:b w:val="0"/>
                <w:sz w:val="18"/>
              </w:rPr>
              <w:t>360 cases, 3,600 requests; 60 paired sequential cases</w:t>
            </w:r>
          </w:p>
        </w:tc>
      </w:tr>
      <w:tr>
        <w:trPr>
          <w:cantSplit/>
        </w:trPr>
        <w:tc>
          <w:tcPr>
            <w:tcW w:type="dxa" w:w="1152"/>
            <w:vAlign w:val="center"/>
            <w:shd w:fill="FFFFFF"/>
            <w:tcMar>
              <w:top w:w="65" w:type="dxa"/>
              <w:left w:w="65" w:type="dxa"/>
              <w:bottom w:w="65" w:type="dxa"/>
              <w:right w:w="65" w:type="dxa"/>
            </w:tcMar>
          </w:tcPr>
          <w:p>
            <w:pPr>
              <w:spacing w:after="40" w:before="40" w:line="240" w:lineRule="auto"/>
            </w:pPr>
            <w:r>
              <w:rPr>
                <w:rFonts w:ascii="Calibri" w:hAnsi="Calibri"/>
                <w:b w:val="0"/>
                <w:sz w:val="18"/>
              </w:rPr>
              <w:t>2026-09-29</w:t>
            </w:r>
          </w:p>
        </w:tc>
        <w:tc>
          <w:tcPr>
            <w:tcW w:type="dxa" w:w="2304"/>
            <w:vAlign w:val="center"/>
            <w:shd w:fill="FFFFFF"/>
            <w:tcMar>
              <w:top w:w="65" w:type="dxa"/>
              <w:left w:w="65" w:type="dxa"/>
              <w:bottom w:w="65" w:type="dxa"/>
              <w:right w:w="65" w:type="dxa"/>
            </w:tcMar>
          </w:tcPr>
          <w:p>
            <w:pPr>
              <w:spacing w:after="40" w:before="40" w:line="240" w:lineRule="auto"/>
              <w:jc w:val="center"/>
            </w:pPr>
            <w:r>
              <w:rPr>
                <w:rFonts w:ascii="Calibri" w:hAnsi="Calibri"/>
                <w:b w:val="0"/>
                <w:sz w:val="18"/>
              </w:rPr>
              <w:t>Field validation</w:t>
            </w:r>
          </w:p>
        </w:tc>
        <w:tc>
          <w:tcPr>
            <w:tcW w:type="dxa" w:w="3888"/>
            <w:vAlign w:val="center"/>
            <w:shd w:fill="FFFFFF"/>
            <w:tcMar>
              <w:top w:w="65" w:type="dxa"/>
              <w:left w:w="65" w:type="dxa"/>
              <w:bottom w:w="65" w:type="dxa"/>
              <w:right w:w="65" w:type="dxa"/>
            </w:tcMar>
          </w:tcPr>
          <w:p>
            <w:pPr>
              <w:spacing w:after="40" w:before="40" w:line="240" w:lineRule="auto"/>
              <w:jc w:val="center"/>
            </w:pPr>
            <w:r>
              <w:rPr>
                <w:rFonts w:ascii="Calibri" w:hAnsi="Calibri"/>
                <w:b w:val="0"/>
                <w:sz w:val="18"/>
              </w:rPr>
              <w:t>docs/evidence/scheduler-field-2026-09-29/summary.json</w:t>
            </w:r>
          </w:p>
        </w:tc>
        <w:tc>
          <w:tcPr>
            <w:tcW w:type="dxa" w:w="2592"/>
            <w:vAlign w:val="center"/>
            <w:shd w:fill="FFFFFF"/>
            <w:tcMar>
              <w:top w:w="65" w:type="dxa"/>
              <w:left w:w="65" w:type="dxa"/>
              <w:bottom w:w="65" w:type="dxa"/>
              <w:right w:w="65" w:type="dxa"/>
            </w:tcMar>
          </w:tcPr>
          <w:p>
            <w:pPr>
              <w:spacing w:after="40" w:before="40" w:line="240" w:lineRule="auto"/>
              <w:jc w:val="center"/>
            </w:pPr>
            <w:r>
              <w:rPr>
                <w:rFonts w:ascii="Calibri" w:hAnsi="Calibri"/>
                <w:b w:val="0"/>
                <w:sz w:val="18"/>
              </w:rPr>
              <w:t>48 held-out booking cases per variant; 240 daily cases, paired means by budget</w:t>
            </w:r>
          </w:p>
        </w:tc>
      </w:tr>
      <w:tr>
        <w:trPr>
          <w:cantSplit/>
        </w:trPr>
        <w:tc>
          <w:tcPr>
            <w:tcW w:type="dxa" w:w="1152"/>
            <w:vAlign w:val="center"/>
            <w:shd w:fill="F4F6F8"/>
            <w:tcMar>
              <w:top w:w="65" w:type="dxa"/>
              <w:left w:w="65" w:type="dxa"/>
              <w:bottom w:w="65" w:type="dxa"/>
              <w:right w:w="65" w:type="dxa"/>
            </w:tcMar>
          </w:tcPr>
          <w:p>
            <w:pPr>
              <w:spacing w:after="40" w:before="40" w:line="240" w:lineRule="auto"/>
            </w:pPr>
            <w:r>
              <w:rPr>
                <w:rFonts w:ascii="Calibri" w:hAnsi="Calibri"/>
                <w:b w:val="0"/>
                <w:sz w:val="18"/>
              </w:rPr>
              <w:t>2026-10-01</w:t>
            </w:r>
          </w:p>
        </w:tc>
        <w:tc>
          <w:tcPr>
            <w:tcW w:type="dxa" w:w="2304"/>
            <w:vAlign w:val="center"/>
            <w:shd w:fill="F4F6F8"/>
            <w:tcMar>
              <w:top w:w="65" w:type="dxa"/>
              <w:left w:w="65" w:type="dxa"/>
              <w:bottom w:w="65" w:type="dxa"/>
              <w:right w:w="65" w:type="dxa"/>
            </w:tcMar>
          </w:tcPr>
          <w:p>
            <w:pPr>
              <w:spacing w:after="40" w:before="40" w:line="240" w:lineRule="auto"/>
              <w:jc w:val="center"/>
            </w:pPr>
            <w:r>
              <w:rPr>
                <w:rFonts w:ascii="Calibri" w:hAnsi="Calibri"/>
                <w:b w:val="0"/>
                <w:sz w:val="18"/>
              </w:rPr>
              <w:t>Daily budget study</w:t>
            </w:r>
          </w:p>
        </w:tc>
        <w:tc>
          <w:tcPr>
            <w:tcW w:type="dxa" w:w="3888"/>
            <w:vAlign w:val="center"/>
            <w:shd w:fill="F4F6F8"/>
            <w:tcMar>
              <w:top w:w="65" w:type="dxa"/>
              <w:left w:w="65" w:type="dxa"/>
              <w:bottom w:w="65" w:type="dxa"/>
              <w:right w:w="65" w:type="dxa"/>
            </w:tcMar>
          </w:tcPr>
          <w:p>
            <w:pPr>
              <w:spacing w:after="40" w:before="40" w:line="240" w:lineRule="auto"/>
              <w:jc w:val="center"/>
            </w:pPr>
            <w:r>
              <w:rPr>
                <w:rFonts w:ascii="Calibri" w:hAnsi="Calibri"/>
                <w:b w:val="0"/>
                <w:sz w:val="18"/>
              </w:rPr>
              <w:t>docs/daily-budget-331df1f1 (report only; run archive not in the repository)</w:t>
            </w:r>
          </w:p>
        </w:tc>
        <w:tc>
          <w:tcPr>
            <w:tcW w:type="dxa" w:w="2592"/>
            <w:vAlign w:val="center"/>
            <w:shd w:fill="F4F6F8"/>
            <w:tcMar>
              <w:top w:w="65" w:type="dxa"/>
              <w:left w:w="65" w:type="dxa"/>
              <w:bottom w:w="65" w:type="dxa"/>
              <w:right w:w="65" w:type="dxa"/>
            </w:tcMar>
          </w:tcPr>
          <w:p>
            <w:pPr>
              <w:spacing w:after="40" w:before="40" w:line="240" w:lineRule="auto"/>
              <w:jc w:val="center"/>
            </w:pPr>
            <w:r>
              <w:rPr>
                <w:rFonts w:ascii="Calibri" w:hAnsi="Calibri"/>
                <w:b w:val="0"/>
                <w:sz w:val="18"/>
              </w:rPr>
              <w:t>1,280 cases; quoted, not recomputed</w:t>
            </w:r>
          </w:p>
        </w:tc>
      </w:tr>
      <w:tr>
        <w:trPr>
          <w:cantSplit/>
        </w:trPr>
        <w:tc>
          <w:tcPr>
            <w:tcW w:type="dxa" w:w="1152"/>
            <w:vAlign w:val="center"/>
            <w:shd w:fill="FFFFFF"/>
            <w:tcMar>
              <w:top w:w="65" w:type="dxa"/>
              <w:left w:w="65" w:type="dxa"/>
              <w:bottom w:w="65" w:type="dxa"/>
              <w:right w:w="65" w:type="dxa"/>
            </w:tcMar>
          </w:tcPr>
          <w:p>
            <w:pPr>
              <w:spacing w:after="40" w:before="40" w:line="240" w:lineRule="auto"/>
            </w:pPr>
            <w:r>
              <w:rPr>
                <w:rFonts w:ascii="Calibri" w:hAnsi="Calibri"/>
                <w:b w:val="0"/>
                <w:sz w:val="18"/>
              </w:rPr>
              <w:t>2026-10-11</w:t>
            </w:r>
          </w:p>
        </w:tc>
        <w:tc>
          <w:tcPr>
            <w:tcW w:type="dxa" w:w="2304"/>
            <w:vAlign w:val="center"/>
            <w:shd w:fill="FFFFFF"/>
            <w:tcMar>
              <w:top w:w="65" w:type="dxa"/>
              <w:left w:w="65" w:type="dxa"/>
              <w:bottom w:w="65" w:type="dxa"/>
              <w:right w:w="65" w:type="dxa"/>
            </w:tcMar>
          </w:tcPr>
          <w:p>
            <w:pPr>
              <w:spacing w:after="40" w:before="40" w:line="240" w:lineRule="auto"/>
              <w:jc w:val="center"/>
            </w:pPr>
            <w:r>
              <w:rPr>
                <w:rFonts w:ascii="Calibri" w:hAnsi="Calibri"/>
                <w:b w:val="0"/>
                <w:sz w:val="18"/>
              </w:rPr>
              <w:t>Tabu variant study</w:t>
            </w:r>
          </w:p>
        </w:tc>
        <w:tc>
          <w:tcPr>
            <w:tcW w:type="dxa" w:w="3888"/>
            <w:vAlign w:val="center"/>
            <w:shd w:fill="FFFFFF"/>
            <w:tcMar>
              <w:top w:w="65" w:type="dxa"/>
              <w:left w:w="65" w:type="dxa"/>
              <w:bottom w:w="65" w:type="dxa"/>
              <w:right w:w="65" w:type="dxa"/>
            </w:tcMar>
          </w:tcPr>
          <w:p>
            <w:pPr>
              <w:spacing w:after="40" w:before="40" w:line="240" w:lineRule="auto"/>
              <w:jc w:val="center"/>
            </w:pPr>
            <w:r>
              <w:rPr>
                <w:rFonts w:ascii="Calibri" w:hAnsi="Calibri"/>
                <w:b w:val="0"/>
                <w:sz w:val="18"/>
              </w:rPr>
              <w:t>experiments/runs/20261010T040557Z-daily-tabu-variants-p6-5d15129b</w:t>
            </w:r>
          </w:p>
        </w:tc>
        <w:tc>
          <w:tcPr>
            <w:tcW w:type="dxa" w:w="2592"/>
            <w:vAlign w:val="center"/>
            <w:shd w:fill="FFFFFF"/>
            <w:tcMar>
              <w:top w:w="65" w:type="dxa"/>
              <w:left w:w="65" w:type="dxa"/>
              <w:bottom w:w="65" w:type="dxa"/>
              <w:right w:w="65" w:type="dxa"/>
            </w:tcMar>
          </w:tcPr>
          <w:p>
            <w:pPr>
              <w:spacing w:after="40" w:before="40" w:line="240" w:lineRule="auto"/>
              <w:jc w:val="center"/>
            </w:pPr>
            <w:r>
              <w:rPr>
                <w:rFonts w:ascii="Calibri" w:hAnsi="Calibri"/>
                <w:b w:val="0"/>
                <w:sz w:val="18"/>
              </w:rPr>
              <w:t>4,480 cases on 16 fixtures; 128 sequential confirmation cases</w:t>
            </w:r>
          </w:p>
        </w:tc>
      </w:tr>
      <w:tr>
        <w:trPr>
          <w:cantSplit/>
        </w:trPr>
        <w:tc>
          <w:tcPr>
            <w:tcW w:type="dxa" w:w="1152"/>
            <w:vAlign w:val="center"/>
            <w:shd w:fill="F4F6F8"/>
            <w:tcMar>
              <w:top w:w="65" w:type="dxa"/>
              <w:left w:w="65" w:type="dxa"/>
              <w:bottom w:w="65" w:type="dxa"/>
              <w:right w:w="65" w:type="dxa"/>
            </w:tcMar>
          </w:tcPr>
          <w:p>
            <w:pPr>
              <w:spacing w:after="40" w:before="40" w:line="240" w:lineRule="auto"/>
            </w:pPr>
            <w:r>
              <w:rPr>
                <w:rFonts w:ascii="Calibri" w:hAnsi="Calibri"/>
                <w:b w:val="0"/>
                <w:sz w:val="18"/>
              </w:rPr>
              <w:t>2026-10-13</w:t>
            </w:r>
          </w:p>
        </w:tc>
        <w:tc>
          <w:tcPr>
            <w:tcW w:type="dxa" w:w="2304"/>
            <w:vAlign w:val="center"/>
            <w:shd w:fill="F4F6F8"/>
            <w:tcMar>
              <w:top w:w="65" w:type="dxa"/>
              <w:left w:w="65" w:type="dxa"/>
              <w:bottom w:w="65" w:type="dxa"/>
              <w:right w:w="65" w:type="dxa"/>
            </w:tcMar>
          </w:tcPr>
          <w:p>
            <w:pPr>
              <w:spacing w:after="40" w:before="40" w:line="240" w:lineRule="auto"/>
              <w:jc w:val="center"/>
            </w:pPr>
            <w:r>
              <w:rPr>
                <w:rFonts w:ascii="Calibri" w:hAnsi="Calibri"/>
                <w:b w:val="0"/>
                <w:sz w:val="18"/>
              </w:rPr>
              <w:t>Daily search follow-up</w:t>
            </w:r>
          </w:p>
        </w:tc>
        <w:tc>
          <w:tcPr>
            <w:tcW w:type="dxa" w:w="3888"/>
            <w:vAlign w:val="center"/>
            <w:shd w:fill="F4F6F8"/>
            <w:tcMar>
              <w:top w:w="65" w:type="dxa"/>
              <w:left w:w="65" w:type="dxa"/>
              <w:bottom w:w="65" w:type="dxa"/>
              <w:right w:w="65" w:type="dxa"/>
            </w:tcMar>
          </w:tcPr>
          <w:p>
            <w:pPr>
              <w:spacing w:after="40" w:before="40" w:line="240" w:lineRule="auto"/>
              <w:jc w:val="center"/>
            </w:pPr>
            <w:r>
              <w:rPr>
                <w:rFonts w:ascii="Calibri" w:hAnsi="Calibri"/>
                <w:b w:val="0"/>
                <w:sz w:val="18"/>
              </w:rPr>
              <w:t>experiments/runs/20261013T052707Z-daily-search-followup-6454fb05 (+ long budget, confirmation)</w:t>
            </w:r>
          </w:p>
        </w:tc>
        <w:tc>
          <w:tcPr>
            <w:tcW w:type="dxa" w:w="2592"/>
            <w:vAlign w:val="center"/>
            <w:shd w:fill="F4F6F8"/>
            <w:tcMar>
              <w:top w:w="65" w:type="dxa"/>
              <w:left w:w="65" w:type="dxa"/>
              <w:bottom w:w="65" w:type="dxa"/>
              <w:right w:w="65" w:type="dxa"/>
            </w:tcMar>
          </w:tcPr>
          <w:p>
            <w:pPr>
              <w:spacing w:after="40" w:before="40" w:line="240" w:lineRule="auto"/>
              <w:jc w:val="center"/>
            </w:pPr>
            <w:r>
              <w:rPr>
                <w:rFonts w:ascii="Calibri" w:hAnsi="Calibri"/>
                <w:b w:val="0"/>
                <w:sz w:val="18"/>
              </w:rPr>
              <w:t>1,200 + 192 + 32 cases on 40 new fixtures</w:t>
            </w:r>
          </w:p>
        </w:tc>
      </w:tr>
      <w:tr>
        <w:trPr>
          <w:cantSplit/>
        </w:trPr>
        <w:tc>
          <w:tcPr>
            <w:tcW w:type="dxa" w:w="1152"/>
            <w:vAlign w:val="center"/>
            <w:shd w:fill="FFFFFF"/>
            <w:tcMar>
              <w:top w:w="65" w:type="dxa"/>
              <w:left w:w="65" w:type="dxa"/>
              <w:bottom w:w="65" w:type="dxa"/>
              <w:right w:w="65" w:type="dxa"/>
            </w:tcMar>
          </w:tcPr>
          <w:p>
            <w:pPr>
              <w:spacing w:after="40" w:before="40" w:line="240" w:lineRule="auto"/>
            </w:pPr>
            <w:r>
              <w:rPr>
                <w:rFonts w:ascii="Calibri" w:hAnsi="Calibri"/>
                <w:b w:val="0"/>
                <w:sz w:val="18"/>
              </w:rPr>
              <w:t>2026-10-13</w:t>
            </w:r>
          </w:p>
        </w:tc>
        <w:tc>
          <w:tcPr>
            <w:tcW w:type="dxa" w:w="2304"/>
            <w:vAlign w:val="center"/>
            <w:shd w:fill="FFFFFF"/>
            <w:tcMar>
              <w:top w:w="65" w:type="dxa"/>
              <w:left w:w="65" w:type="dxa"/>
              <w:bottom w:w="65" w:type="dxa"/>
              <w:right w:w="65" w:type="dxa"/>
            </w:tcMar>
          </w:tcPr>
          <w:p>
            <w:pPr>
              <w:spacing w:after="40" w:before="40" w:line="240" w:lineRule="auto"/>
              <w:jc w:val="center"/>
            </w:pPr>
            <w:r>
              <w:rPr>
                <w:rFonts w:ascii="Calibri" w:hAnsi="Calibri"/>
                <w:b w:val="0"/>
                <w:sz w:val="18"/>
              </w:rPr>
              <w:t>Load study #151</w:t>
            </w:r>
          </w:p>
        </w:tc>
        <w:tc>
          <w:tcPr>
            <w:tcW w:type="dxa" w:w="3888"/>
            <w:vAlign w:val="center"/>
            <w:shd w:fill="FFFFFF"/>
            <w:tcMar>
              <w:top w:w="65" w:type="dxa"/>
              <w:left w:w="65" w:type="dxa"/>
              <w:bottom w:w="65" w:type="dxa"/>
              <w:right w:w="65" w:type="dxa"/>
            </w:tcMar>
          </w:tcPr>
          <w:p>
            <w:pPr>
              <w:spacing w:after="40" w:before="40" w:line="240" w:lineRule="auto"/>
              <w:jc w:val="center"/>
            </w:pPr>
            <w:r>
              <w:rPr>
                <w:rFonts w:ascii="Calibri" w:hAnsi="Calibri"/>
                <w:b w:val="0"/>
                <w:sz w:val="18"/>
              </w:rPr>
              <w:t>docs/evidence/api-load-2026-10-13.json</w:t>
            </w:r>
          </w:p>
        </w:tc>
        <w:tc>
          <w:tcPr>
            <w:tcW w:type="dxa" w:w="2592"/>
            <w:vAlign w:val="center"/>
            <w:shd w:fill="FFFFFF"/>
            <w:tcMar>
              <w:top w:w="65" w:type="dxa"/>
              <w:left w:w="65" w:type="dxa"/>
              <w:bottom w:w="65" w:type="dxa"/>
              <w:right w:w="65" w:type="dxa"/>
            </w:tcMar>
          </w:tcPr>
          <w:p>
            <w:pPr>
              <w:spacing w:after="40" w:before="40" w:line="240" w:lineRule="auto"/>
              <w:jc w:val="center"/>
            </w:pPr>
            <w:r>
              <w:rPr>
                <w:rFonts w:ascii="Calibri" w:hAnsi="Calibri"/>
                <w:b w:val="0"/>
                <w:sz w:val="18"/>
              </w:rPr>
              <w:t>Load tool and the first measurement</w:t>
            </w:r>
          </w:p>
        </w:tc>
      </w:tr>
      <w:tr>
        <w:trPr>
          <w:cantSplit/>
        </w:trPr>
        <w:tc>
          <w:tcPr>
            <w:tcW w:type="dxa" w:w="1152"/>
            <w:vAlign w:val="center"/>
            <w:shd w:fill="F4F6F8"/>
            <w:tcMar>
              <w:top w:w="65" w:type="dxa"/>
              <w:left w:w="65" w:type="dxa"/>
              <w:bottom w:w="65" w:type="dxa"/>
              <w:right w:w="65" w:type="dxa"/>
            </w:tcMar>
          </w:tcPr>
          <w:p>
            <w:pPr>
              <w:spacing w:after="40" w:before="40" w:line="240" w:lineRule="auto"/>
            </w:pPr>
            <w:r>
              <w:rPr>
                <w:rFonts w:ascii="Calibri" w:hAnsi="Calibri"/>
                <w:b w:val="0"/>
                <w:sz w:val="18"/>
              </w:rPr>
              <w:t>2026-10-13</w:t>
            </w:r>
          </w:p>
        </w:tc>
        <w:tc>
          <w:tcPr>
            <w:tcW w:type="dxa" w:w="2304"/>
            <w:vAlign w:val="center"/>
            <w:shd w:fill="F4F6F8"/>
            <w:tcMar>
              <w:top w:w="65" w:type="dxa"/>
              <w:left w:w="65" w:type="dxa"/>
              <w:bottom w:w="65" w:type="dxa"/>
              <w:right w:w="65" w:type="dxa"/>
            </w:tcMar>
          </w:tcPr>
          <w:p>
            <w:pPr>
              <w:spacing w:after="40" w:before="40" w:line="240" w:lineRule="auto"/>
              <w:jc w:val="center"/>
            </w:pPr>
            <w:r>
              <w:rPr>
                <w:rFonts w:ascii="Calibri" w:hAnsi="Calibri"/>
                <w:b w:val="0"/>
                <w:sz w:val="18"/>
              </w:rPr>
              <w:t>Load study #152</w:t>
            </w:r>
          </w:p>
        </w:tc>
        <w:tc>
          <w:tcPr>
            <w:tcW w:type="dxa" w:w="3888"/>
            <w:vAlign w:val="center"/>
            <w:shd w:fill="F4F6F8"/>
            <w:tcMar>
              <w:top w:w="65" w:type="dxa"/>
              <w:left w:w="65" w:type="dxa"/>
              <w:bottom w:w="65" w:type="dxa"/>
              <w:right w:w="65" w:type="dxa"/>
            </w:tcMar>
          </w:tcPr>
          <w:p>
            <w:pPr>
              <w:spacing w:after="40" w:before="40" w:line="240" w:lineRule="auto"/>
              <w:jc w:val="center"/>
            </w:pPr>
            <w:r>
              <w:rPr>
                <w:rFonts w:ascii="Calibri" w:hAnsi="Calibri"/>
                <w:b w:val="0"/>
                <w:sz w:val="18"/>
              </w:rPr>
              <w:t>docs/evidence/api-load-2026-10-13-booking-concurrency.json</w:t>
            </w:r>
          </w:p>
        </w:tc>
        <w:tc>
          <w:tcPr>
            <w:tcW w:type="dxa" w:w="2592"/>
            <w:vAlign w:val="center"/>
            <w:shd w:fill="F4F6F8"/>
            <w:tcMar>
              <w:top w:w="65" w:type="dxa"/>
              <w:left w:w="65" w:type="dxa"/>
              <w:bottom w:w="65" w:type="dxa"/>
              <w:right w:w="65" w:type="dxa"/>
            </w:tcMar>
          </w:tcPr>
          <w:p>
            <w:pPr>
              <w:spacing w:after="40" w:before="40" w:line="240" w:lineRule="auto"/>
              <w:jc w:val="center"/>
            </w:pPr>
            <w:r>
              <w:rPr>
                <w:rFonts w:ascii="Calibri" w:hAnsi="Calibri"/>
                <w:b w:val="0"/>
                <w:sz w:val="18"/>
              </w:rPr>
              <w:t>Late snapshots keep holds; bookings publish without waiting</w:t>
            </w:r>
          </w:p>
        </w:tc>
      </w:tr>
      <w:tr>
        <w:trPr>
          <w:cantSplit/>
        </w:trPr>
        <w:tc>
          <w:tcPr>
            <w:tcW w:type="dxa" w:w="1152"/>
            <w:vAlign w:val="center"/>
            <w:shd w:fill="FFFFFF"/>
            <w:tcMar>
              <w:top w:w="65" w:type="dxa"/>
              <w:left w:w="65" w:type="dxa"/>
              <w:bottom w:w="65" w:type="dxa"/>
              <w:right w:w="65" w:type="dxa"/>
            </w:tcMar>
          </w:tcPr>
          <w:p>
            <w:pPr>
              <w:spacing w:after="40" w:before="40" w:line="240" w:lineRule="auto"/>
            </w:pPr>
            <w:r>
              <w:rPr>
                <w:rFonts w:ascii="Calibri" w:hAnsi="Calibri"/>
                <w:b w:val="0"/>
                <w:sz w:val="18"/>
              </w:rPr>
              <w:t>2026-10-13</w:t>
            </w:r>
          </w:p>
        </w:tc>
        <w:tc>
          <w:tcPr>
            <w:tcW w:type="dxa" w:w="2304"/>
            <w:vAlign w:val="center"/>
            <w:shd w:fill="FFFFFF"/>
            <w:tcMar>
              <w:top w:w="65" w:type="dxa"/>
              <w:left w:w="65" w:type="dxa"/>
              <w:bottom w:w="65" w:type="dxa"/>
              <w:right w:w="65" w:type="dxa"/>
            </w:tcMar>
          </w:tcPr>
          <w:p>
            <w:pPr>
              <w:spacing w:after="40" w:before="40" w:line="240" w:lineRule="auto"/>
              <w:jc w:val="center"/>
            </w:pPr>
            <w:r>
              <w:rPr>
                <w:rFonts w:ascii="Calibri" w:hAnsi="Calibri"/>
                <w:b w:val="0"/>
                <w:sz w:val="18"/>
              </w:rPr>
              <w:t>Load study #153</w:t>
            </w:r>
          </w:p>
        </w:tc>
        <w:tc>
          <w:tcPr>
            <w:tcW w:type="dxa" w:w="3888"/>
            <w:vAlign w:val="center"/>
            <w:shd w:fill="FFFFFF"/>
            <w:tcMar>
              <w:top w:w="65" w:type="dxa"/>
              <w:left w:w="65" w:type="dxa"/>
              <w:bottom w:w="65" w:type="dxa"/>
              <w:right w:w="65" w:type="dxa"/>
            </w:tcMar>
          </w:tcPr>
          <w:p>
            <w:pPr>
              <w:spacing w:after="40" w:before="40" w:line="240" w:lineRule="auto"/>
              <w:jc w:val="center"/>
            </w:pPr>
            <w:r>
              <w:rPr>
                <w:rFonts w:ascii="Calibri" w:hAnsi="Calibri"/>
                <w:b w:val="0"/>
                <w:sz w:val="18"/>
              </w:rPr>
              <w:t>docs/evidence/api-load-2026-10-13-daily-admission.json</w:t>
            </w:r>
          </w:p>
        </w:tc>
        <w:tc>
          <w:tcPr>
            <w:tcW w:type="dxa" w:w="2592"/>
            <w:vAlign w:val="center"/>
            <w:shd w:fill="FFFFFF"/>
            <w:tcMar>
              <w:top w:w="65" w:type="dxa"/>
              <w:left w:w="65" w:type="dxa"/>
              <w:bottom w:w="65" w:type="dxa"/>
              <w:right w:w="65" w:type="dxa"/>
            </w:tcMar>
          </w:tcPr>
          <w:p>
            <w:pPr>
              <w:spacing w:after="40" w:before="40" w:line="240" w:lineRule="auto"/>
              <w:jc w:val="center"/>
            </w:pPr>
            <w:r>
              <w:rPr>
                <w:rFonts w:ascii="Calibri" w:hAnsi="Calibri"/>
                <w:b w:val="0"/>
                <w:sz w:val="18"/>
              </w:rPr>
              <w:t>Daily proposals refused early with Retry-After; routed before the slot</w:t>
            </w:r>
          </w:p>
        </w:tc>
      </w:tr>
      <w:tr>
        <w:trPr>
          <w:cantSplit/>
        </w:trPr>
        <w:tc>
          <w:tcPr>
            <w:tcW w:type="dxa" w:w="1152"/>
            <w:vAlign w:val="center"/>
            <w:shd w:fill="F4F6F8"/>
            <w:tcMar>
              <w:top w:w="65" w:type="dxa"/>
              <w:left w:w="65" w:type="dxa"/>
              <w:bottom w:w="65" w:type="dxa"/>
              <w:right w:w="65" w:type="dxa"/>
            </w:tcMar>
          </w:tcPr>
          <w:p>
            <w:pPr>
              <w:spacing w:after="40" w:before="40" w:line="240" w:lineRule="auto"/>
            </w:pPr>
            <w:r>
              <w:rPr>
                <w:rFonts w:ascii="Calibri" w:hAnsi="Calibri"/>
                <w:b w:val="0"/>
                <w:sz w:val="18"/>
              </w:rPr>
              <w:t>2026-10-13</w:t>
            </w:r>
          </w:p>
        </w:tc>
        <w:tc>
          <w:tcPr>
            <w:tcW w:type="dxa" w:w="2304"/>
            <w:vAlign w:val="center"/>
            <w:shd w:fill="F4F6F8"/>
            <w:tcMar>
              <w:top w:w="65" w:type="dxa"/>
              <w:left w:w="65" w:type="dxa"/>
              <w:bottom w:w="65" w:type="dxa"/>
              <w:right w:w="65" w:type="dxa"/>
            </w:tcMar>
          </w:tcPr>
          <w:p>
            <w:pPr>
              <w:spacing w:after="40" w:before="40" w:line="240" w:lineRule="auto"/>
              <w:jc w:val="center"/>
            </w:pPr>
            <w:r>
              <w:rPr>
                <w:rFonts w:ascii="Calibri" w:hAnsi="Calibri"/>
                <w:b w:val="0"/>
                <w:sz w:val="18"/>
              </w:rPr>
              <w:t>Load study #154</w:t>
            </w:r>
          </w:p>
        </w:tc>
        <w:tc>
          <w:tcPr>
            <w:tcW w:type="dxa" w:w="3888"/>
            <w:vAlign w:val="center"/>
            <w:shd w:fill="F4F6F8"/>
            <w:tcMar>
              <w:top w:w="65" w:type="dxa"/>
              <w:left w:w="65" w:type="dxa"/>
              <w:bottom w:w="65" w:type="dxa"/>
              <w:right w:w="65" w:type="dxa"/>
            </w:tcMar>
          </w:tcPr>
          <w:p>
            <w:pPr>
              <w:spacing w:after="40" w:before="40" w:line="240" w:lineRule="auto"/>
              <w:jc w:val="center"/>
            </w:pPr>
            <w:r>
              <w:rPr>
                <w:rFonts w:ascii="Calibri" w:hAnsi="Calibri"/>
                <w:b w:val="0"/>
                <w:sz w:val="18"/>
              </w:rPr>
              <w:t>docs/evidence/api-load-2026-10-13-search-outcome.json</w:t>
            </w:r>
          </w:p>
        </w:tc>
        <w:tc>
          <w:tcPr>
            <w:tcW w:type="dxa" w:w="2592"/>
            <w:vAlign w:val="center"/>
            <w:shd w:fill="F4F6F8"/>
            <w:tcMar>
              <w:top w:w="65" w:type="dxa"/>
              <w:left w:w="65" w:type="dxa"/>
              <w:bottom w:w="65" w:type="dxa"/>
              <w:right w:w="65" w:type="dxa"/>
            </w:tcMar>
          </w:tcPr>
          <w:p>
            <w:pPr>
              <w:spacing w:after="40" w:before="40" w:line="240" w:lineRule="auto"/>
              <w:jc w:val="center"/>
            </w:pPr>
            <w:r>
              <w:rPr>
                <w:rFonts w:ascii="Calibri" w:hAnsi="Calibri"/>
                <w:b w:val="0"/>
                <w:sz w:val="18"/>
              </w:rPr>
              <w:t>searchComplete means what the spec says</w:t>
            </w:r>
          </w:p>
        </w:tc>
      </w:tr>
      <w:tr>
        <w:trPr>
          <w:cantSplit/>
        </w:trPr>
        <w:tc>
          <w:tcPr>
            <w:tcW w:type="dxa" w:w="1152"/>
            <w:vAlign w:val="center"/>
            <w:shd w:fill="FFFFFF"/>
            <w:tcMar>
              <w:top w:w="65" w:type="dxa"/>
              <w:left w:w="65" w:type="dxa"/>
              <w:bottom w:w="65" w:type="dxa"/>
              <w:right w:w="65" w:type="dxa"/>
            </w:tcMar>
          </w:tcPr>
          <w:p>
            <w:pPr>
              <w:spacing w:after="40" w:before="40" w:line="240" w:lineRule="auto"/>
            </w:pPr>
            <w:r>
              <w:rPr>
                <w:rFonts w:ascii="Calibri" w:hAnsi="Calibri"/>
                <w:b w:val="0"/>
                <w:sz w:val="18"/>
              </w:rPr>
              <w:t>2026-10-13</w:t>
            </w:r>
          </w:p>
        </w:tc>
        <w:tc>
          <w:tcPr>
            <w:tcW w:type="dxa" w:w="2304"/>
            <w:vAlign w:val="center"/>
            <w:shd w:fill="FFFFFF"/>
            <w:tcMar>
              <w:top w:w="65" w:type="dxa"/>
              <w:left w:w="65" w:type="dxa"/>
              <w:bottom w:w="65" w:type="dxa"/>
              <w:right w:w="65" w:type="dxa"/>
            </w:tcMar>
          </w:tcPr>
          <w:p>
            <w:pPr>
              <w:spacing w:after="40" w:before="40" w:line="240" w:lineRule="auto"/>
              <w:jc w:val="center"/>
            </w:pPr>
            <w:r>
              <w:rPr>
                <w:rFonts w:ascii="Calibri" w:hAnsi="Calibri"/>
                <w:b w:val="0"/>
                <w:sz w:val="18"/>
              </w:rPr>
              <w:t>Load study #155</w:t>
            </w:r>
          </w:p>
        </w:tc>
        <w:tc>
          <w:tcPr>
            <w:tcW w:type="dxa" w:w="3888"/>
            <w:vAlign w:val="center"/>
            <w:shd w:fill="FFFFFF"/>
            <w:tcMar>
              <w:top w:w="65" w:type="dxa"/>
              <w:left w:w="65" w:type="dxa"/>
              <w:bottom w:w="65" w:type="dxa"/>
              <w:right w:w="65" w:type="dxa"/>
            </w:tcMar>
          </w:tcPr>
          <w:p>
            <w:pPr>
              <w:spacing w:after="40" w:before="40" w:line="240" w:lineRule="auto"/>
              <w:jc w:val="center"/>
            </w:pPr>
            <w:r>
              <w:rPr>
                <w:rFonts w:ascii="Calibri" w:hAnsi="Calibri"/>
                <w:b w:val="0"/>
                <w:sz w:val="18"/>
              </w:rPr>
              <w:t>docs/evidence/api-load-2026-10-13-refinement-shedding.json</w:t>
            </w:r>
          </w:p>
        </w:tc>
        <w:tc>
          <w:tcPr>
            <w:tcW w:type="dxa" w:w="2592"/>
            <w:vAlign w:val="center"/>
            <w:shd w:fill="FFFFFF"/>
            <w:tcMar>
              <w:top w:w="65" w:type="dxa"/>
              <w:left w:w="65" w:type="dxa"/>
              <w:bottom w:w="65" w:type="dxa"/>
              <w:right w:w="65" w:type="dxa"/>
            </w:tcMar>
          </w:tcPr>
          <w:p>
            <w:pPr>
              <w:spacing w:after="40" w:before="40" w:line="240" w:lineRule="auto"/>
              <w:jc w:val="center"/>
            </w:pPr>
            <w:r>
              <w:rPr>
                <w:rFonts w:ascii="Calibri" w:hAnsi="Calibri"/>
                <w:b w:val="0"/>
                <w:sz w:val="18"/>
              </w:rPr>
              <w:t>Optional refinement shed while bookings wait</w:t>
            </w:r>
          </w:p>
        </w:tc>
      </w:tr>
      <w:tr>
        <w:trPr>
          <w:cantSplit/>
        </w:trPr>
        <w:tc>
          <w:tcPr>
            <w:tcW w:type="dxa" w:w="1152"/>
            <w:vAlign w:val="center"/>
            <w:shd w:fill="F4F6F8"/>
            <w:tcMar>
              <w:top w:w="65" w:type="dxa"/>
              <w:left w:w="65" w:type="dxa"/>
              <w:bottom w:w="65" w:type="dxa"/>
              <w:right w:w="65" w:type="dxa"/>
            </w:tcMar>
          </w:tcPr>
          <w:p>
            <w:pPr>
              <w:spacing w:after="40" w:before="40" w:line="240" w:lineRule="auto"/>
            </w:pPr>
            <w:r>
              <w:rPr>
                <w:rFonts w:ascii="Calibri" w:hAnsi="Calibri"/>
                <w:b w:val="0"/>
                <w:sz w:val="18"/>
              </w:rPr>
              <w:t>2026-10-13</w:t>
            </w:r>
          </w:p>
        </w:tc>
        <w:tc>
          <w:tcPr>
            <w:tcW w:type="dxa" w:w="2304"/>
            <w:vAlign w:val="center"/>
            <w:shd w:fill="F4F6F8"/>
            <w:tcMar>
              <w:top w:w="65" w:type="dxa"/>
              <w:left w:w="65" w:type="dxa"/>
              <w:bottom w:w="65" w:type="dxa"/>
              <w:right w:w="65" w:type="dxa"/>
            </w:tcMar>
          </w:tcPr>
          <w:p>
            <w:pPr>
              <w:spacing w:after="40" w:before="40" w:line="240" w:lineRule="auto"/>
              <w:jc w:val="center"/>
            </w:pPr>
            <w:r>
              <w:rPr>
                <w:rFonts w:ascii="Calibri" w:hAnsi="Calibri"/>
                <w:b w:val="0"/>
                <w:sz w:val="18"/>
              </w:rPr>
              <w:t>Load study #157</w:t>
            </w:r>
          </w:p>
        </w:tc>
        <w:tc>
          <w:tcPr>
            <w:tcW w:type="dxa" w:w="3888"/>
            <w:vAlign w:val="center"/>
            <w:shd w:fill="F4F6F8"/>
            <w:tcMar>
              <w:top w:w="65" w:type="dxa"/>
              <w:left w:w="65" w:type="dxa"/>
              <w:bottom w:w="65" w:type="dxa"/>
              <w:right w:w="65" w:type="dxa"/>
            </w:tcMar>
          </w:tcPr>
          <w:p>
            <w:pPr>
              <w:spacing w:after="40" w:before="40" w:line="240" w:lineRule="auto"/>
              <w:jc w:val="center"/>
            </w:pPr>
            <w:r>
              <w:rPr>
                <w:rFonts w:ascii="Calibri" w:hAnsi="Calibri"/>
                <w:b w:val="0"/>
                <w:sz w:val="18"/>
              </w:rPr>
              <w:t>docs/evidence/api-load-2026-10-13-daily-queue.json</w:t>
            </w:r>
          </w:p>
        </w:tc>
        <w:tc>
          <w:tcPr>
            <w:tcW w:type="dxa" w:w="2592"/>
            <w:vAlign w:val="center"/>
            <w:shd w:fill="F4F6F8"/>
            <w:tcMar>
              <w:top w:w="65" w:type="dxa"/>
              <w:left w:w="65" w:type="dxa"/>
              <w:bottom w:w="65" w:type="dxa"/>
              <w:right w:w="65" w:type="dxa"/>
            </w:tcMar>
          </w:tcPr>
          <w:p>
            <w:pPr>
              <w:spacing w:after="40" w:before="40" w:line="240" w:lineRule="auto"/>
              <w:jc w:val="center"/>
            </w:pPr>
            <w:r>
              <w:rPr>
                <w:rFonts w:ascii="Calibri" w:hAnsi="Calibri"/>
                <w:b w:val="0"/>
                <w:sz w:val="18"/>
              </w:rPr>
              <w:t>Queued proposals with per-client fair turns (L4)</w:t>
            </w:r>
          </w:p>
        </w:tc>
      </w:tr>
      <w:tr>
        <w:trPr>
          <w:cantSplit/>
        </w:trPr>
        <w:tc>
          <w:tcPr>
            <w:tcW w:type="dxa" w:w="1152"/>
            <w:vAlign w:val="center"/>
            <w:shd w:fill="FFFFFF"/>
            <w:tcMar>
              <w:top w:w="65" w:type="dxa"/>
              <w:left w:w="65" w:type="dxa"/>
              <w:bottom w:w="65" w:type="dxa"/>
              <w:right w:w="65" w:type="dxa"/>
            </w:tcMar>
          </w:tcPr>
          <w:p>
            <w:pPr>
              <w:spacing w:after="40" w:before="40" w:line="240" w:lineRule="auto"/>
            </w:pPr>
            <w:r>
              <w:rPr>
                <w:rFonts w:ascii="Calibri" w:hAnsi="Calibri"/>
                <w:b w:val="0"/>
                <w:sz w:val="18"/>
              </w:rPr>
              <w:t>2026-10-14</w:t>
            </w:r>
          </w:p>
        </w:tc>
        <w:tc>
          <w:tcPr>
            <w:tcW w:type="dxa" w:w="2304"/>
            <w:vAlign w:val="center"/>
            <w:shd w:fill="FFFFFF"/>
            <w:tcMar>
              <w:top w:w="65" w:type="dxa"/>
              <w:left w:w="65" w:type="dxa"/>
              <w:bottom w:w="65" w:type="dxa"/>
              <w:right w:w="65" w:type="dxa"/>
            </w:tcMar>
          </w:tcPr>
          <w:p>
            <w:pPr>
              <w:spacing w:after="40" w:before="40" w:line="240" w:lineRule="auto"/>
              <w:jc w:val="center"/>
            </w:pPr>
            <w:r>
              <w:rPr>
                <w:rFonts w:ascii="Calibri" w:hAnsi="Calibri"/>
                <w:b w:val="0"/>
                <w:sz w:val="18"/>
              </w:rPr>
              <w:t>Load study #158</w:t>
            </w:r>
          </w:p>
        </w:tc>
        <w:tc>
          <w:tcPr>
            <w:tcW w:type="dxa" w:w="3888"/>
            <w:vAlign w:val="center"/>
            <w:shd w:fill="FFFFFF"/>
            <w:tcMar>
              <w:top w:w="65" w:type="dxa"/>
              <w:left w:w="65" w:type="dxa"/>
              <w:bottom w:w="65" w:type="dxa"/>
              <w:right w:w="65" w:type="dxa"/>
            </w:tcMar>
          </w:tcPr>
          <w:p>
            <w:pPr>
              <w:spacing w:after="40" w:before="40" w:line="240" w:lineRule="auto"/>
              <w:jc w:val="center"/>
            </w:pPr>
            <w:r>
              <w:rPr>
                <w:rFonts w:ascii="Calibri" w:hAnsi="Calibri"/>
                <w:b w:val="0"/>
                <w:sz w:val="18"/>
              </w:rPr>
              <w:t>docs/evidence/api-load-2026-10-14-replica-roles.json</w:t>
            </w:r>
          </w:p>
        </w:tc>
        <w:tc>
          <w:tcPr>
            <w:tcW w:type="dxa" w:w="2592"/>
            <w:vAlign w:val="center"/>
            <w:shd w:fill="FFFFFF"/>
            <w:tcMar>
              <w:top w:w="65" w:type="dxa"/>
              <w:left w:w="65" w:type="dxa"/>
              <w:bottom w:w="65" w:type="dxa"/>
              <w:right w:w="65" w:type="dxa"/>
            </w:tcMar>
          </w:tcPr>
          <w:p>
            <w:pPr>
              <w:spacing w:after="40" w:before="40" w:line="240" w:lineRule="auto"/>
              <w:jc w:val="center"/>
            </w:pPr>
            <w:r>
              <w:rPr>
                <w:rFonts w:ascii="Calibri" w:hAnsi="Calibri"/>
                <w:b w:val="0"/>
                <w:sz w:val="18"/>
              </w:rPr>
              <w:t>Booking and daily replica pools (L5)</w:t>
            </w:r>
          </w:p>
        </w:tc>
      </w:tr>
      <w:tr>
        <w:trPr>
          <w:cantSplit/>
        </w:trPr>
        <w:tc>
          <w:tcPr>
            <w:tcW w:type="dxa" w:w="1152"/>
            <w:vAlign w:val="center"/>
            <w:shd w:fill="F4F6F8"/>
            <w:tcMar>
              <w:top w:w="65" w:type="dxa"/>
              <w:left w:w="65" w:type="dxa"/>
              <w:bottom w:w="65" w:type="dxa"/>
              <w:right w:w="65" w:type="dxa"/>
            </w:tcMar>
          </w:tcPr>
          <w:p>
            <w:pPr>
              <w:spacing w:after="40" w:before="40" w:line="240" w:lineRule="auto"/>
            </w:pPr>
            <w:r>
              <w:rPr>
                <w:rFonts w:ascii="Calibri" w:hAnsi="Calibri"/>
                <w:b w:val="0"/>
                <w:sz w:val="18"/>
              </w:rPr>
              <w:t>2026-10-14</w:t>
            </w:r>
          </w:p>
        </w:tc>
        <w:tc>
          <w:tcPr>
            <w:tcW w:type="dxa" w:w="2304"/>
            <w:vAlign w:val="center"/>
            <w:shd w:fill="F4F6F8"/>
            <w:tcMar>
              <w:top w:w="65" w:type="dxa"/>
              <w:left w:w="65" w:type="dxa"/>
              <w:bottom w:w="65" w:type="dxa"/>
              <w:right w:w="65" w:type="dxa"/>
            </w:tcMar>
          </w:tcPr>
          <w:p>
            <w:pPr>
              <w:spacing w:after="40" w:before="40" w:line="240" w:lineRule="auto"/>
              <w:jc w:val="center"/>
            </w:pPr>
            <w:r>
              <w:rPr>
                <w:rFonts w:ascii="Calibri" w:hAnsi="Calibri"/>
                <w:b w:val="0"/>
                <w:sz w:val="18"/>
              </w:rPr>
              <w:t>Load study #159</w:t>
            </w:r>
          </w:p>
        </w:tc>
        <w:tc>
          <w:tcPr>
            <w:tcW w:type="dxa" w:w="3888"/>
            <w:vAlign w:val="center"/>
            <w:shd w:fill="F4F6F8"/>
            <w:tcMar>
              <w:top w:w="65" w:type="dxa"/>
              <w:left w:w="65" w:type="dxa"/>
              <w:bottom w:w="65" w:type="dxa"/>
              <w:right w:w="65" w:type="dxa"/>
            </w:tcMar>
          </w:tcPr>
          <w:p>
            <w:pPr>
              <w:spacing w:after="40" w:before="40" w:line="240" w:lineRule="auto"/>
              <w:jc w:val="center"/>
            </w:pPr>
            <w:r>
              <w:rPr>
                <w:rFonts w:ascii="Calibri" w:hAnsi="Calibri"/>
                <w:b w:val="0"/>
                <w:sz w:val="18"/>
              </w:rPr>
              <w:t>docs/evidence/api-load-2026-10-14-vm-baseline.json</w:t>
            </w:r>
          </w:p>
        </w:tc>
        <w:tc>
          <w:tcPr>
            <w:tcW w:type="dxa" w:w="2592"/>
            <w:vAlign w:val="center"/>
            <w:shd w:fill="F4F6F8"/>
            <w:tcMar>
              <w:top w:w="65" w:type="dxa"/>
              <w:left w:w="65" w:type="dxa"/>
              <w:bottom w:w="65" w:type="dxa"/>
              <w:right w:w="65" w:type="dxa"/>
            </w:tcMar>
          </w:tcPr>
          <w:p>
            <w:pPr>
              <w:spacing w:after="40" w:before="40" w:line="240" w:lineRule="auto"/>
              <w:jc w:val="center"/>
            </w:pPr>
            <w:r>
              <w:rPr>
                <w:rFonts w:ascii="Calibri" w:hAnsi="Calibri"/>
                <w:b w:val="0"/>
                <w:sz w:val="18"/>
              </w:rPr>
              <w:t>VM-shaped baseline with the time attributed (J0)</w:t>
            </w:r>
          </w:p>
        </w:tc>
      </w:tr>
      <w:tr>
        <w:trPr>
          <w:cantSplit/>
        </w:trPr>
        <w:tc>
          <w:tcPr>
            <w:tcW w:type="dxa" w:w="1152"/>
            <w:vAlign w:val="center"/>
            <w:shd w:fill="FFFFFF"/>
            <w:tcMar>
              <w:top w:w="65" w:type="dxa"/>
              <w:left w:w="65" w:type="dxa"/>
              <w:bottom w:w="65" w:type="dxa"/>
              <w:right w:w="65" w:type="dxa"/>
            </w:tcMar>
          </w:tcPr>
          <w:p>
            <w:pPr>
              <w:spacing w:after="40" w:before="40" w:line="240" w:lineRule="auto"/>
            </w:pPr>
            <w:r>
              <w:rPr>
                <w:rFonts w:ascii="Calibri" w:hAnsi="Calibri"/>
                <w:b w:val="0"/>
                <w:sz w:val="18"/>
              </w:rPr>
              <w:t>2026-10-14</w:t>
            </w:r>
          </w:p>
        </w:tc>
        <w:tc>
          <w:tcPr>
            <w:tcW w:type="dxa" w:w="2304"/>
            <w:vAlign w:val="center"/>
            <w:shd w:fill="FFFFFF"/>
            <w:tcMar>
              <w:top w:w="65" w:type="dxa"/>
              <w:left w:w="65" w:type="dxa"/>
              <w:bottom w:w="65" w:type="dxa"/>
              <w:right w:w="65" w:type="dxa"/>
            </w:tcMar>
          </w:tcPr>
          <w:p>
            <w:pPr>
              <w:spacing w:after="40" w:before="40" w:line="240" w:lineRule="auto"/>
              <w:jc w:val="center"/>
            </w:pPr>
            <w:r>
              <w:rPr>
                <w:rFonts w:ascii="Calibri" w:hAnsi="Calibri"/>
                <w:b w:val="0"/>
                <w:sz w:val="18"/>
              </w:rPr>
              <w:t>Load study #160</w:t>
            </w:r>
          </w:p>
        </w:tc>
        <w:tc>
          <w:tcPr>
            <w:tcW w:type="dxa" w:w="3888"/>
            <w:vAlign w:val="center"/>
            <w:shd w:fill="FFFFFF"/>
            <w:tcMar>
              <w:top w:w="65" w:type="dxa"/>
              <w:left w:w="65" w:type="dxa"/>
              <w:bottom w:w="65" w:type="dxa"/>
              <w:right w:w="65" w:type="dxa"/>
            </w:tcMar>
          </w:tcPr>
          <w:p>
            <w:pPr>
              <w:spacing w:after="40" w:before="40" w:line="240" w:lineRule="auto"/>
              <w:jc w:val="center"/>
            </w:pPr>
            <w:r>
              <w:rPr>
                <w:rFonts w:ascii="Calibri" w:hAnsi="Calibri"/>
                <w:b w:val="0"/>
                <w:sz w:val="18"/>
              </w:rPr>
              <w:t>docs/evidence/api-load-2026-10-14-routing.json</w:t>
            </w:r>
          </w:p>
        </w:tc>
        <w:tc>
          <w:tcPr>
            <w:tcW w:type="dxa" w:w="2592"/>
            <w:vAlign w:val="center"/>
            <w:shd w:fill="FFFFFF"/>
            <w:tcMar>
              <w:top w:w="65" w:type="dxa"/>
              <w:left w:w="65" w:type="dxa"/>
              <w:bottom w:w="65" w:type="dxa"/>
              <w:right w:w="65" w:type="dxa"/>
            </w:tcMar>
          </w:tcPr>
          <w:p>
            <w:pPr>
              <w:spacing w:after="40" w:before="40" w:line="240" w:lineRule="auto"/>
              <w:jc w:val="center"/>
            </w:pPr>
            <w:r>
              <w:rPr>
                <w:rFonts w:ascii="Calibri" w:hAnsi="Calibri"/>
                <w:b w:val="0"/>
                <w:sz w:val="18"/>
              </w:rPr>
              <w:t>CH graph, parallel pairs, identity cache (J)</w:t>
            </w:r>
          </w:p>
        </w:tc>
      </w:tr>
      <w:tr>
        <w:trPr>
          <w:cantSplit/>
        </w:trPr>
        <w:tc>
          <w:tcPr>
            <w:tcW w:type="dxa" w:w="1152"/>
            <w:vAlign w:val="center"/>
            <w:shd w:fill="F4F6F8"/>
            <w:tcMar>
              <w:top w:w="65" w:type="dxa"/>
              <w:left w:w="65" w:type="dxa"/>
              <w:bottom w:w="65" w:type="dxa"/>
              <w:right w:w="65" w:type="dxa"/>
            </w:tcMar>
          </w:tcPr>
          <w:p>
            <w:pPr>
              <w:spacing w:after="40" w:before="40" w:line="240" w:lineRule="auto"/>
            </w:pPr>
            <w:r>
              <w:rPr>
                <w:rFonts w:ascii="Calibri" w:hAnsi="Calibri"/>
                <w:b w:val="0"/>
                <w:sz w:val="18"/>
              </w:rPr>
              <w:t>2026-10-14</w:t>
            </w:r>
          </w:p>
        </w:tc>
        <w:tc>
          <w:tcPr>
            <w:tcW w:type="dxa" w:w="2304"/>
            <w:vAlign w:val="center"/>
            <w:shd w:fill="F4F6F8"/>
            <w:tcMar>
              <w:top w:w="65" w:type="dxa"/>
              <w:left w:w="65" w:type="dxa"/>
              <w:bottom w:w="65" w:type="dxa"/>
              <w:right w:w="65" w:type="dxa"/>
            </w:tcMar>
          </w:tcPr>
          <w:p>
            <w:pPr>
              <w:spacing w:after="40" w:before="40" w:line="240" w:lineRule="auto"/>
              <w:jc w:val="center"/>
            </w:pPr>
            <w:r>
              <w:rPr>
                <w:rFonts w:ascii="Calibri" w:hAnsi="Calibri"/>
                <w:b w:val="0"/>
                <w:sz w:val="18"/>
              </w:rPr>
              <w:t>Load study #162</w:t>
            </w:r>
          </w:p>
        </w:tc>
        <w:tc>
          <w:tcPr>
            <w:tcW w:type="dxa" w:w="3888"/>
            <w:vAlign w:val="center"/>
            <w:shd w:fill="F4F6F8"/>
            <w:tcMar>
              <w:top w:w="65" w:type="dxa"/>
              <w:left w:w="65" w:type="dxa"/>
              <w:bottom w:w="65" w:type="dxa"/>
              <w:right w:w="65" w:type="dxa"/>
            </w:tcMar>
          </w:tcPr>
          <w:p>
            <w:pPr>
              <w:spacing w:after="40" w:before="40" w:line="240" w:lineRule="auto"/>
              <w:jc w:val="center"/>
            </w:pPr>
            <w:r>
              <w:rPr>
                <w:rFonts w:ascii="Calibri" w:hAnsi="Calibri"/>
                <w:b w:val="0"/>
                <w:sz w:val="18"/>
              </w:rPr>
              <w:t>docs/evidence/api-load-2026-10-14-confirm-priority-and-jvm.json</w:t>
            </w:r>
          </w:p>
        </w:tc>
        <w:tc>
          <w:tcPr>
            <w:tcW w:type="dxa" w:w="2592"/>
            <w:vAlign w:val="center"/>
            <w:shd w:fill="F4F6F8"/>
            <w:tcMar>
              <w:top w:w="65" w:type="dxa"/>
              <w:left w:w="65" w:type="dxa"/>
              <w:bottom w:w="65" w:type="dxa"/>
              <w:right w:w="65" w:type="dxa"/>
            </w:tcMar>
          </w:tcPr>
          <w:p>
            <w:pPr>
              <w:spacing w:after="40" w:before="40" w:line="240" w:lineRule="auto"/>
              <w:jc w:val="center"/>
            </w:pPr>
            <w:r>
              <w:rPr>
                <w:rFonts w:ascii="Calibri" w:hAnsi="Calibri"/>
                <w:b w:val="0"/>
                <w:sz w:val="18"/>
              </w:rPr>
              <w:t>Confirm priority, a confirm-only slot, JVM flags (J2)</w:t>
            </w:r>
          </w:p>
        </w:tc>
      </w:tr>
      <w:tr>
        <w:trPr>
          <w:cantSplit/>
        </w:trPr>
        <w:tc>
          <w:tcPr>
            <w:tcW w:type="dxa" w:w="1152"/>
            <w:vAlign w:val="center"/>
            <w:shd w:fill="FFFFFF"/>
            <w:tcMar>
              <w:top w:w="65" w:type="dxa"/>
              <w:left w:w="65" w:type="dxa"/>
              <w:bottom w:w="65" w:type="dxa"/>
              <w:right w:w="65" w:type="dxa"/>
            </w:tcMar>
          </w:tcPr>
          <w:p>
            <w:pPr>
              <w:spacing w:after="40" w:before="40" w:line="240" w:lineRule="auto"/>
            </w:pPr>
            <w:r>
              <w:rPr>
                <w:rFonts w:ascii="Calibri" w:hAnsi="Calibri"/>
                <w:b w:val="0"/>
                <w:sz w:val="18"/>
              </w:rPr>
              <w:t>2026-10-14</w:t>
            </w:r>
          </w:p>
        </w:tc>
        <w:tc>
          <w:tcPr>
            <w:tcW w:type="dxa" w:w="2304"/>
            <w:vAlign w:val="center"/>
            <w:shd w:fill="FFFFFF"/>
            <w:tcMar>
              <w:top w:w="65" w:type="dxa"/>
              <w:left w:w="65" w:type="dxa"/>
              <w:bottom w:w="65" w:type="dxa"/>
              <w:right w:w="65" w:type="dxa"/>
            </w:tcMar>
          </w:tcPr>
          <w:p>
            <w:pPr>
              <w:spacing w:after="40" w:before="40" w:line="240" w:lineRule="auto"/>
              <w:jc w:val="center"/>
            </w:pPr>
            <w:r>
              <w:rPr>
                <w:rFonts w:ascii="Calibri" w:hAnsi="Calibri"/>
                <w:b w:val="0"/>
                <w:sz w:val="18"/>
              </w:rPr>
              <w:t>Solver profiling (#163)</w:t>
            </w:r>
          </w:p>
        </w:tc>
        <w:tc>
          <w:tcPr>
            <w:tcW w:type="dxa" w:w="3888"/>
            <w:vAlign w:val="center"/>
            <w:shd w:fill="FFFFFF"/>
            <w:tcMar>
              <w:top w:w="65" w:type="dxa"/>
              <w:left w:w="65" w:type="dxa"/>
              <w:bottom w:w="65" w:type="dxa"/>
              <w:right w:w="65" w:type="dxa"/>
            </w:tcMar>
          </w:tcPr>
          <w:p>
            <w:pPr>
              <w:spacing w:after="40" w:before="40" w:line="240" w:lineRule="auto"/>
              <w:jc w:val="center"/>
            </w:pPr>
            <w:r>
              <w:rPr>
                <w:rFonts w:ascii="Calibri" w:hAnsi="Calibri"/>
                <w:b w:val="0"/>
                <w:sz w:val="18"/>
              </w:rPr>
              <w:t>docs/evidence/solver-profiling-2026-10-14.json</w:t>
            </w:r>
          </w:p>
        </w:tc>
        <w:tc>
          <w:tcPr>
            <w:tcW w:type="dxa" w:w="2592"/>
            <w:vAlign w:val="center"/>
            <w:shd w:fill="FFFFFF"/>
            <w:tcMar>
              <w:top w:w="65" w:type="dxa"/>
              <w:left w:w="65" w:type="dxa"/>
              <w:bottom w:w="65" w:type="dxa"/>
              <w:right w:w="65" w:type="dxa"/>
            </w:tcMar>
          </w:tcPr>
          <w:p>
            <w:pPr>
              <w:spacing w:after="40" w:before="40" w:line="240" w:lineRule="auto"/>
              <w:jc w:val="center"/>
            </w:pPr>
            <w:r>
              <w:rPr>
                <w:rFonts w:ascii="Calibri" w:hAnsi="Calibri"/>
                <w:b w:val="0"/>
                <w:sz w:val="18"/>
              </w:rPr>
              <w:t>Two solve-scoped JFR profiles; 24 paired cases</w:t>
            </w:r>
          </w:p>
        </w:tc>
      </w:tr>
      <w:tr>
        <w:trPr>
          <w:cantSplit/>
        </w:trPr>
        <w:tc>
          <w:tcPr>
            <w:tcW w:type="dxa" w:w="1152"/>
            <w:vAlign w:val="center"/>
            <w:shd w:fill="F4F6F8"/>
            <w:tcMar>
              <w:top w:w="65" w:type="dxa"/>
              <w:left w:w="65" w:type="dxa"/>
              <w:bottom w:w="65" w:type="dxa"/>
              <w:right w:w="65" w:type="dxa"/>
            </w:tcMar>
          </w:tcPr>
          <w:p>
            <w:pPr>
              <w:spacing w:after="40" w:before="40" w:line="240" w:lineRule="auto"/>
            </w:pPr>
            <w:r>
              <w:rPr>
                <w:rFonts w:ascii="Calibri" w:hAnsi="Calibri"/>
                <w:b w:val="0"/>
                <w:sz w:val="18"/>
              </w:rPr>
              <w:t>2026-10-14</w:t>
            </w:r>
          </w:p>
        </w:tc>
        <w:tc>
          <w:tcPr>
            <w:tcW w:type="dxa" w:w="2304"/>
            <w:vAlign w:val="center"/>
            <w:shd w:fill="F4F6F8"/>
            <w:tcMar>
              <w:top w:w="65" w:type="dxa"/>
              <w:left w:w="65" w:type="dxa"/>
              <w:bottom w:w="65" w:type="dxa"/>
              <w:right w:w="65" w:type="dxa"/>
            </w:tcMar>
          </w:tcPr>
          <w:p>
            <w:pPr>
              <w:spacing w:after="40" w:before="40" w:line="240" w:lineRule="auto"/>
              <w:jc w:val="center"/>
            </w:pPr>
            <w:r>
              <w:rPr>
                <w:rFonts w:ascii="Calibri" w:hAnsi="Calibri"/>
                <w:b w:val="0"/>
                <w:sz w:val="18"/>
              </w:rPr>
              <w:t>Flexible against CH, routing alone</w:t>
            </w:r>
          </w:p>
        </w:tc>
        <w:tc>
          <w:tcPr>
            <w:tcW w:type="dxa" w:w="3888"/>
            <w:vAlign w:val="center"/>
            <w:shd w:fill="F4F6F8"/>
            <w:tcMar>
              <w:top w:w="65" w:type="dxa"/>
              <w:left w:w="65" w:type="dxa"/>
              <w:bottom w:w="65" w:type="dxa"/>
              <w:right w:w="65" w:type="dxa"/>
            </w:tcMar>
          </w:tcPr>
          <w:p>
            <w:pPr>
              <w:spacing w:after="40" w:before="40" w:line="240" w:lineRule="auto"/>
              <w:jc w:val="center"/>
            </w:pPr>
            <w:r>
              <w:rPr>
                <w:rFonts w:ascii="Calibri" w:hAnsi="Calibri"/>
                <w:b w:val="0"/>
                <w:sz w:val="18"/>
              </w:rPr>
              <w:t>docs/evidence/routing-ch-2026-10-14.json</w:t>
            </w:r>
          </w:p>
        </w:tc>
        <w:tc>
          <w:tcPr>
            <w:tcW w:type="dxa" w:w="2592"/>
            <w:vAlign w:val="center"/>
            <w:shd w:fill="F4F6F8"/>
            <w:tcMar>
              <w:top w:w="65" w:type="dxa"/>
              <w:left w:w="65" w:type="dxa"/>
              <w:bottom w:w="65" w:type="dxa"/>
              <w:right w:w="65" w:type="dxa"/>
            </w:tcMar>
          </w:tcPr>
          <w:p>
            <w:pPr>
              <w:spacing w:after="40" w:before="40" w:line="240" w:lineRule="auto"/>
              <w:jc w:val="center"/>
            </w:pPr>
            <w:r>
              <w:rPr>
                <w:rFonts w:ascii="Calibri" w:hAnsi="Calibri"/>
                <w:b w:val="0"/>
                <w:sz w:val="18"/>
              </w:rPr>
              <w:t>132 pairs, map 2026-10-13, parallel pairs</w:t>
            </w:r>
          </w:p>
        </w:tc>
      </w:tr>
    </w:tbl>
    <w:p>
      <w:pPr>
        <w:widowControl/>
        <w:spacing w:after="0" w:line="60" w:lineRule="exact"/>
      </w:pPr>
    </w:p>
    <w:p>
      <w:pPr>
        <w:widowControl/>
      </w:pPr>
      <w:r>
        <w:t>Every load run used the load tool infra/host-conformance/load.ts on one 24-processor workstation (AMD Ryzen 9 7900X, 63 GiB) running the scheduler, the Omaha routing service, Postgres and the load generator; the solver studies ran on the same machine with the experiment runtime's daily flags. Studies #151 to #157 ran the scheduler jar alone; #158 to #162 ran the deploy/vm rehearsal stack with its CPU limits beside five queued daily planners, and the two halves are never read as one series.</w:t>
      </w:r>
    </w:p>
    <w:p>
      <w:pPr>
        <w:widowControl/>
      </w:pPr>
      <w:r>
        <w:t>The design, its decisions and its open questions are in docs/stateless-api-design.md; the contract is docs/api/openapi-v1.yaml with docs/integration-guide.md; deployment and settings are in docs/operations-runbook.md; and the load studies' narrative is docs/api-load.md. Reproduce this document with docs/scheduler-explained-2026-10-14/requirements.txt, then run report_data.py, build_report.py and verify_report.py there. The builder reads every source, regenerates all figures and chart_data.json, and writes this editable Word file; EVIDENCE.md records methods and limits.</w:t>
      </w:r>
    </w:p>
    <w:p>
      <w:pPr>
        <w:pStyle w:val="Heading1"/>
        <w:keepNext/>
        <w:pageBreakBefore/>
        <w:widowControl/>
      </w:pPr>
      <w:r>
        <w:t>Appendix B  Definitions and measures</w:t>
      </w:r>
    </w:p>
    <w:p>
      <w:pPr>
        <w:pStyle w:val="Heading3"/>
        <w:keepNext/>
        <w:widowControl/>
      </w:pPr>
      <w:r>
        <w:t>Terms</w:t>
      </w:r>
    </w:p>
    <w:tbl>
      <w:tblPr>
        <w:tblW w:type="auto" w:w="0"/>
        <w:jc w:val="center"/>
        <w:tblLayout w:type="fixed"/>
        <w:tblLook w:firstColumn="1" w:firstRow="1" w:lastColumn="0" w:lastRow="0" w:noHBand="0" w:noVBand="1" w:val="04A0"/>
        <w:tblBorders>
          <w:top w:val="single" w:sz="4" w:color="D9D9D9"/>
          <w:left w:val="single" w:sz="4" w:color="D9D9D9"/>
          <w:bottom w:val="single" w:sz="4" w:color="D9D9D9"/>
          <w:right w:val="single" w:sz="4" w:color="D9D9D9"/>
          <w:insideH w:val="single" w:sz="4" w:color="D9D9D9"/>
          <w:insideV w:val="single" w:sz="4" w:color="D9D9D9"/>
        </w:tblBorders>
      </w:tblPr>
      <w:tblGrid>
        <w:gridCol w:w="2160"/>
        <w:gridCol w:w="7776"/>
      </w:tblGrid>
      <w:tr>
        <w:trPr>
          <w:cantSplit/>
          <w:tblHeader/>
        </w:trPr>
        <w:tc>
          <w:tcPr>
            <w:tcW w:type="dxa" w:w="2160"/>
            <w:vAlign w:val="center"/>
            <w:shd w:fill="DCE6EF"/>
            <w:tcMar>
              <w:top w:w="65" w:type="dxa"/>
              <w:left w:w="65" w:type="dxa"/>
              <w:bottom w:w="65" w:type="dxa"/>
              <w:right w:w="65" w:type="dxa"/>
            </w:tcMar>
          </w:tcPr>
          <w:p>
            <w:pPr>
              <w:spacing w:after="40" w:before="40" w:line="240" w:lineRule="auto"/>
            </w:pPr>
            <w:r>
              <w:rPr>
                <w:rFonts w:ascii="Calibri" w:hAnsi="Calibri"/>
                <w:b/>
                <w:sz w:val="18"/>
              </w:rPr>
              <w:t>Term</w:t>
            </w:r>
          </w:p>
        </w:tc>
        <w:tc>
          <w:tcPr>
            <w:tcW w:type="dxa" w:w="7776"/>
            <w:vAlign w:val="center"/>
            <w:shd w:fill="DCE6EF"/>
            <w:tcMar>
              <w:top w:w="65" w:type="dxa"/>
              <w:left w:w="65" w:type="dxa"/>
              <w:bottom w:w="65" w:type="dxa"/>
              <w:right w:w="65" w:type="dxa"/>
            </w:tcMar>
          </w:tcPr>
          <w:p>
            <w:pPr>
              <w:spacing w:after="40" w:before="40" w:line="240" w:lineRule="auto"/>
            </w:pPr>
            <w:r>
              <w:rPr>
                <w:rFonts w:ascii="Calibri" w:hAnsi="Calibri"/>
                <w:b/>
                <w:sz w:val="18"/>
              </w:rPr>
              <w:t>Meaning in this document</w:t>
            </w:r>
          </w:p>
        </w:tc>
      </w:tr>
      <w:tr>
        <w:trPr>
          <w:cantSplit/>
        </w:trPr>
        <w:tc>
          <w:tcPr>
            <w:tcW w:type="dxa" w:w="2160"/>
            <w:vAlign w:val="center"/>
            <w:shd w:fill="FFFFFF"/>
            <w:tcMar>
              <w:top w:w="65" w:type="dxa"/>
              <w:left w:w="65" w:type="dxa"/>
              <w:bottom w:w="65" w:type="dxa"/>
              <w:right w:w="65" w:type="dxa"/>
            </w:tcMar>
          </w:tcPr>
          <w:p>
            <w:pPr>
              <w:spacing w:after="40" w:before="40" w:line="240" w:lineRule="auto"/>
            </w:pPr>
            <w:r>
              <w:rPr>
                <w:rFonts w:ascii="Calibri" w:hAnsi="Calibri"/>
                <w:b w:val="0"/>
                <w:sz w:val="18"/>
              </w:rPr>
              <w:t>Snapshot</w:t>
            </w:r>
          </w:p>
        </w:tc>
        <w:tc>
          <w:tcPr>
            <w:tcW w:type="dxa" w:w="7776"/>
            <w:vAlign w:val="center"/>
            <w:shd w:fill="FFFFFF"/>
            <w:tcMar>
              <w:top w:w="65" w:type="dxa"/>
              <w:left w:w="65" w:type="dxa"/>
              <w:bottom w:w="65" w:type="dxa"/>
              <w:right w:w="65" w:type="dxa"/>
            </w:tcMar>
          </w:tcPr>
          <w:p>
            <w:pPr>
              <w:spacing w:after="40" w:before="40" w:line="240" w:lineRule="auto"/>
            </w:pPr>
            <w:r>
              <w:rPr>
                <w:rFonts w:ascii="Calibri" w:hAnsi="Calibri"/>
                <w:b w:val="0"/>
                <w:sz w:val="18"/>
              </w:rPr>
              <w:t>The facts of one metro's technician-days a calculating call carries: rates, policy, technicians, days with lastModified, committed appointments, locations.</w:t>
            </w:r>
          </w:p>
        </w:tc>
      </w:tr>
      <w:tr>
        <w:trPr>
          <w:cantSplit/>
        </w:trPr>
        <w:tc>
          <w:tcPr>
            <w:tcW w:type="dxa" w:w="2160"/>
            <w:vAlign w:val="center"/>
            <w:shd w:fill="F4F6F8"/>
            <w:tcMar>
              <w:top w:w="65" w:type="dxa"/>
              <w:left w:w="65" w:type="dxa"/>
              <w:bottom w:w="65" w:type="dxa"/>
              <w:right w:w="65" w:type="dxa"/>
            </w:tcMar>
          </w:tcPr>
          <w:p>
            <w:pPr>
              <w:spacing w:after="40" w:before="40" w:line="240" w:lineRule="auto"/>
            </w:pPr>
            <w:r>
              <w:rPr>
                <w:rFonts w:ascii="Calibri" w:hAnsi="Calibri"/>
                <w:b w:val="0"/>
                <w:sz w:val="18"/>
              </w:rPr>
              <w:t>Thin store</w:t>
            </w:r>
          </w:p>
        </w:tc>
        <w:tc>
          <w:tcPr>
            <w:tcW w:type="dxa" w:w="7776"/>
            <w:vAlign w:val="center"/>
            <w:shd w:fill="F4F6F8"/>
            <w:tcMar>
              <w:top w:w="65" w:type="dxa"/>
              <w:left w:w="65" w:type="dxa"/>
              <w:bottom w:w="65" w:type="dxa"/>
              <w:right w:w="65" w:type="dxa"/>
            </w:tcMar>
          </w:tcPr>
          <w:p>
            <w:pPr>
              <w:spacing w:after="40" w:before="40" w:line="240" w:lineRule="auto"/>
            </w:pPr>
            <w:r>
              <w:rPr>
                <w:rFonts w:ascii="Calibri" w:hAnsi="Calibri"/>
                <w:b w:val="0"/>
                <w:sz w:val="18"/>
              </w:rPr>
              <w:t>The scheduler's own tables: holds, offer sets, proposals, receipts, request claims, tenants and tokens, the route cache; nothing the host owns.</w:t>
            </w:r>
          </w:p>
        </w:tc>
      </w:tr>
      <w:tr>
        <w:trPr>
          <w:cantSplit/>
        </w:trPr>
        <w:tc>
          <w:tcPr>
            <w:tcW w:type="dxa" w:w="2160"/>
            <w:vAlign w:val="center"/>
            <w:shd w:fill="FFFFFF"/>
            <w:tcMar>
              <w:top w:w="65" w:type="dxa"/>
              <w:left w:w="65" w:type="dxa"/>
              <w:bottom w:w="65" w:type="dxa"/>
              <w:right w:w="65" w:type="dxa"/>
            </w:tcMar>
          </w:tcPr>
          <w:p>
            <w:pPr>
              <w:spacing w:after="40" w:before="40" w:line="240" w:lineRule="auto"/>
            </w:pPr>
            <w:r>
              <w:rPr>
                <w:rFonts w:ascii="Calibri" w:hAnsi="Calibri"/>
                <w:b w:val="0"/>
                <w:sz w:val="18"/>
              </w:rPr>
              <w:t>Input revision</w:t>
            </w:r>
          </w:p>
        </w:tc>
        <w:tc>
          <w:tcPr>
            <w:tcW w:type="dxa" w:w="7776"/>
            <w:vAlign w:val="center"/>
            <w:shd w:fill="FFFFFF"/>
            <w:tcMar>
              <w:top w:w="65" w:type="dxa"/>
              <w:left w:w="65" w:type="dxa"/>
              <w:bottom w:w="65" w:type="dxa"/>
              <w:right w:w="65" w:type="dxa"/>
            </w:tcMar>
          </w:tcPr>
          <w:p>
            <w:pPr>
              <w:spacing w:after="40" w:before="40" w:line="240" w:lineRule="auto"/>
            </w:pPr>
            <w:r>
              <w:rPr>
                <w:rFonts w:ascii="Calibri" w:hAnsi="Calibri"/>
                <w:b w:val="0"/>
                <w:sz w:val="18"/>
              </w:rPr>
              <w:t>A canonical hash of a snapshot; every proposal and offer records the one it was computed from.</w:t>
            </w:r>
          </w:p>
        </w:tc>
      </w:tr>
      <w:tr>
        <w:trPr>
          <w:cantSplit/>
        </w:trPr>
        <w:tc>
          <w:tcPr>
            <w:tcW w:type="dxa" w:w="2160"/>
            <w:vAlign w:val="center"/>
            <w:shd w:fill="F4F6F8"/>
            <w:tcMar>
              <w:top w:w="65" w:type="dxa"/>
              <w:left w:w="65" w:type="dxa"/>
              <w:bottom w:w="65" w:type="dxa"/>
              <w:right w:w="65" w:type="dxa"/>
            </w:tcMar>
          </w:tcPr>
          <w:p>
            <w:pPr>
              <w:spacing w:after="40" w:before="40" w:line="240" w:lineRule="auto"/>
            </w:pPr>
            <w:r>
              <w:rPr>
                <w:rFonts w:ascii="Calibri" w:hAnsi="Calibri"/>
                <w:b w:val="0"/>
                <w:sz w:val="18"/>
              </w:rPr>
              <w:t>STALE</w:t>
            </w:r>
          </w:p>
        </w:tc>
        <w:tc>
          <w:tcPr>
            <w:tcW w:type="dxa" w:w="7776"/>
            <w:vAlign w:val="center"/>
            <w:shd w:fill="F4F6F8"/>
            <w:tcMar>
              <w:top w:w="65" w:type="dxa"/>
              <w:left w:w="65" w:type="dxa"/>
              <w:bottom w:w="65" w:type="dxa"/>
              <w:right w:w="65" w:type="dxa"/>
            </w:tcMar>
          </w:tcPr>
          <w:p>
            <w:pPr>
              <w:spacing w:after="40" w:before="40" w:line="240" w:lineRule="auto"/>
            </w:pPr>
            <w:r>
              <w:rPr>
                <w:rFonts w:ascii="Calibri" w:hAnsi="Calibri"/>
                <w:b w:val="0"/>
                <w:sz w:val="18"/>
              </w:rPr>
              <w:t>409 answer to a snapshot older than records the scheduler already used; the host rebuilds from current records and resends.</w:t>
            </w:r>
          </w:p>
        </w:tc>
      </w:tr>
      <w:tr>
        <w:trPr>
          <w:cantSplit/>
        </w:trPr>
        <w:tc>
          <w:tcPr>
            <w:tcW w:type="dxa" w:w="2160"/>
            <w:vAlign w:val="center"/>
            <w:shd w:fill="FFFFFF"/>
            <w:tcMar>
              <w:top w:w="65" w:type="dxa"/>
              <w:left w:w="65" w:type="dxa"/>
              <w:bottom w:w="65" w:type="dxa"/>
              <w:right w:w="65" w:type="dxa"/>
            </w:tcMar>
          </w:tcPr>
          <w:p>
            <w:pPr>
              <w:spacing w:after="40" w:before="40" w:line="240" w:lineRule="auto"/>
            </w:pPr>
            <w:r>
              <w:rPr>
                <w:rFonts w:ascii="Calibri" w:hAnsi="Calibri"/>
                <w:b w:val="0"/>
                <w:sz w:val="18"/>
              </w:rPr>
              <w:t>Slot</w:t>
            </w:r>
          </w:p>
        </w:tc>
        <w:tc>
          <w:tcPr>
            <w:tcW w:type="dxa" w:w="7776"/>
            <w:vAlign w:val="center"/>
            <w:shd w:fill="FFFFFF"/>
            <w:tcMar>
              <w:top w:w="65" w:type="dxa"/>
              <w:left w:w="65" w:type="dxa"/>
              <w:bottom w:w="65" w:type="dxa"/>
              <w:right w:w="65" w:type="dxa"/>
            </w:tcMar>
          </w:tcPr>
          <w:p>
            <w:pPr>
              <w:spacing w:after="40" w:before="40" w:line="240" w:lineRule="auto"/>
            </w:pPr>
            <w:r>
              <w:rPr>
                <w:rFonts w:ascii="Calibri" w:hAnsi="Calibri"/>
                <w:b w:val="0"/>
                <w:sz w:val="18"/>
              </w:rPr>
              <w:t>One of a replica's concurrent search permits (SCHEDULER_SEARCH_CAPACITY, 2 in every run here); a confirm slot is a permit only a confirm may take.</w:t>
            </w:r>
          </w:p>
        </w:tc>
      </w:tr>
      <w:tr>
        <w:trPr>
          <w:cantSplit/>
        </w:trPr>
        <w:tc>
          <w:tcPr>
            <w:tcW w:type="dxa" w:w="2160"/>
            <w:vAlign w:val="center"/>
            <w:shd w:fill="F4F6F8"/>
            <w:tcMar>
              <w:top w:w="65" w:type="dxa"/>
              <w:left w:w="65" w:type="dxa"/>
              <w:bottom w:w="65" w:type="dxa"/>
              <w:right w:w="65" w:type="dxa"/>
            </w:tcMar>
          </w:tcPr>
          <w:p>
            <w:pPr>
              <w:spacing w:after="40" w:before="40" w:line="240" w:lineRule="auto"/>
            </w:pPr>
            <w:r>
              <w:rPr>
                <w:rFonts w:ascii="Calibri" w:hAnsi="Calibri"/>
                <w:b w:val="0"/>
                <w:sz w:val="18"/>
              </w:rPr>
              <w:t>Desk, planner</w:t>
            </w:r>
          </w:p>
        </w:tc>
        <w:tc>
          <w:tcPr>
            <w:tcW w:type="dxa" w:w="7776"/>
            <w:vAlign w:val="center"/>
            <w:shd w:fill="F4F6F8"/>
            <w:tcMar>
              <w:top w:w="65" w:type="dxa"/>
              <w:left w:w="65" w:type="dxa"/>
              <w:bottom w:w="65" w:type="dxa"/>
              <w:right w:w="65" w:type="dxa"/>
            </w:tcMar>
          </w:tcPr>
          <w:p>
            <w:pPr>
              <w:spacing w:after="40" w:before="40" w:line="240" w:lineRule="auto"/>
            </w:pPr>
            <w:r>
              <w:rPr>
                <w:rFonts w:ascii="Calibri" w:hAnsi="Calibri"/>
                <w:b w:val="0"/>
                <w:sz w:val="18"/>
              </w:rPr>
              <w:t>One concurrent booking loop, or one concurrent daily loop, in the load tool.</w:t>
            </w:r>
          </w:p>
        </w:tc>
      </w:tr>
      <w:tr>
        <w:trPr>
          <w:cantSplit/>
        </w:trPr>
        <w:tc>
          <w:tcPr>
            <w:tcW w:type="dxa" w:w="2160"/>
            <w:vAlign w:val="center"/>
            <w:shd w:fill="FFFFFF"/>
            <w:tcMar>
              <w:top w:w="65" w:type="dxa"/>
              <w:left w:w="65" w:type="dxa"/>
              <w:bottom w:w="65" w:type="dxa"/>
              <w:right w:w="65" w:type="dxa"/>
            </w:tcMar>
          </w:tcPr>
          <w:p>
            <w:pPr>
              <w:spacing w:after="40" w:before="40" w:line="240" w:lineRule="auto"/>
            </w:pPr>
            <w:r>
              <w:rPr>
                <w:rFonts w:ascii="Calibri" w:hAnsi="Calibri"/>
                <w:b w:val="0"/>
                <w:sz w:val="18"/>
              </w:rPr>
              <w:t>Fresh seed</w:t>
            </w:r>
          </w:p>
        </w:tc>
        <w:tc>
          <w:tcPr>
            <w:tcW w:type="dxa" w:w="7776"/>
            <w:vAlign w:val="center"/>
            <w:shd w:fill="FFFFFF"/>
            <w:tcMar>
              <w:top w:w="65" w:type="dxa"/>
              <w:left w:w="65" w:type="dxa"/>
              <w:bottom w:w="65" w:type="dxa"/>
              <w:right w:w="65" w:type="dxa"/>
            </w:tcMar>
          </w:tcPr>
          <w:p>
            <w:pPr>
              <w:spacing w:after="40" w:before="40" w:line="240" w:lineRule="auto"/>
            </w:pPr>
            <w:r>
              <w:rPr>
                <w:rFonts w:ascii="Calibri" w:hAnsi="Calibri"/>
                <w:b w:val="0"/>
                <w:sz w:val="18"/>
              </w:rPr>
              <w:t>A load run whose random addresses no earlier run used, so its roads are not cached anywhere.</w:t>
            </w:r>
          </w:p>
        </w:tc>
      </w:tr>
      <w:tr>
        <w:trPr>
          <w:cantSplit/>
        </w:trPr>
        <w:tc>
          <w:tcPr>
            <w:tcW w:type="dxa" w:w="2160"/>
            <w:vAlign w:val="center"/>
            <w:shd w:fill="F4F6F8"/>
            <w:tcMar>
              <w:top w:w="65" w:type="dxa"/>
              <w:left w:w="65" w:type="dxa"/>
              <w:bottom w:w="65" w:type="dxa"/>
              <w:right w:w="65" w:type="dxa"/>
            </w:tcMar>
          </w:tcPr>
          <w:p>
            <w:pPr>
              <w:spacing w:after="40" w:before="40" w:line="240" w:lineRule="auto"/>
            </w:pPr>
            <w:r>
              <w:rPr>
                <w:rFonts w:ascii="Calibri" w:hAnsi="Calibri"/>
                <w:b w:val="0"/>
                <w:sz w:val="18"/>
              </w:rPr>
              <w:t>Matched case</w:t>
            </w:r>
          </w:p>
        </w:tc>
        <w:tc>
          <w:tcPr>
            <w:tcW w:type="dxa" w:w="7776"/>
            <w:vAlign w:val="center"/>
            <w:shd w:fill="F4F6F8"/>
            <w:tcMar>
              <w:top w:w="65" w:type="dxa"/>
              <w:left w:w="65" w:type="dxa"/>
              <w:bottom w:w="65" w:type="dxa"/>
              <w:right w:w="65" w:type="dxa"/>
            </w:tcMar>
          </w:tcPr>
          <w:p>
            <w:pPr>
              <w:spacing w:after="40" w:before="40" w:line="240" w:lineRule="auto"/>
            </w:pPr>
            <w:r>
              <w:rPr>
                <w:rFonts w:ascii="Calibri" w:hAnsi="Calibri"/>
                <w:b w:val="0"/>
                <w:sz w:val="18"/>
              </w:rPr>
              <w:t>The same starting day, seed and budget solved by two configurations, so the results differ only in the configuration.</w:t>
            </w:r>
          </w:p>
        </w:tc>
      </w:tr>
      <w:tr>
        <w:trPr>
          <w:cantSplit/>
        </w:trPr>
        <w:tc>
          <w:tcPr>
            <w:tcW w:type="dxa" w:w="2160"/>
            <w:vAlign w:val="center"/>
            <w:shd w:fill="FFFFFF"/>
            <w:tcMar>
              <w:top w:w="65" w:type="dxa"/>
              <w:left w:w="65" w:type="dxa"/>
              <w:bottom w:w="65" w:type="dxa"/>
              <w:right w:w="65" w:type="dxa"/>
            </w:tcMar>
          </w:tcPr>
          <w:p>
            <w:pPr>
              <w:spacing w:after="40" w:before="40" w:line="240" w:lineRule="auto"/>
            </w:pPr>
            <w:r>
              <w:rPr>
                <w:rFonts w:ascii="Calibri" w:hAnsi="Calibri"/>
                <w:b w:val="0"/>
                <w:sz w:val="18"/>
              </w:rPr>
              <w:t>Tabu search</w:t>
            </w:r>
          </w:p>
        </w:tc>
        <w:tc>
          <w:tcPr>
            <w:tcW w:type="dxa" w:w="7776"/>
            <w:vAlign w:val="center"/>
            <w:shd w:fill="FFFFFF"/>
            <w:tcMar>
              <w:top w:w="65" w:type="dxa"/>
              <w:left w:w="65" w:type="dxa"/>
              <w:bottom w:w="65" w:type="dxa"/>
              <w:right w:w="65" w:type="dxa"/>
            </w:tcMar>
          </w:tcPr>
          <w:p>
            <w:pPr>
              <w:spacing w:after="40" w:before="40" w:line="240" w:lineRule="auto"/>
            </w:pPr>
            <w:r>
              <w:rPr>
                <w:rFonts w:ascii="Calibri" w:hAnsi="Calibri"/>
                <w:b w:val="0"/>
                <w:sz w:val="18"/>
              </w:rPr>
              <w:t>A local search that keeps a short memory of recently moved entities and will not move them back at once, and that accepts the best available step even when it is worse.</w:t>
            </w:r>
          </w:p>
        </w:tc>
      </w:tr>
      <w:tr>
        <w:trPr>
          <w:cantSplit/>
        </w:trPr>
        <w:tc>
          <w:tcPr>
            <w:tcW w:type="dxa" w:w="2160"/>
            <w:vAlign w:val="center"/>
            <w:shd w:fill="F4F6F8"/>
            <w:tcMar>
              <w:top w:w="65" w:type="dxa"/>
              <w:left w:w="65" w:type="dxa"/>
              <w:bottom w:w="65" w:type="dxa"/>
              <w:right w:w="65" w:type="dxa"/>
            </w:tcMar>
          </w:tcPr>
          <w:p>
            <w:pPr>
              <w:spacing w:after="40" w:before="40" w:line="240" w:lineRule="auto"/>
            </w:pPr>
            <w:r>
              <w:rPr>
                <w:rFonts w:ascii="Calibri" w:hAnsi="Calibri"/>
                <w:b w:val="0"/>
                <w:sz w:val="18"/>
              </w:rPr>
              <w:t>K opt move</w:t>
            </w:r>
          </w:p>
        </w:tc>
        <w:tc>
          <w:tcPr>
            <w:tcW w:type="dxa" w:w="7776"/>
            <w:vAlign w:val="center"/>
            <w:shd w:fill="F4F6F8"/>
            <w:tcMar>
              <w:top w:w="65" w:type="dxa"/>
              <w:left w:w="65" w:type="dxa"/>
              <w:bottom w:w="65" w:type="dxa"/>
              <w:right w:w="65" w:type="dxa"/>
            </w:tcMar>
          </w:tcPr>
          <w:p>
            <w:pPr>
              <w:spacing w:after="40" w:before="40" w:line="240" w:lineRule="auto"/>
            </w:pPr>
            <w:r>
              <w:rPr>
                <w:rFonts w:ascii="Calibri" w:hAnsi="Calibri"/>
                <w:b w:val="0"/>
                <w:sz w:val="18"/>
              </w:rPr>
              <w:t>A move that reconnects several route links at once to explore coordinated order changes; the sublist move moves a stretch of visits together.</w:t>
            </w:r>
          </w:p>
        </w:tc>
      </w:tr>
      <w:tr>
        <w:trPr>
          <w:cantSplit/>
        </w:trPr>
        <w:tc>
          <w:tcPr>
            <w:tcW w:type="dxa" w:w="2160"/>
            <w:vAlign w:val="center"/>
            <w:shd w:fill="FFFFFF"/>
            <w:tcMar>
              <w:top w:w="65" w:type="dxa"/>
              <w:left w:w="65" w:type="dxa"/>
              <w:bottom w:w="65" w:type="dxa"/>
              <w:right w:w="65" w:type="dxa"/>
            </w:tcMar>
          </w:tcPr>
          <w:p>
            <w:pPr>
              <w:spacing w:after="40" w:before="40" w:line="240" w:lineRule="auto"/>
            </w:pPr>
            <w:r>
              <w:rPr>
                <w:rFonts w:ascii="Calibri" w:hAnsi="Calibri"/>
                <w:b w:val="0"/>
                <w:sz w:val="18"/>
              </w:rPr>
              <w:t>Late acceptance</w:t>
            </w:r>
          </w:p>
        </w:tc>
        <w:tc>
          <w:tcPr>
            <w:tcW w:type="dxa" w:w="7776"/>
            <w:vAlign w:val="center"/>
            <w:shd w:fill="FFFFFF"/>
            <w:tcMar>
              <w:top w:w="65" w:type="dxa"/>
              <w:left w:w="65" w:type="dxa"/>
              <w:bottom w:w="65" w:type="dxa"/>
              <w:right w:w="65" w:type="dxa"/>
            </w:tcMar>
          </w:tcPr>
          <w:p>
            <w:pPr>
              <w:spacing w:after="40" w:before="40" w:line="240" w:lineRule="auto"/>
            </w:pPr>
            <w:r>
              <w:rPr>
                <w:rFonts w:ascii="Calibri" w:hAnsi="Calibri"/>
                <w:b w:val="0"/>
                <w:sz w:val="18"/>
              </w:rPr>
              <w:t>A local search that accepts a move if it beats the solution from a fixed number of steps ago, even when it worsens the current one.</w:t>
            </w:r>
          </w:p>
        </w:tc>
      </w:tr>
      <w:tr>
        <w:trPr>
          <w:cantSplit/>
        </w:trPr>
        <w:tc>
          <w:tcPr>
            <w:tcW w:type="dxa" w:w="2160"/>
            <w:vAlign w:val="center"/>
            <w:shd w:fill="F4F6F8"/>
            <w:tcMar>
              <w:top w:w="65" w:type="dxa"/>
              <w:left w:w="65" w:type="dxa"/>
              <w:bottom w:w="65" w:type="dxa"/>
              <w:right w:w="65" w:type="dxa"/>
            </w:tcMar>
          </w:tcPr>
          <w:p>
            <w:pPr>
              <w:spacing w:after="40" w:before="40" w:line="240" w:lineRule="auto"/>
            </w:pPr>
            <w:r>
              <w:rPr>
                <w:rFonts w:ascii="Calibri" w:hAnsi="Calibri"/>
                <w:b w:val="0"/>
                <w:sz w:val="18"/>
              </w:rPr>
              <w:t>Insertion, bounded search</w:t>
            </w:r>
          </w:p>
        </w:tc>
        <w:tc>
          <w:tcPr>
            <w:tcW w:type="dxa" w:w="7776"/>
            <w:vAlign w:val="center"/>
            <w:shd w:fill="F4F6F8"/>
            <w:tcMar>
              <w:top w:w="65" w:type="dxa"/>
              <w:left w:w="65" w:type="dxa"/>
              <w:bottom w:w="65" w:type="dxa"/>
              <w:right w:w="65" w:type="dxa"/>
            </w:tcMar>
          </w:tcPr>
          <w:p>
            <w:pPr>
              <w:spacing w:after="40" w:before="40" w:line="240" w:lineRule="auto"/>
            </w:pPr>
            <w:r>
              <w:rPr>
                <w:rFonts w:ascii="Calibri" w:hAnsi="Calibri"/>
                <w:b w:val="0"/>
                <w:sz w:val="18"/>
              </w:rPr>
              <w:t>Insertion tries the new visit in every position without moving existing work; bounded search also tries limited rearrangements around the affected routes.</w:t>
            </w:r>
          </w:p>
        </w:tc>
      </w:tr>
      <w:tr>
        <w:trPr>
          <w:cantSplit/>
        </w:trPr>
        <w:tc>
          <w:tcPr>
            <w:tcW w:type="dxa" w:w="2160"/>
            <w:vAlign w:val="center"/>
            <w:shd w:fill="FFFFFF"/>
            <w:tcMar>
              <w:top w:w="65" w:type="dxa"/>
              <w:left w:w="65" w:type="dxa"/>
              <w:bottom w:w="65" w:type="dxa"/>
              <w:right w:w="65" w:type="dxa"/>
            </w:tcMar>
          </w:tcPr>
          <w:p>
            <w:pPr>
              <w:spacing w:after="40" w:before="40" w:line="240" w:lineRule="auto"/>
            </w:pPr>
            <w:r>
              <w:rPr>
                <w:rFonts w:ascii="Calibri" w:hAnsi="Calibri"/>
                <w:b w:val="0"/>
                <w:sz w:val="18"/>
              </w:rPr>
              <w:t>Contraction hierarchy</w:t>
            </w:r>
          </w:p>
        </w:tc>
        <w:tc>
          <w:tcPr>
            <w:tcW w:type="dxa" w:w="7776"/>
            <w:vAlign w:val="center"/>
            <w:shd w:fill="FFFFFF"/>
            <w:tcMar>
              <w:top w:w="65" w:type="dxa"/>
              <w:left w:w="65" w:type="dxa"/>
              <w:bottom w:w="65" w:type="dxa"/>
              <w:right w:w="65" w:type="dxa"/>
            </w:tcMar>
          </w:tcPr>
          <w:p>
            <w:pPr>
              <w:spacing w:after="40" w:before="40" w:line="240" w:lineRule="auto"/>
            </w:pPr>
            <w:r>
              <w:rPr>
                <w:rFonts w:ascii="Calibri" w:hAnsi="Calibri"/>
                <w:b w:val="0"/>
                <w:sz w:val="18"/>
              </w:rPr>
              <w:t>A road graph preprocessed with shortcut edges ordered by importance, so that a query touches few nodes; identical answers, less work.</w:t>
            </w:r>
          </w:p>
        </w:tc>
      </w:tr>
      <w:tr>
        <w:trPr>
          <w:cantSplit/>
        </w:trPr>
        <w:tc>
          <w:tcPr>
            <w:tcW w:type="dxa" w:w="2160"/>
            <w:vAlign w:val="center"/>
            <w:shd w:fill="F4F6F8"/>
            <w:tcMar>
              <w:top w:w="65" w:type="dxa"/>
              <w:left w:w="65" w:type="dxa"/>
              <w:bottom w:w="65" w:type="dxa"/>
              <w:right w:w="65" w:type="dxa"/>
            </w:tcMar>
          </w:tcPr>
          <w:p>
            <w:pPr>
              <w:spacing w:after="40" w:before="40" w:line="240" w:lineRule="auto"/>
            </w:pPr>
            <w:r>
              <w:rPr>
                <w:rFonts w:ascii="Calibri" w:hAnsi="Calibri"/>
                <w:b w:val="0"/>
                <w:sz w:val="18"/>
              </w:rPr>
              <w:t>Routing identity</w:t>
            </w:r>
          </w:p>
        </w:tc>
        <w:tc>
          <w:tcPr>
            <w:tcW w:type="dxa" w:w="7776"/>
            <w:vAlign w:val="center"/>
            <w:shd w:fill="F4F6F8"/>
            <w:tcMar>
              <w:top w:w="65" w:type="dxa"/>
              <w:left w:w="65" w:type="dxa"/>
              <w:bottom w:w="65" w:type="dxa"/>
              <w:right w:w="65" w:type="dxa"/>
            </w:tcMar>
          </w:tcPr>
          <w:p>
            <w:pPr>
              <w:spacing w:after="40" w:before="40" w:line="240" w:lineRule="auto"/>
            </w:pPr>
            <w:r>
              <w:rPr>
                <w:rFonts w:ascii="Calibri" w:hAnsi="Calibri"/>
                <w:b w:val="0"/>
                <w:sz w:val="18"/>
              </w:rPr>
              <w:t>A hash of the road graph and map version; every cached leg is bound to one, and a change clears the caches.</w:t>
            </w:r>
          </w:p>
        </w:tc>
      </w:tr>
      <w:tr>
        <w:trPr>
          <w:cantSplit/>
        </w:trPr>
        <w:tc>
          <w:tcPr>
            <w:tcW w:type="dxa" w:w="2160"/>
            <w:vAlign w:val="center"/>
            <w:shd w:fill="FFFFFF"/>
            <w:tcMar>
              <w:top w:w="65" w:type="dxa"/>
              <w:left w:w="65" w:type="dxa"/>
              <w:bottom w:w="65" w:type="dxa"/>
              <w:right w:w="65" w:type="dxa"/>
            </w:tcMar>
          </w:tcPr>
          <w:p>
            <w:pPr>
              <w:spacing w:after="40" w:before="40" w:line="240" w:lineRule="auto"/>
            </w:pPr>
            <w:r>
              <w:rPr>
                <w:rFonts w:ascii="Calibri" w:hAnsi="Calibri"/>
                <w:b w:val="0"/>
                <w:sz w:val="18"/>
              </w:rPr>
              <w:t>Move threads</w:t>
            </w:r>
          </w:p>
        </w:tc>
        <w:tc>
          <w:tcPr>
            <w:tcW w:type="dxa" w:w="7776"/>
            <w:vAlign w:val="center"/>
            <w:shd w:fill="FFFFFF"/>
            <w:tcMar>
              <w:top w:w="65" w:type="dxa"/>
              <w:left w:w="65" w:type="dxa"/>
              <w:bottom w:w="65" w:type="dxa"/>
              <w:right w:w="65" w:type="dxa"/>
            </w:tcMar>
          </w:tcPr>
          <w:p>
            <w:pPr>
              <w:spacing w:after="40" w:before="40" w:line="240" w:lineRule="auto"/>
            </w:pPr>
            <w:r>
              <w:rPr>
                <w:rFonts w:ascii="Calibri" w:hAnsi="Calibri"/>
                <w:b w:val="0"/>
                <w:sz w:val="18"/>
              </w:rPr>
              <w:t>Timefold's option to spread one solve's move evaluation over several threads (moveThreadCount); planned work in section 15, not used today.</w:t>
            </w:r>
          </w:p>
        </w:tc>
      </w:tr>
    </w:tbl>
    <w:p>
      <w:pPr>
        <w:widowControl/>
        <w:spacing w:after="0" w:line="60" w:lineRule="exact"/>
      </w:pPr>
    </w:p>
    <w:p>
      <w:pPr>
        <w:pStyle w:val="Heading3"/>
        <w:keepNext/>
        <w:widowControl/>
      </w:pPr>
      <w:r>
        <w:t>Measures</w:t>
      </w:r>
    </w:p>
    <w:tbl>
      <w:tblPr>
        <w:tblW w:type="auto" w:w="0"/>
        <w:jc w:val="center"/>
        <w:tblLayout w:type="fixed"/>
        <w:tblLook w:firstColumn="1" w:firstRow="1" w:lastColumn="0" w:lastRow="0" w:noHBand="0" w:noVBand="1" w:val="04A0"/>
        <w:tblBorders>
          <w:top w:val="single" w:sz="4" w:color="D9D9D9"/>
          <w:left w:val="single" w:sz="4" w:color="D9D9D9"/>
          <w:bottom w:val="single" w:sz="4" w:color="D9D9D9"/>
          <w:right w:val="single" w:sz="4" w:color="D9D9D9"/>
          <w:insideH w:val="single" w:sz="4" w:color="D9D9D9"/>
          <w:insideV w:val="single" w:sz="4" w:color="D9D9D9"/>
        </w:tblBorders>
      </w:tblPr>
      <w:tblGrid>
        <w:gridCol w:w="2232"/>
        <w:gridCol w:w="7704"/>
      </w:tblGrid>
      <w:tr>
        <w:trPr>
          <w:cantSplit/>
          <w:tblHeader/>
        </w:trPr>
        <w:tc>
          <w:tcPr>
            <w:tcW w:type="dxa" w:w="2232"/>
            <w:vAlign w:val="center"/>
            <w:shd w:fill="DCE6EF"/>
            <w:tcMar>
              <w:top w:w="65" w:type="dxa"/>
              <w:left w:w="65" w:type="dxa"/>
              <w:bottom w:w="65" w:type="dxa"/>
              <w:right w:w="65" w:type="dxa"/>
            </w:tcMar>
          </w:tcPr>
          <w:p>
            <w:pPr>
              <w:keepNext/>
              <w:spacing w:after="40" w:before="40" w:line="240" w:lineRule="auto"/>
            </w:pPr>
            <w:r>
              <w:rPr>
                <w:rFonts w:ascii="Calibri" w:hAnsi="Calibri"/>
                <w:b/>
                <w:sz w:val="18"/>
              </w:rPr>
              <w:t>Measure</w:t>
            </w:r>
          </w:p>
        </w:tc>
        <w:tc>
          <w:tcPr>
            <w:tcW w:type="dxa" w:w="7704"/>
            <w:vAlign w:val="center"/>
            <w:shd w:fill="DCE6EF"/>
            <w:tcMar>
              <w:top w:w="65" w:type="dxa"/>
              <w:left w:w="65" w:type="dxa"/>
              <w:bottom w:w="65" w:type="dxa"/>
              <w:right w:w="65" w:type="dxa"/>
            </w:tcMar>
          </w:tcPr>
          <w:p>
            <w:pPr>
              <w:keepNext/>
              <w:spacing w:after="40" w:before="40" w:line="240" w:lineRule="auto"/>
            </w:pPr>
            <w:r>
              <w:rPr>
                <w:rFonts w:ascii="Calibri" w:hAnsi="Calibri"/>
                <w:b/>
                <w:sz w:val="18"/>
              </w:rPr>
              <w:t>How to read it</w:t>
            </w:r>
          </w:p>
        </w:tc>
      </w:tr>
      <w:tr>
        <w:trPr>
          <w:cantSplit/>
        </w:trPr>
        <w:tc>
          <w:tcPr>
            <w:tcW w:type="dxa" w:w="2232"/>
            <w:vAlign w:val="center"/>
            <w:shd w:fill="FFFFFF"/>
            <w:tcMar>
              <w:top w:w="65" w:type="dxa"/>
              <w:left w:w="65" w:type="dxa"/>
              <w:bottom w:w="65" w:type="dxa"/>
              <w:right w:w="65" w:type="dxa"/>
            </w:tcMar>
          </w:tcPr>
          <w:p>
            <w:pPr>
              <w:keepNext/>
              <w:spacing w:after="40" w:before="40" w:line="240" w:lineRule="auto"/>
            </w:pPr>
            <w:r>
              <w:rPr>
                <w:rFonts w:ascii="Calibri" w:hAnsi="Calibri"/>
                <w:b w:val="0"/>
                <w:sz w:val="18"/>
              </w:rPr>
              <w:t>Saving per case</w:t>
            </w:r>
          </w:p>
        </w:tc>
        <w:tc>
          <w:tcPr>
            <w:tcW w:type="dxa" w:w="7704"/>
            <w:vAlign w:val="center"/>
            <w:shd w:fill="FFFFFF"/>
            <w:tcMar>
              <w:top w:w="65" w:type="dxa"/>
              <w:left w:w="65" w:type="dxa"/>
              <w:bottom w:w="65" w:type="dxa"/>
              <w:right w:w="65" w:type="dxa"/>
            </w:tcMar>
          </w:tcPr>
          <w:p>
            <w:pPr>
              <w:keepNext/>
              <w:spacing w:after="40" w:before="40" w:line="240" w:lineRule="auto"/>
            </w:pPr>
            <w:r>
              <w:rPr>
                <w:rFonts w:ascii="Calibri" w:hAnsi="Calibri"/>
                <w:b w:val="0"/>
                <w:sz w:val="18"/>
              </w:rPr>
              <w:t>The control's accepted cost minus the configuration's, in modeled dollars, for the same starting day; positive is cheaper than the control.</w:t>
            </w:r>
          </w:p>
        </w:tc>
      </w:tr>
      <w:tr>
        <w:trPr>
          <w:cantSplit/>
        </w:trPr>
        <w:tc>
          <w:tcPr>
            <w:tcW w:type="dxa" w:w="2232"/>
            <w:vAlign w:val="center"/>
            <w:shd w:fill="F4F6F8"/>
            <w:tcMar>
              <w:top w:w="65" w:type="dxa"/>
              <w:left w:w="65" w:type="dxa"/>
              <w:bottom w:w="65" w:type="dxa"/>
              <w:right w:w="65" w:type="dxa"/>
            </w:tcMar>
          </w:tcPr>
          <w:p>
            <w:pPr>
              <w:keepNext/>
              <w:spacing w:after="40" w:before="40" w:line="240" w:lineRule="auto"/>
            </w:pPr>
            <w:r>
              <w:rPr>
                <w:rFonts w:ascii="Calibri" w:hAnsi="Calibri"/>
                <w:b w:val="0"/>
                <w:sz w:val="18"/>
              </w:rPr>
              <w:t>Wins / ties / losses</w:t>
            </w:r>
          </w:p>
        </w:tc>
        <w:tc>
          <w:tcPr>
            <w:tcW w:type="dxa" w:w="7704"/>
            <w:vAlign w:val="center"/>
            <w:shd w:fill="F4F6F8"/>
            <w:tcMar>
              <w:top w:w="65" w:type="dxa"/>
              <w:left w:w="65" w:type="dxa"/>
              <w:bottom w:w="65" w:type="dxa"/>
              <w:right w:w="65" w:type="dxa"/>
            </w:tcMar>
          </w:tcPr>
          <w:p>
            <w:pPr>
              <w:keepNext/>
              <w:spacing w:after="40" w:before="40" w:line="240" w:lineRule="auto"/>
            </w:pPr>
            <w:r>
              <w:rPr>
                <w:rFonts w:ascii="Calibri" w:hAnsi="Calibri"/>
                <w:b w:val="0"/>
                <w:sz w:val="18"/>
              </w:rPr>
              <w:t>Matched cases where the configuration's accepted cost was lower, equal or higher than the control's, in exact cents.</w:t>
            </w:r>
          </w:p>
        </w:tc>
      </w:tr>
      <w:tr>
        <w:trPr>
          <w:cantSplit/>
        </w:trPr>
        <w:tc>
          <w:tcPr>
            <w:tcW w:type="dxa" w:w="2232"/>
            <w:vAlign w:val="center"/>
            <w:shd w:fill="FFFFFF"/>
            <w:tcMar>
              <w:top w:w="65" w:type="dxa"/>
              <w:left w:w="65" w:type="dxa"/>
              <w:bottom w:w="65" w:type="dxa"/>
              <w:right w:w="65" w:type="dxa"/>
            </w:tcMar>
          </w:tcPr>
          <w:p>
            <w:pPr>
              <w:keepNext/>
              <w:spacing w:after="40" w:before="40" w:line="240" w:lineRule="auto"/>
            </w:pPr>
            <w:r>
              <w:rPr>
                <w:rFonts w:ascii="Calibri" w:hAnsi="Calibri"/>
                <w:b w:val="0"/>
                <w:sz w:val="18"/>
              </w:rPr>
              <w:t>Fairness variance</w:t>
            </w:r>
          </w:p>
        </w:tc>
        <w:tc>
          <w:tcPr>
            <w:tcW w:type="dxa" w:w="7704"/>
            <w:vAlign w:val="center"/>
            <w:shd w:fill="FFFFFF"/>
            <w:tcMar>
              <w:top w:w="65" w:type="dxa"/>
              <w:left w:w="65" w:type="dxa"/>
              <w:bottom w:w="65" w:type="dxa"/>
              <w:right w:w="65" w:type="dxa"/>
            </w:tcMar>
          </w:tcPr>
          <w:p>
            <w:pPr>
              <w:keepNext/>
              <w:spacing w:after="40" w:before="40" w:line="240" w:lineRule="auto"/>
            </w:pPr>
            <w:r>
              <w:rPr>
                <w:rFonts w:ascii="Calibri" w:hAnsi="Calibri"/>
                <w:b w:val="0"/>
                <w:sz w:val="18"/>
              </w:rPr>
              <w:t>Capacity-weighted variance of each technician's paid time over capacity; lower is more even.</w:t>
            </w:r>
          </w:p>
        </w:tc>
      </w:tr>
      <w:tr>
        <w:trPr>
          <w:cantSplit/>
        </w:trPr>
        <w:tc>
          <w:tcPr>
            <w:tcW w:type="dxa" w:w="2232"/>
            <w:vAlign w:val="center"/>
            <w:shd w:fill="F4F6F8"/>
            <w:tcMar>
              <w:top w:w="65" w:type="dxa"/>
              <w:left w:w="65" w:type="dxa"/>
              <w:bottom w:w="65" w:type="dxa"/>
              <w:right w:w="65" w:type="dxa"/>
            </w:tcMar>
          </w:tcPr>
          <w:p>
            <w:pPr>
              <w:keepNext/>
              <w:spacing w:after="40" w:before="40" w:line="240" w:lineRule="auto"/>
            </w:pPr>
            <w:r>
              <w:rPr>
                <w:rFonts w:ascii="Calibri" w:hAnsi="Calibri"/>
                <w:b w:val="0"/>
                <w:sz w:val="18"/>
              </w:rPr>
              <w:t>Best-found point</w:t>
            </w:r>
          </w:p>
        </w:tc>
        <w:tc>
          <w:tcPr>
            <w:tcW w:type="dxa" w:w="7704"/>
            <w:vAlign w:val="center"/>
            <w:shd w:fill="F4F6F8"/>
            <w:tcMar>
              <w:top w:w="65" w:type="dxa"/>
              <w:left w:w="65" w:type="dxa"/>
              <w:bottom w:w="65" w:type="dxa"/>
              <w:right w:w="65" w:type="dxa"/>
            </w:tcMar>
          </w:tcPr>
          <w:p>
            <w:pPr>
              <w:keepNext/>
              <w:spacing w:after="40" w:before="40" w:line="240" w:lineRule="auto"/>
            </w:pPr>
            <w:r>
              <w:rPr>
                <w:rFonts w:ascii="Calibri" w:hAnsi="Calibri"/>
                <w:b w:val="0"/>
                <w:sz w:val="18"/>
              </w:rPr>
              <w:t>When in the cost phase a search found the schedule it ended with, as a share of the phase.</w:t>
            </w:r>
          </w:p>
        </w:tc>
      </w:tr>
      <w:tr>
        <w:trPr>
          <w:cantSplit/>
        </w:trPr>
        <w:tc>
          <w:tcPr>
            <w:tcW w:type="dxa" w:w="2232"/>
            <w:vAlign w:val="center"/>
            <w:shd w:fill="FFFFFF"/>
            <w:tcMar>
              <w:top w:w="65" w:type="dxa"/>
              <w:left w:w="65" w:type="dxa"/>
              <w:bottom w:w="65" w:type="dxa"/>
              <w:right w:w="65" w:type="dxa"/>
            </w:tcMar>
          </w:tcPr>
          <w:p>
            <w:pPr>
              <w:keepNext/>
              <w:spacing w:after="40" w:before="40" w:line="240" w:lineRule="auto"/>
            </w:pPr>
            <w:r>
              <w:rPr>
                <w:rFonts w:ascii="Calibri" w:hAnsi="Calibri"/>
                <w:b w:val="0"/>
                <w:sz w:val="18"/>
              </w:rPr>
              <w:t>Searches per minute</w:t>
            </w:r>
          </w:p>
        </w:tc>
        <w:tc>
          <w:tcPr>
            <w:tcW w:type="dxa" w:w="7704"/>
            <w:vAlign w:val="center"/>
            <w:shd w:fill="FFFFFF"/>
            <w:tcMar>
              <w:top w:w="65" w:type="dxa"/>
              <w:left w:w="65" w:type="dxa"/>
              <w:bottom w:w="65" w:type="dxa"/>
              <w:right w:w="65" w:type="dxa"/>
            </w:tcMar>
          </w:tcPr>
          <w:p>
            <w:pPr>
              <w:keepNext/>
              <w:spacing w:after="40" w:before="40" w:line="240" w:lineRule="auto"/>
            </w:pPr>
            <w:r>
              <w:rPr>
                <w:rFonts w:ascii="Calibri" w:hAnsi="Calibri"/>
                <w:b w:val="0"/>
                <w:sz w:val="18"/>
              </w:rPr>
              <w:t>Booking searches answered 201 in a load run, scaled to a minute; refusals and resends do not count.</w:t>
            </w:r>
          </w:p>
        </w:tc>
      </w:tr>
      <w:tr>
        <w:trPr>
          <w:cantSplit/>
        </w:trPr>
        <w:tc>
          <w:tcPr>
            <w:tcW w:type="dxa" w:w="2232"/>
            <w:vAlign w:val="center"/>
            <w:shd w:fill="F4F6F8"/>
            <w:tcMar>
              <w:top w:w="65" w:type="dxa"/>
              <w:left w:w="65" w:type="dxa"/>
              <w:bottom w:w="65" w:type="dxa"/>
              <w:right w:w="65" w:type="dxa"/>
            </w:tcMar>
          </w:tcPr>
          <w:p>
            <w:pPr>
              <w:keepNext/>
              <w:spacing w:after="40" w:before="40" w:line="240" w:lineRule="auto"/>
            </w:pPr>
            <w:r>
              <w:rPr>
                <w:rFonts w:ascii="Calibri" w:hAnsi="Calibri"/>
                <w:b w:val="0"/>
                <w:sz w:val="18"/>
              </w:rPr>
              <w:t>p50 / p95</w:t>
            </w:r>
          </w:p>
        </w:tc>
        <w:tc>
          <w:tcPr>
            <w:tcW w:type="dxa" w:w="7704"/>
            <w:vAlign w:val="center"/>
            <w:shd w:fill="F4F6F8"/>
            <w:tcMar>
              <w:top w:w="65" w:type="dxa"/>
              <w:left w:w="65" w:type="dxa"/>
              <w:bottom w:w="65" w:type="dxa"/>
              <w:right w:w="65" w:type="dxa"/>
            </w:tcMar>
          </w:tcPr>
          <w:p>
            <w:pPr>
              <w:keepNext/>
              <w:spacing w:after="40" w:before="40" w:line="240" w:lineRule="auto"/>
            </w:pPr>
            <w:r>
              <w:rPr>
                <w:rFonts w:ascii="Calibri" w:hAnsi="Calibri"/>
                <w:b w:val="0"/>
                <w:sz w:val="18"/>
              </w:rPr>
              <w:t>The latency that half, or 95 percent, of calls in a run stayed within, measured at the caller with every wait included. The booking design target is p95 within the client's 5 s deadline plus 500 ms.</w:t>
            </w:r>
          </w:p>
        </w:tc>
      </w:tr>
      <w:tr>
        <w:trPr>
          <w:cantSplit/>
        </w:trPr>
        <w:tc>
          <w:tcPr>
            <w:tcW w:type="dxa" w:w="2232"/>
            <w:vAlign w:val="center"/>
            <w:shd w:fill="FFFFFF"/>
            <w:tcMar>
              <w:top w:w="65" w:type="dxa"/>
              <w:left w:w="65" w:type="dxa"/>
              <w:bottom w:w="65" w:type="dxa"/>
              <w:right w:w="65" w:type="dxa"/>
            </w:tcMar>
          </w:tcPr>
          <w:p>
            <w:pPr>
              <w:keepNext/>
              <w:spacing w:after="40" w:before="40" w:line="240" w:lineRule="auto"/>
            </w:pPr>
            <w:r>
              <w:rPr>
                <w:rFonts w:ascii="Calibri" w:hAnsi="Calibri"/>
                <w:b w:val="0"/>
                <w:sz w:val="18"/>
              </w:rPr>
              <w:t>Holds lost</w:t>
            </w:r>
          </w:p>
        </w:tc>
        <w:tc>
          <w:tcPr>
            <w:tcW w:type="dxa" w:w="7704"/>
            <w:vAlign w:val="center"/>
            <w:shd w:fill="FFFFFF"/>
            <w:tcMar>
              <w:top w:w="65" w:type="dxa"/>
              <w:left w:w="65" w:type="dxa"/>
              <w:bottom w:w="65" w:type="dxa"/>
              <w:right w:w="65" w:type="dxa"/>
            </w:tcMar>
          </w:tcPr>
          <w:p>
            <w:pPr>
              <w:keepNext/>
              <w:spacing w:after="40" w:before="40" w:line="240" w:lineRule="auto"/>
            </w:pPr>
            <w:r>
              <w:rPr>
                <w:rFonts w:ascii="Calibri" w:hAnsi="Calibri"/>
                <w:b w:val="0"/>
                <w:sz w:val="18"/>
              </w:rPr>
              <w:t>Confirms answered 409 HOLD_UNAVAILABLE out of the holds customers selected: a customer who chose a time and could not get it.</w:t>
            </w:r>
          </w:p>
        </w:tc>
      </w:tr>
      <w:tr>
        <w:trPr>
          <w:cantSplit/>
        </w:trPr>
        <w:tc>
          <w:tcPr>
            <w:tcW w:type="dxa" w:w="2232"/>
            <w:vAlign w:val="center"/>
            <w:shd w:fill="F4F6F8"/>
            <w:tcMar>
              <w:top w:w="65" w:type="dxa"/>
              <w:left w:w="65" w:type="dxa"/>
              <w:bottom w:w="65" w:type="dxa"/>
              <w:right w:w="65" w:type="dxa"/>
            </w:tcMar>
          </w:tcPr>
          <w:p>
            <w:pPr>
              <w:spacing w:after="40" w:before="40" w:line="240" w:lineRule="auto"/>
            </w:pPr>
            <w:r>
              <w:rPr>
                <w:rFonts w:ascii="Calibri" w:hAnsi="Calibri"/>
                <w:b w:val="0"/>
                <w:sz w:val="18"/>
              </w:rPr>
              <w:t>Moves per second</w:t>
            </w:r>
          </w:p>
        </w:tc>
        <w:tc>
          <w:tcPr>
            <w:tcW w:type="dxa" w:w="7704"/>
            <w:vAlign w:val="center"/>
            <w:shd w:fill="F4F6F8"/>
            <w:tcMar>
              <w:top w:w="65" w:type="dxa"/>
              <w:left w:w="65" w:type="dxa"/>
              <w:bottom w:w="65" w:type="dxa"/>
              <w:right w:w="65" w:type="dxa"/>
            </w:tcMar>
          </w:tcPr>
          <w:p>
            <w:pPr>
              <w:spacing w:after="40" w:before="40" w:line="240" w:lineRule="auto"/>
            </w:pPr>
            <w:r>
              <w:rPr>
                <w:rFonts w:ascii="Calibri" w:hAnsi="Calibri"/>
                <w:b w:val="0"/>
                <w:sz w:val="18"/>
              </w:rPr>
              <w:t>Candidate moves the daily search evaluated per second of its phase; more moves in the same budget is a better search, not a faster answer.</w:t>
            </w:r>
          </w:p>
        </w:tc>
      </w:tr>
    </w:tbl>
    <w:p>
      <w:pPr>
        <w:widowControl/>
        <w:spacing w:after="0" w:line="60" w:lineRule="exact"/>
      </w:pPr>
    </w:p>
    <w:sectPr w:rsidR="00FC693F" w:rsidRPr="0006063C" w:rsidSect="00034616">
      <w:footerReference w:type="default" r:id="rId9"/>
      <w:pgSz w:w="12240" w:h="15840"/>
      <w:pgMar w:top="1008" w:right="1152" w:bottom="936" w:left="1152"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right"/>
    </w:pPr>
    <w:r>
      <w:rPr>
        <w:sz w:val="18"/>
      </w:rPr>
      <w:t xml:space="preserve">WaterFlex scheduler  |  </w:t>
    </w:r>
    <w:fldSimple w:instr="PAGE"/>
  </w:p>
</w:ft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updateFields w:val="true"/>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after="140" w:line="250" w:lineRule="auto"/>
    </w:pPr>
    <w:rPr>
      <w:rFonts w:ascii="Calibri" w:hAnsi="Calibri"/>
      <w:color w:val="000000"/>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240"/>
      <w:outlineLvl w:val="0"/>
    </w:pPr>
    <w:rPr>
      <w:rFonts w:asciiTheme="majorHAnsi" w:eastAsiaTheme="majorEastAsia" w:hAnsiTheme="majorHAnsi" w:cstheme="majorBidi" w:ascii="Calibri" w:hAnsi="Calibri"/>
      <w:b/>
      <w:bCs/>
      <w:color w:val="000000"/>
      <w:sz w:val="42"/>
      <w:szCs w:val="28"/>
    </w:rPr>
  </w:style>
  <w:style w:type="paragraph" w:styleId="Heading2">
    <w:name w:val="heading 2"/>
    <w:basedOn w:val="Normal"/>
    <w:next w:val="Normal"/>
    <w:link w:val="Heading2Char"/>
    <w:uiPriority w:val="9"/>
    <w:unhideWhenUsed/>
    <w:qFormat/>
    <w:rsid w:val="00FC693F"/>
    <w:pPr>
      <w:keepNext/>
      <w:keepLines/>
      <w:spacing w:before="200" w:after="100"/>
      <w:outlineLvl w:val="1"/>
    </w:pPr>
    <w:rPr>
      <w:rFonts w:asciiTheme="majorHAnsi" w:eastAsiaTheme="majorEastAsia" w:hAnsiTheme="majorHAnsi" w:cstheme="majorBidi" w:ascii="Calibri" w:hAnsi="Calibri"/>
      <w:b/>
      <w:bCs/>
      <w:color w:val="000000"/>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ascii="Calibri" w:hAnsi="Calibri"/>
      <w:b/>
      <w:bCs/>
      <w:color w:val="000000"/>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spacing w:after="300" w:line="240" w:lineRule="auto"/>
      <w:contextualSpacing/>
    </w:pPr>
    <w:rPr>
      <w:rFonts w:asciiTheme="majorHAnsi" w:eastAsiaTheme="majorEastAsia" w:hAnsiTheme="majorHAnsi" w:cstheme="majorBidi" w:ascii="Calibri" w:hAnsi="Calibri"/>
      <w:color w:val="000000"/>
      <w:spacing w:val="5"/>
      <w:kern w:val="28"/>
      <w:sz w:val="56"/>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ascii="Calibri" w:hAnsi="Calibri"/>
      <w:i/>
      <w:iCs/>
      <w:color w:val="000000"/>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footer" Target="footer1.xml"/><Relationship Id="rId10" Type="http://schemas.openxmlformats.org/officeDocument/2006/relationships/image" Target="media/image5.png"/><Relationship Id="rId11" Type="http://schemas.openxmlformats.org/officeDocument/2006/relationships/image" Target="media/image6.png"/><Relationship Id="rId12" Type="http://schemas.openxmlformats.org/officeDocument/2006/relationships/image" Target="media/image7.png"/><Relationship Id="rId13" Type="http://schemas.openxmlformats.org/officeDocument/2006/relationships/image" Target="media/image8.png"/><Relationship Id="rId14" Type="http://schemas.openxmlformats.org/officeDocument/2006/relationships/image" Target="media/image9.png"/><Relationship Id="rId15" Type="http://schemas.openxmlformats.org/officeDocument/2006/relationships/image" Target="media/image10.png"/><Relationship Id="rId16" Type="http://schemas.openxmlformats.org/officeDocument/2006/relationships/image" Target="media/image11.png"/><Relationship Id="rId17" Type="http://schemas.openxmlformats.org/officeDocument/2006/relationships/image" Target="media/image12.png"/><Relationship Id="rId18" Type="http://schemas.openxmlformats.org/officeDocument/2006/relationships/image" Target="media/image13.png"/><Relationship Id="rId19" Type="http://schemas.openxmlformats.org/officeDocument/2006/relationships/image" Target="media/image14.png"/><Relationship Id="rId20" Type="http://schemas.openxmlformats.org/officeDocument/2006/relationships/image" Target="media/image15.png"/><Relationship Id="rId21" Type="http://schemas.openxmlformats.org/officeDocument/2006/relationships/image" Target="media/image16.png"/><Relationship Id="rId22" Type="http://schemas.openxmlformats.org/officeDocument/2006/relationships/image" Target="media/image17.png"/><Relationship Id="rId23" Type="http://schemas.openxmlformats.org/officeDocument/2006/relationships/image" Target="media/image18.png"/><Relationship Id="rId24" Type="http://schemas.openxmlformats.org/officeDocument/2006/relationships/image" Target="media/image19.png"/><Relationship Id="rId25" Type="http://schemas.openxmlformats.org/officeDocument/2006/relationships/image" Target="media/image20.png"/><Relationship Id="rId26" Type="http://schemas.openxmlformats.org/officeDocument/2006/relationships/image" Target="media/image21.png"/><Relationship Id="rId27" Type="http://schemas.openxmlformats.org/officeDocument/2006/relationships/image" Target="media/image22.png"/><Relationship Id="rId28" Type="http://schemas.openxmlformats.org/officeDocument/2006/relationships/image" Target="media/image23.png"/><Relationship Id="rId29" Type="http://schemas.openxmlformats.org/officeDocument/2006/relationships/image" Target="media/image24.png"/><Relationship Id="rId30" Type="http://schemas.openxmlformats.org/officeDocument/2006/relationships/image" Target="media/image25.png"/><Relationship Id="rId31" Type="http://schemas.openxmlformats.org/officeDocument/2006/relationships/image" Target="media/image26.png"/><Relationship Id="rId32" Type="http://schemas.openxmlformats.org/officeDocument/2006/relationships/image" Target="media/image27.png"/><Relationship Id="rId33" Type="http://schemas.openxmlformats.org/officeDocument/2006/relationships/image" Target="media/image28.png"/><Relationship Id="rId34" Type="http://schemas.openxmlformats.org/officeDocument/2006/relationships/image" Target="media/image29.png"/><Relationship Id="rId35" Type="http://schemas.openxmlformats.org/officeDocument/2006/relationships/image" Target="media/image30.png"/><Relationship Id="rId36" Type="http://schemas.openxmlformats.org/officeDocument/2006/relationships/image" Target="media/image31.png"/><Relationship Id="rId37" Type="http://schemas.openxmlformats.org/officeDocument/2006/relationships/image" Target="media/image32.png"/><Relationship Id="rId38" Type="http://schemas.openxmlformats.org/officeDocument/2006/relationships/image" Target="media/image33.png"/><Relationship Id="rId39" Type="http://schemas.openxmlformats.org/officeDocument/2006/relationships/image" Target="media/image34.png"/><Relationship Id="rId40" Type="http://schemas.openxmlformats.org/officeDocument/2006/relationships/image" Target="media/image35.png"/><Relationship Id="rId41" Type="http://schemas.openxmlformats.org/officeDocument/2006/relationships/image" Target="media/image36.png"/><Relationship Id="rId42" Type="http://schemas.openxmlformats.org/officeDocument/2006/relationships/image" Target="media/image37.png"/><Relationship Id="rId43" Type="http://schemas.openxmlformats.org/officeDocument/2006/relationships/image" Target="media/image38.png"/><Relationship Id="rId44" Type="http://schemas.openxmlformats.org/officeDocument/2006/relationships/image" Target="media/image39.png"/><Relationship Id="rId45" Type="http://schemas.openxmlformats.org/officeDocument/2006/relationships/image" Target="media/image40.png"/><Relationship Id="rId46" Type="http://schemas.openxmlformats.org/officeDocument/2006/relationships/image" Target="media/image41.png"/><Relationship Id="rId47" Type="http://schemas.openxmlformats.org/officeDocument/2006/relationships/image" Target="media/image42.png"/><Relationship Id="rId48" Type="http://schemas.openxmlformats.org/officeDocument/2006/relationships/image" Target="media/image43.png"/><Relationship Id="rId49" Type="http://schemas.openxmlformats.org/officeDocument/2006/relationships/image" Target="media/image44.png"/><Relationship Id="rId50" Type="http://schemas.openxmlformats.org/officeDocument/2006/relationships/image" Target="media/image45.png"/><Relationship Id="rId51" Type="http://schemas.openxmlformats.org/officeDocument/2006/relationships/image" Target="media/image46.png"/><Relationship Id="rId52" Type="http://schemas.openxmlformats.org/officeDocument/2006/relationships/image" Target="media/image47.png"/><Relationship Id="rId53" Type="http://schemas.openxmlformats.org/officeDocument/2006/relationships/image" Target="media/image48.png"/><Relationship Id="rId54" Type="http://schemas.openxmlformats.org/officeDocument/2006/relationships/image" Target="media/image49.png"/><Relationship Id="rId55" Type="http://schemas.openxmlformats.org/officeDocument/2006/relationships/image" Target="media/image50.png"/><Relationship Id="rId56" Type="http://schemas.openxmlformats.org/officeDocument/2006/relationships/image" Target="media/image51.png"/><Relationship Id="rId57" Type="http://schemas.openxmlformats.org/officeDocument/2006/relationships/image" Target="media/image52.png"/><Relationship Id="rId58" Type="http://schemas.openxmlformats.org/officeDocument/2006/relationships/image" Target="media/image53.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WaterFlex scheduler explained</dc:title>
  <dc:subject>The stateless scheduling API, the optimization work behind it, and what comes next</dc:subject>
  <dc:creator>WaterFlex</dc:creator>
  <cp:keywords/>
  <dc:description>generated by python-docx</dc:description>
  <cp:lastModifiedBy>WaterFlex</cp:lastModifiedBy>
  <cp:revision>1</cp:revision>
  <dcterms:created xsi:type="dcterms:W3CDTF">2026-10-14T00:00:00Z</dcterms:created>
  <dcterms:modified xsi:type="dcterms:W3CDTF">2026-10-14T00:00:00Z</dcterms:modified>
  <cp:category/>
</cp:coreProperties>
</file>