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jpg" ContentType="image/jpeg"/>
  <Override PartName="/word/media/rId31.pdf" ContentType="application/pdf"/>
  <Override PartName="/word/media/rId52.pdf" ContentType="application/pdf"/>
  <Override PartName="/word/media/rId57.pdf" ContentType="application/pdf"/>
  <Override PartName="/word/media/rId6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adaptation-based</w:t>
      </w:r>
      <w:r>
        <w:t xml:space="preserve"> </w:t>
      </w:r>
      <w:r>
        <w:t xml:space="preserve">approaches</w:t>
      </w:r>
      <w:r>
        <w:t xml:space="preserve"> </w:t>
      </w:r>
      <w:r>
        <w:t xml:space="preserve">have</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soon.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complement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test</w:t>
      </w:r>
      <w:r>
        <w:t xml:space="preserve"> </w:t>
      </w:r>
      <w:r>
        <w:t xml:space="preserve">them,</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NICHD</w:t>
      </w:r>
      <w:r>
        <w:t xml:space="preserve"> </w:t>
      </w:r>
      <w:r>
        <w:t xml:space="preserve">Study</w:t>
      </w:r>
      <w:r>
        <w:t xml:space="preserve"> </w:t>
      </w:r>
      <w:r>
        <w:t xml:space="preserve">of</w:t>
      </w:r>
      <w:r>
        <w:t xml:space="preserve"> </w:t>
      </w:r>
      <w:r>
        <w:t xml:space="preserve">Early</w:t>
      </w:r>
      <w:r>
        <w:t xml:space="preserve"> </w:t>
      </w:r>
      <w:r>
        <w:t xml:space="preserve">Child</w:t>
      </w:r>
      <w:r>
        <w:t xml:space="preserve"> </w:t>
      </w:r>
      <w:r>
        <w:t xml:space="preserve">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investigate</w:t>
      </w:r>
      <w:r>
        <w:t xml:space="preserve"> </w:t>
      </w:r>
      <w:r>
        <w:t xml:space="preserve">whether</w:t>
      </w:r>
      <w:r>
        <w:t xml:space="preserve"> </w:t>
      </w:r>
      <w:r>
        <w:t xml:space="preserve">and</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propose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theoretical</w:t>
      </w:r>
      <w:r>
        <w:t xml:space="preserve"> </w:t>
      </w:r>
      <w:r>
        <w:t xml:space="preserve">and</w:t>
      </w:r>
      <w:r>
        <w:t xml:space="preserve"> </w:t>
      </w:r>
      <w:r>
        <w:t xml:space="preserve">empirical</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advance</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therefore,</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w:t>
      </w:r>
      <w:r>
        <w:t xml:space="preserve"> </w:t>
      </w:r>
      <w:r>
        <w:t xml:space="preserve">(Ellis et al., 2017; Ellis et al., 2022; Frankenhuis, Young, et al., 2020; Frankenhuis &amp; de Weerth, 2013; Frankenhuis &amp; Nettle, 2020)</w:t>
      </w:r>
      <w:r>
        <w:t xml:space="preserve">.</w:t>
      </w:r>
      <w:r>
        <w:t xml:space="preserve"> </w:t>
      </w:r>
      <w:r>
        <w:t xml:space="preserve">Since their inception, the goal of adaptation-based frameworks has been</w:t>
      </w:r>
      <w:r>
        <w:t xml:space="preserve"> </w:t>
      </w:r>
      <w:r>
        <w:t xml:space="preserve">to inspire a more well-rounded view of adversity and its influence on</w:t>
      </w:r>
      <w:r>
        <w:t xml:space="preserve"> </w:t>
      </w:r>
      <w:r>
        <w:t xml:space="preserve">abilities—one that incorporates both the struggles and strengths of</w:t>
      </w:r>
      <w:r>
        <w:t xml:space="preserve"> </w:t>
      </w:r>
      <w:r>
        <w:t xml:space="preserve">people from disadvantaged backgrounds</w:t>
      </w:r>
      <w:r>
        <w:t xml:space="preserve"> </w:t>
      </w:r>
      <w:r>
        <w:t xml:space="preserve">(Frankenhuis &amp; de Weerth, 2013)</w:t>
      </w:r>
      <w:r>
        <w:t xml:space="preserve">. As such</w:t>
      </w:r>
      <w:r>
        <w:t xml:space="preserve"> </w:t>
      </w:r>
      <w:r>
        <w:t xml:space="preserve">frameworks develop further, the core task of adaptation-based research</w:t>
      </w:r>
      <w:r>
        <w:t xml:space="preserve"> </w:t>
      </w:r>
      <w:r>
        <w:t xml:space="preserve">is to</w:t>
      </w:r>
      <w:r>
        <w:t xml:space="preserve"> </w:t>
      </w:r>
      <w:r>
        <w:t xml:space="preserve">“</w:t>
      </w:r>
      <w:r>
        <w:t xml:space="preserve">uncover a high-resolution map of specific cognitive abilities</w:t>
      </w:r>
      <w:r>
        <w:t xml:space="preserve"> </w:t>
      </w:r>
      <w:r>
        <w:t xml:space="preserve">that are enhanced as a result of growing up under high-adversity</w:t>
      </w:r>
      <w:r>
        <w:t xml:space="preserve"> </w:t>
      </w:r>
      <w:r>
        <w:t xml:space="preserve">conditions</w:t>
      </w:r>
      <w:r>
        <w:t xml:space="preserve">”</w:t>
      </w:r>
      <w:r>
        <w:t xml:space="preserve"> </w:t>
      </w:r>
      <w:r>
        <w:t xml:space="preserve">(Ellis et al., 2017, p. 562)</w:t>
      </w:r>
      <w:r>
        <w:t xml:space="preserve">. To do so, researchers to date have</w:t>
      </w:r>
      <w:r>
        <w:t xml:space="preserve"> </w:t>
      </w:r>
      <w:r>
        <w:t xml:space="preserve">used confirmatory study designs, which have gleaned useful insights.</w:t>
      </w:r>
      <w:r>
        <w:t xml:space="preserve"> </w:t>
      </w:r>
      <w:r>
        <w:t xml:space="preserve">However, to cultivate growth in an emerging research program—where</w:t>
      </w:r>
      <w:r>
        <w:t xml:space="preserve"> </w:t>
      </w:r>
      <w:r>
        <w:t xml:space="preserve">there is little known and much to learn—we must not dig too deep, too</w:t>
      </w:r>
      <w:r>
        <w:t xml:space="preserve"> </w:t>
      </w:r>
      <w:r>
        <w:t xml:space="preserve">soon. Without complementary approaches, exclusive use of confirmatory</w:t>
      </w:r>
      <w:r>
        <w:t xml:space="preserve"> </w:t>
      </w:r>
      <w:r>
        <w:t xml:space="preserve">designs can create tunnel vision and miss new insights</w:t>
      </w:r>
      <w:r>
        <w:t xml:space="preserve"> </w:t>
      </w:r>
      <w:r>
        <w:t xml:space="preserve">(McIntosh, 2017; Roisman, 2021; Rozin, 2001; Scheel et al., 2021)</w:t>
      </w:r>
      <w:r>
        <w:t xml:space="preserve">.</w:t>
      </w:r>
    </w:p>
    <w:p>
      <w:pPr>
        <w:pStyle w:val="BodyText"/>
      </w:pPr>
      <w:r>
        <w:t xml:space="preserve">In this paper, we use a complementary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w:t>
      </w:r>
      <w:r>
        <w:t xml:space="preserve"> </w:t>
      </w:r>
      <w:r>
        <w:t xml:space="preserve">can co-occur. The first insight implies we need designs and models that</w:t>
      </w:r>
      <w:r>
        <w:t xml:space="preserve"> </w:t>
      </w:r>
      <w:r>
        <w:t xml:space="preserve">can tease apart both within- and between-person performance differences.</w:t>
      </w:r>
      <w:r>
        <w:t xml:space="preserve"> </w:t>
      </w:r>
      <w:r>
        <w:t xml:space="preserve">The second suggests that, in order to map out more of the</w:t>
      </w:r>
      <w:r>
        <w:t xml:space="preserve"> </w:t>
      </w:r>
      <w:r>
        <w:t xml:space="preserve">adversity-ability landscape, we must examine multiple abilities measured</w:t>
      </w:r>
      <w:r>
        <w:t xml:space="preserve"> </w:t>
      </w:r>
      <w:r>
        <w:t xml:space="preserve">within the same person. Doing so will allow us to capture cognitive</w:t>
      </w:r>
      <w:r>
        <w:t xml:space="preserve"> </w:t>
      </w:r>
      <w:r>
        <w:t xml:space="preserve">performance profiles that comprise three data patterns: reduced, intact,</w:t>
      </w:r>
      <w:r>
        <w:t xml:space="preserve"> </w:t>
      </w:r>
      <w:r>
        <w:t xml:space="preserve">and enhanced performance. Past research has focused primarily on reduced</w:t>
      </w:r>
      <w:r>
        <w:t xml:space="preserve"> </w:t>
      </w:r>
      <w:r>
        <w:t xml:space="preserve">and enhanced performance on tests of single abilities. However, we know</w:t>
      </w:r>
      <w:r>
        <w:t xml:space="preserve"> </w:t>
      </w:r>
      <w:r>
        <w:t xml:space="preserve">little about intact abilities, defined as cases in which test</w:t>
      </w:r>
      <w:r>
        <w:t xml:space="preserve"> </w:t>
      </w:r>
      <w:r>
        <w:t xml:space="preserve">performance is unrelated to adversity exposure. Our goal, therefore, is</w:t>
      </w:r>
      <w:r>
        <w:t xml:space="preserve"> </w:t>
      </w:r>
      <w:r>
        <w:t xml:space="preserve">to document adversity-shaped cognitive performance profiles that include</w:t>
      </w:r>
      <w:r>
        <w:t xml:space="preserve"> </w:t>
      </w:r>
      <w:r>
        <w:t xml:space="preserve">reduced performance, intact abilities,</w:t>
      </w:r>
      <w:r>
        <w:t xml:space="preserve"> </w:t>
      </w:r>
      <w:r>
        <w:rPr>
          <w:iCs/>
          <w:i/>
        </w:rPr>
        <w:t xml:space="preserve">and</w:t>
      </w:r>
      <w:r>
        <w:t xml:space="preserve"> </w:t>
      </w:r>
      <w:r>
        <w:t xml:space="preserve">enhanced test performance</w:t>
      </w:r>
      <w:r>
        <w:t xml:space="preserve"> </w:t>
      </w:r>
      <w:r>
        <w:t xml:space="preserve">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such</w:t>
      </w:r>
      <w:r>
        <w:t xml:space="preserve"> </w:t>
      </w:r>
      <w:r>
        <w:t xml:space="preserve">research assumes that development shapes the individual, as well as</w:t>
      </w:r>
      <w:r>
        <w:t xml:space="preserve"> </w:t>
      </w:r>
      <w:r>
        <w:t xml:space="preserve">their abilities, to fit their local environment</w:t>
      </w:r>
      <w:r>
        <w:t xml:space="preserve"> </w:t>
      </w:r>
      <w:r>
        <w:t xml:space="preserve">(Frankenhuis, Young, et al., 2020)</w:t>
      </w:r>
      <w:r>
        <w:t xml:space="preserve">.</w:t>
      </w:r>
      <w:r>
        <w:t xml:space="preserve"> </w:t>
      </w:r>
      <w:r>
        <w:t xml:space="preserve">Second, because environments differ in the challenges they pose (e.g.,</w:t>
      </w:r>
      <w:r>
        <w:t xml:space="preserve"> </w:t>
      </w:r>
      <w:r>
        <w:t xml:space="preserve">resource-scarcity versus violence exposure), development also shapes</w:t>
      </w:r>
      <w:r>
        <w:t xml:space="preserve"> </w:t>
      </w:r>
      <w:r>
        <w:t xml:space="preserve">abilities according to specific challenges. Thus, one’s abilities should</w:t>
      </w:r>
      <w:r>
        <w:t xml:space="preserve"> </w:t>
      </w:r>
      <w:r>
        <w:t xml:space="preserve">match the challenges of an individual’s lived experience. These features</w:t>
      </w:r>
      <w:r>
        <w:t xml:space="preserve"> </w:t>
      </w:r>
      <w:r>
        <w:t xml:space="preserve">are useful guideposts for confirmatory hypothesis generation. Using them</w:t>
      </w:r>
      <w:r>
        <w:t xml:space="preserve"> </w:t>
      </w:r>
      <w:r>
        <w:t xml:space="preserve">as building blocks, it is possible to construct an intuitive bridge</w:t>
      </w:r>
      <w:r>
        <w:t xml:space="preserve"> </w:t>
      </w:r>
      <w:r>
        <w:t xml:space="preserve">between an ability and an environmental challenge. For example, a</w:t>
      </w:r>
      <w:r>
        <w:t xml:space="preserve"> </w:t>
      </w:r>
      <w:r>
        <w:t xml:space="preserve">researcher might identify a specific challenge posed by a dimension of</w:t>
      </w:r>
      <w:r>
        <w:t xml:space="preserve"> </w:t>
      </w:r>
      <w:r>
        <w:t xml:space="preserve">adversity (e.g., threats to safety in high-crime neighborhoods) and an</w:t>
      </w:r>
      <w:r>
        <w:t xml:space="preserve"> </w:t>
      </w:r>
      <w:r>
        <w:t xml:space="preserve">ability needed to meet the challenge (e.g., 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adversity-enhanced abilities,</w:t>
      </w:r>
      <w:r>
        <w:t xml:space="preserve"> </w:t>
      </w:r>
      <w:r>
        <w:t xml:space="preserve">especially in harsh and unpredictable environments. For example, some</w:t>
      </w:r>
      <w:r>
        <w:t xml:space="preserve"> </w:t>
      </w:r>
      <w:r>
        <w:t xml:space="preserve">scholars have proposed that constantly changing environments (i.e.,</w:t>
      </w:r>
      <w:r>
        <w:t xml:space="preserve"> </w:t>
      </w:r>
      <w:r>
        <w:t xml:space="preserve">unpredictable environments) might shape the ability to track and respond</w:t>
      </w:r>
      <w:r>
        <w:t xml:space="preserve"> </w:t>
      </w:r>
      <w:r>
        <w:t xml:space="preserve">to changing information. Using this logic, prior research has built an</w:t>
      </w:r>
      <w:r>
        <w:t xml:space="preserve"> </w:t>
      </w:r>
      <w:r>
        <w:t xml:space="preserve">intuitive bridge between changing environments and two specific</w:t>
      </w:r>
      <w:r>
        <w:t xml:space="preserve"> </w:t>
      </w:r>
      <w:r>
        <w:t xml:space="preserve">abilities–attention-shifting and working memory updating—and some</w:t>
      </w:r>
      <w:r>
        <w:t xml:space="preserve"> </w:t>
      </w:r>
      <w:r>
        <w:t xml:space="preserve">empirical results are consistent with this logic</w:t>
      </w:r>
      <w:r>
        <w:t xml:space="preserve"> </w:t>
      </w:r>
      <w:r>
        <w:t xml:space="preserve">(e.g., Fields et al., 2021; Mittal et al., 2015; Nweze et al., 2021; Young et al., 2018)</w:t>
      </w:r>
      <w:r>
        <w:t xml:space="preserve">. However, there are two limitations</w:t>
      </w:r>
      <w:r>
        <w:t xml:space="preserve"> </w:t>
      </w:r>
      <w:r>
        <w:t xml:space="preserve">to this approach. First, previous studies are difficult to compare</w:t>
      </w:r>
      <w:r>
        <w:t xml:space="preserve"> </w:t>
      </w:r>
      <w:r>
        <w:t xml:space="preserve">because they use different measures and designs. Second, the logic</w:t>
      </w:r>
      <w:r>
        <w:t xml:space="preserve"> </w:t>
      </w:r>
      <w:r>
        <w:t xml:space="preserve">behind confirmatory hypotheses can be easily flipped. For example,</w:t>
      </w:r>
      <w:r>
        <w:t xml:space="preserve"> </w:t>
      </w:r>
      <w:r>
        <w:t xml:space="preserve">exposure to unpredictable environments is thought to reduce inhibition,</w:t>
      </w:r>
      <w:r>
        <w:t xml:space="preserve"> </w:t>
      </w:r>
      <w:r>
        <w:t xml:space="preserve">or the 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Thus, adaptive-logic can afford different or (in</w:t>
      </w:r>
      <w:r>
        <w:t xml:space="preserve"> </w:t>
      </w:r>
      <w:r>
        <w:t xml:space="preserve">some cases) opposing hypotheses. This does not diminish the</w:t>
      </w:r>
      <w:r>
        <w:t xml:space="preserve"> </w:t>
      </w:r>
      <w:r>
        <w:t xml:space="preserve">enterprise—empirical research is the ultimate arbiter—but there is a</w:t>
      </w:r>
      <w:r>
        <w:t xml:space="preserve"> </w:t>
      </w:r>
      <w:r>
        <w:t xml:space="preserve">risk of becoming too focused on a particular corner of hypothesis space,</w:t>
      </w:r>
      <w:r>
        <w:t xml:space="preserve"> </w:t>
      </w:r>
      <w:r>
        <w:t xml:space="preserve">when other regions would be just as reasonable to explore</w:t>
      </w:r>
      <w:r>
        <w:t xml:space="preserve"> </w:t>
      </w:r>
      <w:r>
        <w:t xml:space="preserve">(Andrews et al., 2002; Ketelaar &amp; Ellis, 2000; Lewis et al., 2017)</w:t>
      </w:r>
      <w:r>
        <w:t xml:space="preserve">.</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ecologically-relevant testing content</w:t>
      </w:r>
      <w:r>
        <w:t xml:space="preserve"> </w:t>
      </w:r>
      <w:r>
        <w:t xml:space="preserve">(e.g., social dominance, real-world, and socioemotional stimuli)</w:t>
      </w:r>
      <w:r>
        <w:t xml:space="preserve"> </w:t>
      </w:r>
      <w:r>
        <w:t xml:space="preserve">compared to neutral or abstract content. In some cases,</w:t>
      </w:r>
      <w:r>
        <w:t xml:space="preserve"> </w:t>
      </w:r>
      <w:r>
        <w:t xml:space="preserve">ecologically-relevant content tends to equalize performance for people</w:t>
      </w:r>
      <w:r>
        <w:t xml:space="preserve"> </w:t>
      </w:r>
      <w:r>
        <w:t xml:space="preserve">exposed to adversity, but this depends on the specific adversity measure</w:t>
      </w:r>
      <w:r>
        <w:t xml:space="preserve"> </w:t>
      </w:r>
      <w:r>
        <w:t xml:space="preserve">and task (</w:t>
      </w:r>
      <w:r>
        <w:t xml:space="preserve">(Frankenhuis, de Vries, et al., 2020; Rifkin-Graboi et al., 2021; Young et al., 2022)</w:t>
      </w:r>
      <w:r>
        <w:t xml:space="preserve">. In other</w:t>
      </w:r>
      <w:r>
        <w:t xml:space="preserve"> </w:t>
      </w:r>
      <w:r>
        <w:t xml:space="preserve">studies, however, conditions thought to be well-matched to the lived</w:t>
      </w:r>
      <w:r>
        <w:t xml:space="preserve"> </w:t>
      </w:r>
      <w:r>
        <w:t xml:space="preserve">experience of those exposed to adversity actually lower performance. For</w:t>
      </w:r>
      <w:r>
        <w:t xml:space="preserve"> </w:t>
      </w:r>
      <w:r>
        <w:t xml:space="preserve">example, youth from low socioeconomic backgrounds tend to score lower on</w:t>
      </w:r>
      <w:r>
        <w:t xml:space="preserve"> </w:t>
      </w:r>
      <w:r>
        <w:t xml:space="preserve">math items about social relations, money, and food—items thought to be</w:t>
      </w:r>
      <w:r>
        <w:t xml:space="preserve"> </w:t>
      </w:r>
      <w:r>
        <w:t xml:space="preserve">particularly relevant to lived experience—compared to other math items</w:t>
      </w:r>
      <w:r>
        <w:t xml:space="preserve"> </w:t>
      </w:r>
      <w:r>
        <w:t xml:space="preserve">(Duquennois, 2022; Muskens, 2019)</w:t>
      </w:r>
      <w:r>
        <w:t xml:space="preserve">.</w:t>
      </w:r>
    </w:p>
    <w:p>
      <w:pPr>
        <w:pStyle w:val="BodyText"/>
      </w:pPr>
      <w:r>
        <w:t xml:space="preserve">In light of these caveats, this body of work has generated at least two</w:t>
      </w:r>
      <w:r>
        <w:t xml:space="preserve"> </w:t>
      </w:r>
      <w:r>
        <w:t xml:space="preserve">broad empirical insights. First, although it is possible for adversity</w:t>
      </w:r>
      <w:r>
        <w:t xml:space="preserve"> </w:t>
      </w:r>
      <w:r>
        <w:t xml:space="preserve">to enhance performance between individuals (e.g., low versus high</w:t>
      </w:r>
      <w:r>
        <w:t xml:space="preserve"> </w:t>
      </w:r>
      <w:r>
        <w:t xml:space="preserve">adversity exposure), empirical findings suggest effects mostly occur</w:t>
      </w:r>
      <w:r>
        <w:t xml:space="preserve"> </w:t>
      </w:r>
      <w:r>
        <w:rPr>
          <w:iCs/>
          <w:i/>
        </w:rPr>
        <w:t xml:space="preserve">within</w:t>
      </w:r>
      <w:r>
        <w:t xml:space="preserve"> </w:t>
      </w:r>
      <w:r>
        <w:t xml:space="preserve">individuals</w:t>
      </w:r>
      <w:r>
        <w:t xml:space="preserve"> </w:t>
      </w:r>
      <w:r>
        <w:t xml:space="preserve">(Fields et al., 2021; Frankenhuis, de Vries, et al., 2020; Young et al., 2022)</w:t>
      </w:r>
      <w:r>
        <w:t xml:space="preserve">.</w:t>
      </w:r>
      <w:r>
        <w:t xml:space="preserve"> </w:t>
      </w:r>
      <w:r>
        <w:t xml:space="preserve">Second, associations between specific types of adversity and enhanced</w:t>
      </w:r>
      <w:r>
        <w:t xml:space="preserve"> </w:t>
      </w:r>
      <w:r>
        <w:t xml:space="preserve">performance appear to be context specific—enhancements depend on the</w:t>
      </w:r>
      <w:r>
        <w:t xml:space="preserve"> </w:t>
      </w:r>
      <w:r>
        <w:t xml:space="preserve">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most adaptation-based studies have looked for abilities in an</w:t>
      </w:r>
      <w:r>
        <w:t xml:space="preserve"> </w:t>
      </w:r>
      <w:r>
        <w:t xml:space="preserve">isolated and piecemeal fashion, in part, because confirmatory designs</w:t>
      </w:r>
      <w:r>
        <w:t xml:space="preserve"> </w:t>
      </w:r>
      <w:r>
        <w:t xml:space="preserve">tend to narrow one’s scope. As a result, we know little about how</w:t>
      </w:r>
      <w:r>
        <w:t xml:space="preserve"> </w:t>
      </w:r>
      <w:r>
        <w:t xml:space="preserve">enhanced abilities relate to broader sets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theoretical and empirical ground. Emerging research programs have</w:t>
      </w:r>
      <w:r>
        <w:t xml:space="preserve"> </w:t>
      </w:r>
      <w:r>
        <w:t xml:space="preserve">yet to lay the basic groundwork for testing theories, such as key</w:t>
      </w:r>
      <w:r>
        <w:t xml:space="preserve"> </w:t>
      </w:r>
      <w:r>
        <w:t xml:space="preserve">auxiliary assumptions or boundary conditions</w:t>
      </w:r>
      <w:r>
        <w:t xml:space="preserve"> </w:t>
      </w:r>
      <w:r>
        <w:t xml:space="preserve">(Scheel et al., 2021)</w:t>
      </w:r>
      <w:r>
        <w:t xml:space="preserve">. Our aim here</w:t>
      </w:r>
      <w:r>
        <w:t xml:space="preserve"> </w:t>
      </w:r>
      <w:r>
        <w:t xml:space="preserve">is to complement adaptation-based, confirmatory research with principled</w:t>
      </w:r>
      <w:r>
        <w:t xml:space="preserve"> </w:t>
      </w:r>
      <w:r>
        <w:t xml:space="preserve">exploration</w:t>
      </w:r>
      <w:r>
        <w:t xml:space="preserve"> </w:t>
      </w:r>
      <w:r>
        <w:t xml:space="preserve">(Flournoy et al., 2020; Rozin, 2001)</w:t>
      </w:r>
      <w:r>
        <w:t xml:space="preserve">. There are two primary benefits</w:t>
      </w:r>
      <w:r>
        <w:t xml:space="preserve"> </w:t>
      </w:r>
      <w:r>
        <w:t xml:space="preserve">of this approach. First, it encourages one to re-examine established</w:t>
      </w:r>
      <w:r>
        <w:t xml:space="preserve"> </w:t>
      </w:r>
      <w:r>
        <w:t xml:space="preserve">patterns with a new lens. For example, both deficit- and</w:t>
      </w:r>
      <w:r>
        <w:t xml:space="preserve"> </w:t>
      </w:r>
      <w:r>
        <w:t xml:space="preserve">adaptation-based perspectives assume that adversity should reduce</w:t>
      </w:r>
      <w:r>
        <w:t xml:space="preserve"> </w:t>
      </w:r>
      <w:r>
        <w:t xml:space="preserve">performance on standard assessments of cognitive ability</w:t>
      </w:r>
      <w:r>
        <w:t xml:space="preserve"> </w:t>
      </w:r>
      <w:r>
        <w:t xml:space="preserve">(Ellis et al., 2022; Frankenhuis, Young, et al., 2020; Hackman et al., 2010; McLaughlin et al., 2019; Ursache &amp; Noble, 2016)</w:t>
      </w:r>
      <w:r>
        <w:t xml:space="preserve">. Yet,</w:t>
      </w:r>
      <w:r>
        <w:t xml:space="preserve"> </w:t>
      </w:r>
      <w:r>
        <w:t xml:space="preserve">these tests are often comprised of many different subtests, and</w:t>
      </w:r>
      <w:r>
        <w:t xml:space="preserve"> </w:t>
      </w:r>
      <w:r>
        <w:t xml:space="preserve">individual tests may show unique patterns that diverge from widely used</w:t>
      </w:r>
      <w:r>
        <w:t xml:space="preserve"> </w:t>
      </w:r>
      <w:r>
        <w:t xml:space="preserve">composite scores</w:t>
      </w:r>
      <w:r>
        <w:t xml:space="preserve"> </w:t>
      </w:r>
      <w:r>
        <w:t xml:space="preserve">(e.g., Fraley et al., 2013; Raby et al., 2015)</w:t>
      </w:r>
      <w:r>
        <w:t xml:space="preserve">. Second, this approach</w:t>
      </w:r>
      <w:r>
        <w:t xml:space="preserve"> </w:t>
      </w:r>
      <w:r>
        <w:t xml:space="preserve">adds important descriptive information to the theory or model believed</w:t>
      </w:r>
      <w:r>
        <w:t xml:space="preserve"> </w:t>
      </w:r>
      <w:r>
        <w:t xml:space="preserve">to account for a given set of findings. One reason why we know</w:t>
      </w:r>
      <w:r>
        <w:t xml:space="preserve"> </w:t>
      </w:r>
      <w:r>
        <w:t xml:space="preserve">relatively little about broad sets of abilities is that adaptive logic</w:t>
      </w:r>
      <w:r>
        <w:t xml:space="preserve"> </w:t>
      </w:r>
      <w:r>
        <w:t xml:space="preserve">has not been developed for some abilities. However, the lack of such</w:t>
      </w:r>
      <w:r>
        <w:t xml:space="preserve"> </w:t>
      </w:r>
      <w:r>
        <w:t xml:space="preserve">logic does not imply the presence or absence of a functional link. A</w:t>
      </w:r>
      <w:r>
        <w:t xml:space="preserve"> </w:t>
      </w:r>
      <w:r>
        <w:t xml:space="preserve">complementary approach involves exploring, describing, and then</w:t>
      </w:r>
      <w:r>
        <w:t xml:space="preserve"> </w:t>
      </w:r>
      <w:r>
        <w:t xml:space="preserve">following up associations between adversity and abilities to advance</w:t>
      </w:r>
      <w:r>
        <w:t xml:space="preserve"> </w:t>
      </w:r>
      <w:r>
        <w:t xml:space="preserve">theory development. One can then return to the larger set of cognitive</w:t>
      </w:r>
      <w:r>
        <w:t xml:space="preserve"> </w:t>
      </w:r>
      <w:r>
        <w:t xml:space="preserve">abilities that might be shaped by adversity and ask</w:t>
      </w:r>
      <w:r>
        <w:t xml:space="preserve"> </w:t>
      </w:r>
      <w:r>
        <w:t xml:space="preserve">“</w:t>
      </w:r>
      <w:r>
        <w:t xml:space="preserve">What territory</w:t>
      </w:r>
      <w:r>
        <w:t xml:space="preserve"> </w:t>
      </w:r>
      <w:r>
        <w:t xml:space="preserve">needs exploration and which areas may need re-mapping?</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 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performance on some tests</w:t>
      </w:r>
      <w:r>
        <w:t xml:space="preserve"> </w:t>
      </w:r>
      <w:r>
        <w:t xml:space="preserve">might remain intact (unaffected) by exposure to adversity</w:t>
      </w:r>
      <w:r>
        <w:t xml:space="preserve"> </w:t>
      </w:r>
      <w:r>
        <w:t xml:space="preserve">(Frankenhuis, Young, et al., 2020)</w:t>
      </w:r>
      <w:r>
        <w:t xml:space="preserve">. We know little about the intact performance of</w:t>
      </w:r>
      <w:r>
        <w:t xml:space="preserve"> </w:t>
      </w:r>
      <w:r>
        <w:t xml:space="preserve">people exposed to adversity. We also know little about the drivers of</w:t>
      </w:r>
      <w:r>
        <w:t xml:space="preserve"> </w:t>
      </w:r>
      <w:r>
        <w:t xml:space="preserve">reduced performance on broad and generic measures of ability and</w:t>
      </w:r>
      <w:r>
        <w:t xml:space="preserve"> </w:t>
      </w:r>
      <w:r>
        <w:t xml:space="preserve">achievement. For example, deficit approaches have collapsed many</w:t>
      </w:r>
      <w:r>
        <w:t xml:space="preserve"> </w:t>
      </w:r>
      <w:r>
        <w:t xml:space="preserve">abilities into composites and have found that adversity exposure tends</w:t>
      </w:r>
      <w:r>
        <w:t xml:space="preserve"> </w:t>
      </w:r>
      <w:r>
        <w:t xml:space="preserve">to be associated with reduced performance</w:t>
      </w:r>
      <w:r>
        <w:t xml:space="preserve"> </w:t>
      </w:r>
      <w:r>
        <w:t xml:space="preserve">(Fraley et al., 2013; Raby et al., 2015)</w:t>
      </w:r>
      <w:r>
        <w:t xml:space="preserve">. One</w:t>
      </w:r>
      <w:r>
        <w:t xml:space="preserve"> </w:t>
      </w:r>
      <w:r>
        <w:t xml:space="preserve">possibility, however, is that a smaller set of specific performance</w:t>
      </w:r>
      <w:r>
        <w:t xml:space="preserve"> </w:t>
      </w:r>
      <w:r>
        <w:t xml:space="preserve">measures are driving effects. In sum, there is much to learn about how</w:t>
      </w:r>
      <w:r>
        <w:t xml:space="preserve"> </w:t>
      </w:r>
      <w:r>
        <w:t xml:space="preserve">adversity shapes cognitive abilities. Principled exploration can</w:t>
      </w:r>
      <w:r>
        <w:t xml:space="preserve"> </w:t>
      </w:r>
      <w:r>
        <w:t xml:space="preserve">complement confirmatory research to draw a more complete and accurate</w:t>
      </w:r>
      <w:r>
        <w:t xml:space="preserve"> </w:t>
      </w:r>
      <w:r>
        <w:t xml:space="preserve">map of the theoretical and empirical terrain, especially in the early</w:t>
      </w:r>
      <w:r>
        <w:t xml:space="preserve"> </w:t>
      </w:r>
      <w:r>
        <w:t xml:space="preserve">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prospective, longitudinal data from the NICHD Study of Early Childcare</w:t>
      </w:r>
      <w:r>
        <w:t xml:space="preserve"> </w:t>
      </w:r>
      <w:r>
        <w:t xml:space="preserve">and 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several abilities (see Figure</w:t>
      </w:r>
      <w:r>
        <w:t xml:space="preserve"> </w:t>
      </w:r>
      <w:r>
        <w:t xml:space="preserve">1). Cast another way, we can compare specific abilities (e.g.,</w:t>
      </w:r>
      <w:r>
        <w:t xml:space="preserve"> </w:t>
      </w:r>
      <w:r>
        <w:t xml:space="preserve">short-term memory performance) to overall performance (within-person</w:t>
      </w:r>
      <w:r>
        <w:t xml:space="preserve"> </w:t>
      </w:r>
      <w:r>
        <w:t xml:space="preserve">average performance on all tests) to gain a clearer picture of how</w:t>
      </w:r>
      <w:r>
        <w:t xml:space="preserve"> </w:t>
      </w:r>
      <w:r>
        <w:t xml:space="preserve">enhanced and reduced performance manifest in parallel within an</w:t>
      </w:r>
      <w:r>
        <w:t xml:space="preserve"> </w:t>
      </w:r>
      <w:r>
        <w:t xml:space="preserve">individual.</w:t>
      </w:r>
    </w:p>
    <w:p>
      <w:pPr>
        <w:pStyle w:val="BodyText"/>
      </w:pPr>
      <w:r>
        <w:t xml:space="preserve">We focus on adversity measures of two constructs, environmental</w:t>
      </w:r>
      <w:r>
        <w:t xml:space="preserve"> </w:t>
      </w:r>
      <w:r>
        <w:t xml:space="preserve">harshness and unpredictability, because they are often featured in</w:t>
      </w:r>
      <w:r>
        <w:t xml:space="preserve"> </w:t>
      </w:r>
      <w:r>
        <w:t xml:space="preserve">adaptation-based research on cognitive abilities</w:t>
      </w:r>
      <w:r>
        <w:t xml:space="preserve"> </w:t>
      </w:r>
      <w:r>
        <w:t xml:space="preserve">(Ellis et al., 2017; Ellis et al., 2022; Fields et al., 2021; Frankenhuis, Young, et al., 2020; Mittal et al., 2015; Young et al., 2018; Young et al., 2022)</w:t>
      </w:r>
      <w:r>
        <w:t xml:space="preserve">. Conceptually, harshness is defined as external causes of</w:t>
      </w:r>
      <w:r>
        <w:t xml:space="preserve"> </w:t>
      </w:r>
      <w:r>
        <w:t xml:space="preserve">mortality-morbidity and unpredictability is defined as random variation</w:t>
      </w:r>
      <w:r>
        <w:t xml:space="preserve"> </w:t>
      </w:r>
      <w:r>
        <w:t xml:space="preserve">in harshness over space and time</w:t>
      </w:r>
      <w:r>
        <w:t xml:space="preserve"> </w:t>
      </w:r>
      <w:r>
        <w:t xml:space="preserve">(Ellis et al., 2009)</w:t>
      </w:r>
      <w:r>
        <w:t xml:space="preserve">. To measure harshness,</w:t>
      </w:r>
      <w:r>
        <w:t xml:space="preserve"> </w:t>
      </w:r>
      <w:r>
        <w:t xml:space="preserve">studies typically use socioeconomic indicators, such as income</w:t>
      </w:r>
      <w:r>
        <w:t xml:space="preserve"> </w:t>
      </w:r>
      <w:r>
        <w:t xml:space="preserve">(Belsky et al., 2012; Doom et al., 2016, 2022; Hartman et al., 2018; Li et al., 2018; Simpson et al., 2012; Sung et al., 2016; Szepsenwol et al., 2015, 2019; Zhang et al., 2022)</w:t>
      </w:r>
      <w:r>
        <w:t xml:space="preserve">. To measure</w:t>
      </w:r>
      <w:r>
        <w:t xml:space="preserve"> </w:t>
      </w:r>
      <w:r>
        <w:t xml:space="preserve">unpredictability, studies have used a variety of approaches</w:t>
      </w:r>
      <w:r>
        <w:t xml:space="preserve"> </w:t>
      </w:r>
      <w:r>
        <w:t xml:space="preserve">(see Young et al., 2020)</w:t>
      </w:r>
      <w:r>
        <w:t xml:space="preserve">, including counting family transitions and computing</w:t>
      </w:r>
      <w:r>
        <w:t xml:space="preserve"> </w:t>
      </w:r>
      <w:r>
        <w:t xml:space="preserve">variability in income scores</w:t>
      </w:r>
      <w:r>
        <w:t xml:space="preserve"> </w:t>
      </w:r>
      <w:r>
        <w:t xml:space="preserve">(Belsky et al., 2012; Hartman et al., 2018; Li et al., 2018)</w:t>
      </w:r>
      <w:r>
        <w:t xml:space="preserve">.</w:t>
      </w:r>
    </w:p>
    <w:p>
      <w:pPr>
        <w:pStyle w:val="BodyText"/>
      </w:pPr>
      <w:r>
        <w:t xml:space="preserve">In the current study, we leverage both previously-used (i.e., income for</w:t>
      </w:r>
      <w:r>
        <w:t xml:space="preserve"> </w:t>
      </w:r>
      <w:r>
        <w:t xml:space="preserve">harshness; family transitions and income variability for</w:t>
      </w:r>
      <w:r>
        <w:t xml:space="preserve"> </w:t>
      </w:r>
      <w:r>
        <w:t xml:space="preserve">unpredictability) and unexplored measures of both constructs. Unexplored</w:t>
      </w:r>
      <w:r>
        <w:t xml:space="preserve"> </w:t>
      </w:r>
      <w:r>
        <w:t xml:space="preserve">measures include neighborhood disadvantage (i.e., the mean for harshness</w:t>
      </w:r>
      <w:r>
        <w:t xml:space="preserve"> </w:t>
      </w:r>
      <w:r>
        <w:t xml:space="preserve">and the variability for unpredictability). We leverage data from the</w:t>
      </w:r>
      <w:r>
        <w:t xml:space="preserve"> </w:t>
      </w:r>
      <w:r>
        <w:t xml:space="preserve">1990 Census to index the individuals’ neighborhood ecological context,</w:t>
      </w:r>
      <w:r>
        <w:t xml:space="preserve"> </w:t>
      </w:r>
      <w:r>
        <w:t xml:space="preserve">which has been used in the SECCYD previously</w:t>
      </w:r>
      <w:r>
        <w:t xml:space="preserve"> </w:t>
      </w:r>
      <w:r>
        <w:t xml:space="preserve">(Bleil, Spieker, et al., 2021; Bleil, Appelhans, et al., 2021)</w:t>
      </w:r>
      <w:r>
        <w:t xml:space="preserve">.</w:t>
      </w:r>
    </w:p>
    <w:p>
      <w:pPr>
        <w:pStyle w:val="BodyText"/>
      </w:pPr>
      <w:r>
        <w:t xml:space="preserve">We use two sets of criteria for evaluating our results. First, our</w:t>
      </w:r>
      <w:r>
        <w:t xml:space="preserve"> </w:t>
      </w:r>
      <w:r>
        <w:t xml:space="preserve">expectations change according to the conceptual framework. For example,</w:t>
      </w:r>
      <w:r>
        <w:t xml:space="preserve"> </w:t>
      </w:r>
      <w:r>
        <w:t xml:space="preserve">from a traditional deficit perspective, we would expect negative overall</w:t>
      </w:r>
      <w:r>
        <w:t xml:space="preserve"> </w:t>
      </w:r>
      <w:r>
        <w:t xml:space="preserve">effects of adversity. Performance on subtests should closely match the</w:t>
      </w:r>
      <w:r>
        <w:t xml:space="preserve"> </w:t>
      </w:r>
      <w:r>
        <w:t xml:space="preserve">overall effect. In contrast, from an adaptation-based perspective, we</w:t>
      </w:r>
      <w:r>
        <w:t xml:space="preserve"> </w:t>
      </w:r>
      <w:r>
        <w:t xml:space="preserve">would expect an overall negative effect, but performance on some</w:t>
      </w:r>
      <w:r>
        <w:t xml:space="preserve"> </w:t>
      </w:r>
      <w:r>
        <w:t xml:space="preserve">subtests may be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can compare subset performance (simple slopes) against overall</w:t>
      </w:r>
      <w:r>
        <w:t xml:space="preserve"> </w:t>
      </w:r>
      <w:r>
        <w:t xml:space="preserve">performance (the main effect of adversity across all tests), which is</w:t>
      </w:r>
      <w:r>
        <w:t xml:space="preserve"> </w:t>
      </w:r>
      <w:r>
        <w:t xml:space="preserve">measured by the interaction between subtest category and adversity. This</w:t>
      </w:r>
      <w:r>
        <w:t xml:space="preserve"> </w:t>
      </w:r>
      <w:r>
        <w:t xml:space="preserve">interaction term indicates whether performance is significantly more</w:t>
      </w:r>
      <w:r>
        <w:t xml:space="preserve"> </w:t>
      </w:r>
      <w:r>
        <w:t xml:space="preserve">negative, less negative, or positive compared to overall performance.</w:t>
      </w:r>
      <w:r>
        <w:t xml:space="preserve"> </w:t>
      </w:r>
      <w:r>
        <w:t xml:space="preserve">For both types of effects, we can then determine whether they are</w:t>
      </w:r>
      <w:r>
        <w:t xml:space="preserve"> </w:t>
      </w:r>
      <w:r>
        <w:t xml:space="preserve">practically equivalent to either zero (a simple effect) or overall</w:t>
      </w:r>
      <w:r>
        <w:t xml:space="preserve"> </w:t>
      </w:r>
      <w:r>
        <w:t xml:space="preserve">performance (a main effect). Subtest performance is intact when the</w:t>
      </w:r>
      <w:r>
        <w:t xml:space="preserve"> </w:t>
      </w:r>
      <w:r>
        <w:t xml:space="preserve">effect of adversity on a subtest is practically equivalent to zero.</w:t>
      </w:r>
      <w:r>
        <w:t xml:space="preserve"> </w:t>
      </w:r>
      <w:r>
        <w:t xml:space="preserve">Using these criteria, we can position ourselves to identify the drivers</w:t>
      </w:r>
      <w:r>
        <w:t xml:space="preserve"> </w:t>
      </w:r>
      <w:r>
        <w:t xml:space="preserve">of reduced overall cognitive performance, map out sets of</w:t>
      </w:r>
      <w:r>
        <w:t xml:space="preserve"> </w:t>
      </w:r>
      <w:r>
        <w:t xml:space="preserve">‘</w:t>
      </w:r>
      <w:r>
        <w:t xml:space="preserve">intact</w:t>
      </w:r>
      <w:r>
        <w:t xml:space="preserve">’</w:t>
      </w:r>
      <w:r>
        <w:t xml:space="preserve"> </w:t>
      </w:r>
      <w:r>
        <w:t xml:space="preserve">cognitive abilities, and discover 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20331"/>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203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visualization of Woodcock Johnson statistical</w:t>
            </w:r>
            <w:r>
              <w:t xml:space="preserve"> </w:t>
            </w:r>
            <w:r>
              <w:t xml:space="preserve">models. A) is the main effect of adversity on overall performance; B) is</w:t>
            </w:r>
            <w:r>
              <w:t xml:space="preserve"> </w:t>
            </w:r>
            <w:r>
              <w:t xml:space="preserve">the main effect of a subtest, which reflects the average performance on</w:t>
            </w:r>
            <w:r>
              <w:t xml:space="preserve"> </w:t>
            </w:r>
            <w:r>
              <w:t xml:space="preserve">a subtest; C) is the simple effect (slope) of adversity for a particular</w:t>
            </w:r>
            <w:r>
              <w:t xml:space="preserve"> </w:t>
            </w:r>
            <w:r>
              <w:t xml:space="preserve">subtest; and D) is the interaction effect that measures the difference</w:t>
            </w:r>
            <w:r>
              <w:t xml:space="preserve"> </w:t>
            </w:r>
            <w:r>
              <w:t xml:space="preserve">between A and C. A significant simple effect means C ≠ 0, and a</w:t>
            </w:r>
            <w:r>
              <w:t xml:space="preserve"> </w:t>
            </w:r>
            <w:r>
              <w:t xml:space="preserve">significant interaction means A ≠ C. Put differently, when C is</w:t>
            </w:r>
            <w:r>
              <w:t xml:space="preserve"> </w:t>
            </w:r>
            <w:r>
              <w:t xml:space="preserve">significant, adversity is associated with performance on a subtest. When</w:t>
            </w:r>
            <w:r>
              <w:t xml:space="preserve"> </w:t>
            </w:r>
            <w:r>
              <w:t xml:space="preserve">D is significant, the association between adversity and a subtest (C) is</w:t>
            </w:r>
            <w:r>
              <w:t xml:space="preserve"> </w:t>
            </w:r>
            <w:r>
              <w:t xml:space="preserve">different than the association between adversity and the overall effect</w:t>
            </w:r>
            <w:r>
              <w:t xml:space="preserve"> </w:t>
            </w:r>
            <w:r>
              <w:t xml:space="preserve">(A).</w:t>
            </w:r>
          </w:p>
        </w:tc>
      </w:tr>
    </w:tbl>
    <w:bookmarkEnd w:id="27"/>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were age 18 or older, did not plan to move, had a newborn without any</w:t>
      </w:r>
      <w:r>
        <w:t xml:space="preserve"> </w:t>
      </w:r>
      <w:r>
        <w:t xml:space="preserve">known disabilities (and could leave the hospital within one week), had</w:t>
      </w:r>
      <w:r>
        <w:t xml:space="preserve"> </w:t>
      </w:r>
      <w:r>
        <w:t xml:space="preserve">no history of substance abuse, could speak English, lived within one</w:t>
      </w:r>
      <w:r>
        <w:t xml:space="preserve"> </w:t>
      </w:r>
      <w:r>
        <w:t xml:space="preserve">hour driving distance from the research lab, and were in a relatively</w:t>
      </w:r>
      <w:r>
        <w:t xml:space="preserve"> </w:t>
      </w:r>
      <w:r>
        <w:t xml:space="preserve">safe neighborhood (NICHD ECCRN, 2005). More information about</w:t>
      </w:r>
      <w:r>
        <w:t xml:space="preserve"> </w:t>
      </w:r>
      <w:r>
        <w:t xml:space="preserve">recruitment and selection procedures is available from the study (see</w:t>
      </w:r>
      <w:r>
        <w:t xml:space="preserve"> </w:t>
      </w:r>
      <w:hyperlink r:id="rId28">
        <w:r>
          <w:rPr>
            <w:rStyle w:val="Hyperlink"/>
          </w:rPr>
          <w:t xml:space="preserve">https://www.icpsr.umich.edu/web/ICPSR/series/00233</w:t>
        </w:r>
      </w:hyperlink>
      <w:r>
        <w:t xml:space="preserve">). The current</w:t>
      </w:r>
      <w:r>
        <w:t xml:space="preserve"> </w:t>
      </w:r>
      <w:r>
        <w:t xml:space="preserve">analyses included participants with non-missing data on most predictors</w:t>
      </w:r>
      <w:r>
        <w:t xml:space="preserve"> </w:t>
      </w:r>
      <w:r>
        <w:t xml:space="preserve">and outcome variables through age 15 years (</w:t>
      </w:r>
      <w:r>
        <w:rPr>
          <w:iCs/>
          <w:i/>
        </w:rPr>
        <w:t xml:space="preserve">N</w:t>
      </w:r>
      <w:r>
        <w:t xml:space="preserve"> </w:t>
      </w:r>
      <w:r>
        <w:t xml:space="preserve">= 1156). In</w:t>
      </w:r>
      <w:r>
        <w:t xml:space="preserve"> </w:t>
      </w:r>
      <w:r>
        <w:t xml:space="preserve">terms of race and ethnicity, the sample was mostly White (</w:t>
      </w:r>
      <w:r>
        <w:rPr>
          <w:iCs/>
          <w:i/>
        </w:rPr>
        <w:t xml:space="preserve">n</w:t>
      </w:r>
      <w:r>
        <w:t xml:space="preserve"> </w:t>
      </w:r>
      <w:r>
        <w:t xml:space="preserve">=</w:t>
      </w:r>
      <w:r>
        <w:t xml:space="preserve"> </w:t>
      </w:r>
      <w:r>
        <w:t xml:space="preserve">940) with the remaining mothers reporting their child</w:t>
      </w:r>
      <w:r>
        <w:t xml:space="preserve"> </w:t>
      </w:r>
      <w:r>
        <w:t xml:space="preserve">as Black (</w:t>
      </w:r>
      <w:r>
        <w:rPr>
          <w:iCs/>
          <w:i/>
        </w:rPr>
        <w:t xml:space="preserve">n</w:t>
      </w:r>
      <w:r>
        <w:t xml:space="preserve"> </w:t>
      </w:r>
      <w:r>
        <w:t xml:space="preserve">= 138), Asian or Pacific Islander (</w:t>
      </w:r>
      <w:r>
        <w:rPr>
          <w:iCs/>
          <w:i/>
        </w:rPr>
        <w:t xml:space="preserve">n</w:t>
      </w:r>
      <w:r>
        <w:t xml:space="preserve"> </w:t>
      </w:r>
      <w:r>
        <w:t xml:space="preserve">=</w:t>
      </w:r>
      <w:r>
        <w:t xml:space="preserve"> </w:t>
      </w:r>
      <w:r>
        <w:t xml:space="preserve">18), Native American, Eskimo, or Aleutian (</w:t>
      </w:r>
      <w:r>
        <w:rPr>
          <w:iCs/>
          <w:i/>
        </w:rPr>
        <w:t xml:space="preserve">n</w:t>
      </w:r>
      <w:r>
        <w:t xml:space="preserve"> </w:t>
      </w:r>
      <w:r>
        <w:t xml:space="preserve">=</w:t>
      </w:r>
      <w:r>
        <w:t xml:space="preserve"> </w:t>
      </w:r>
      <w:r>
        <w:t xml:space="preserve">5), or another racial/ethnic group (</w:t>
      </w:r>
      <w:r>
        <w:rPr>
          <w:iCs/>
          <w:i/>
        </w:rPr>
        <w:t xml:space="preserve">n</w:t>
      </w:r>
      <w:r>
        <w:t xml:space="preserve"> </w:t>
      </w:r>
      <w:r>
        <w:t xml:space="preserve">=</w:t>
      </w:r>
      <w:r>
        <w:t xml:space="preserve"> </w:t>
      </w:r>
      <w:r>
        <w:t xml:space="preserve">55).</w:t>
      </w:r>
    </w:p>
    <w:bookmarkEnd w:id="29"/>
    <w:bookmarkStart w:id="40" w:name="measures"/>
    <w:p>
      <w:pPr>
        <w:pStyle w:val="Heading2"/>
      </w:pPr>
      <w:r>
        <w:t xml:space="preserve">Measures</w:t>
      </w:r>
    </w:p>
    <w:bookmarkStart w:id="34"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in the</w:t>
      </w:r>
      <w:r>
        <w:t xml:space="preserve"> </w:t>
      </w:r>
      <w:r>
        <w:t xml:space="preserve">54</w:t>
      </w:r>
      <w:r>
        <w:rPr>
          <w:vertAlign w:val="superscript"/>
        </w:rPr>
        <w:t xml:space="preserve">th</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w:t>
      </w:r>
      <w:r>
        <w:t xml:space="preserve"> </w:t>
      </w:r>
      <w:r>
        <w:t xml:space="preserve">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(described later). The WJ achievement battery includes</w:t>
      </w:r>
      <w:r>
        <w:t xml:space="preserve"> </w:t>
      </w:r>
      <w:r>
        <w:t xml:space="preserve">Letter-Word Identification, Passage Comprehension, Calculations, Applied</w:t>
      </w:r>
      <w:r>
        <w:t xml:space="preserve"> </w:t>
      </w:r>
      <w:r>
        <w:t xml:space="preserve">Problems, and Word Attack subtests (described later).</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Comprehension was measured at grades 3, 5, and age</w:t>
      </w:r>
      <w:r>
        <w:t xml:space="preserve"> </w:t>
      </w:r>
      <w:r>
        <w:t xml:space="preserve">15 (see Table 1). Thus, to create overall scores for each subtest, we</w:t>
      </w:r>
      <w:r>
        <w:t xml:space="preserve"> </w:t>
      </w:r>
      <w:r>
        <w:t xml:space="preserve">averaged over all time-points available for each subtest (see</w:t>
      </w:r>
      <w:r>
        <w:t xml:space="preserve"> </w:t>
      </w:r>
      <w:hyperlink r:id="rId30">
        <w:r>
          <w:rPr>
            <w:rStyle w:val="Hyperlink"/>
          </w:rPr>
          <w:t xml:space="preserve">https://anonymous.4open.science/r/seccyd-wj-subtests-BD3E/scripts/2-aggregate-dvs.R</w:t>
        </w:r>
      </w:hyperlink>
      <w:r>
        <w:t xml:space="preserve"> </w:t>
      </w:r>
      <w:r>
        <w:t xml:space="preserve">for code).</w:t>
      </w:r>
    </w:p>
    <w:p>
      <w:pPr>
        <w:pStyle w:val="BodyText"/>
      </w:pPr>
      <w:r>
        <w:br/>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2" name="Picture"/>
                  <a:graphic>
                    <a:graphicData uri="http://schemas.openxmlformats.org/drawingml/2006/picture">
                      <pic:pic>
                        <pic:nvPicPr>
                          <pic:cNvPr descr="figures/markdown/Figure2-1.pdf" id="33" name="Picture"/>
                          <pic:cNvPicPr>
                            <a:picLocks noChangeArrowheads="1" noChangeAspect="1"/>
                          </pic:cNvPicPr>
                        </pic:nvPicPr>
                        <pic:blipFill>
                          <a:blip r:embed="rId31"/>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assessment. Scores were averaged over assessments to create an overall subtest score. Vertical histograms reflect distributions of overall scores per subtest. Gray horizontal lines are sample average scores for all subtests (e.g., the overall WJ score).</w:t>
            </w:r>
          </w:p>
        </w:tc>
      </w:tr>
    </w:tbl>
    <w:p>
      <w:pPr>
        <w:pStyle w:val="BodyText"/>
      </w:pPr>
      <w:r>
        <w:br/>
      </w:r>
    </w:p>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w:t>
      </w:r>
      <w:r>
        <w:t xml:space="preserve"> </w:t>
      </w:r>
      <w:r>
        <w:t xml:space="preserve">and 5. Higher scores indicate more reasoning and more</w:t>
      </w:r>
      <w:r>
        <w:t xml:space="preserve"> </w:t>
      </w:r>
      <w:r>
        <w:t xml:space="preserve">verbal/crystallized 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w:t>
      </w:r>
      <w:r>
        <w:t xml:space="preserve"> </w:t>
      </w:r>
      <w:r>
        <w:t xml:space="preserve">3, 5, and at age 15. Higher scores indicate more vocabulary,</w:t>
      </w:r>
      <w:r>
        <w:t xml:space="preserve"> </w:t>
      </w:r>
      <w:r>
        <w:t xml:space="preserve">comprehension, 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five times: at the 54-month, 1</w:t>
      </w:r>
      <w:r>
        <w:rPr>
          <w:vertAlign w:val="superscript"/>
        </w:rPr>
        <w:t xml:space="preserve">st</w:t>
      </w:r>
      <w:r>
        <w:t xml:space="preserve">, 3</w:t>
      </w:r>
      <w:r>
        <w:rPr>
          <w:vertAlign w:val="superscript"/>
        </w:rPr>
        <w:t xml:space="preserve">rd</w:t>
      </w:r>
      <w:r>
        <w:t xml:space="preserve"> </w:t>
      </w:r>
      <w:r>
        <w:t xml:space="preserve">and</w:t>
      </w:r>
      <w:r>
        <w:t xml:space="preserve"> </w:t>
      </w:r>
      <w:r>
        <w:t xml:space="preserve">5</w:t>
      </w:r>
      <w:r>
        <w:rPr>
          <w:vertAlign w:val="superscript"/>
        </w:rPr>
        <w:t xml:space="preserve">th</w:t>
      </w:r>
      <w:r>
        <w:t xml:space="preserve"> </w:t>
      </w:r>
      <w:r>
        <w:t xml:space="preserve">grade, and 15-year assessments. Higher scores indicate more</w:t>
      </w:r>
      <w:r>
        <w:t xml:space="preserve"> </w:t>
      </w:r>
      <w:r>
        <w:t xml:space="preserve">practical 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twice: at the 3</w:t>
      </w:r>
      <w:r>
        <w:rPr>
          <w:vertAlign w:val="superscript"/>
        </w:rPr>
        <w:t xml:space="preserve">rd</w:t>
      </w:r>
      <w:r>
        <w:t xml:space="preserve"> </w:t>
      </w:r>
      <w:r>
        <w:t xml:space="preserve">and 5</w:t>
      </w:r>
      <w:r>
        <w:rPr>
          <w:vertAlign w:val="superscript"/>
        </w:rPr>
        <w:t xml:space="preserve">th</w:t>
      </w:r>
      <w:r>
        <w:t xml:space="preserve"> </w:t>
      </w:r>
      <w:r>
        <w:t xml:space="preserve">grade assessments.</w:t>
      </w:r>
      <w:r>
        <w:t xml:space="preserve"> </w:t>
      </w:r>
      <w:r>
        <w:t xml:space="preserve">Higher scores indicate more mathematical/quantitative skill.</w:t>
      </w:r>
    </w:p>
    <w:p>
      <w:pPr>
        <w:pStyle w:val="BodyText"/>
      </w:pPr>
      <w:r>
        <w:rPr>
          <w:bCs/>
          <w:b/>
        </w:rPr>
        <w:t xml:space="preserve">Auditory-Visual Associations.</w:t>
      </w:r>
      <w:r>
        <w:t xml:space="preserve"> </w:t>
      </w:r>
      <w:r>
        <w:t xml:space="preserve">This subtest (also called Memory for</w:t>
      </w:r>
      <w:r>
        <w:t xml:space="preserve"> </w:t>
      </w:r>
      <w:r>
        <w:t xml:space="preserve">Names) is an auditory-visual association test. It requires participants</w:t>
      </w:r>
      <w:r>
        <w:t xml:space="preserve"> </w:t>
      </w:r>
      <w:r>
        <w:t xml:space="preserve">to learn a set of</w:t>
      </w:r>
      <w:r>
        <w:t xml:space="preserve"> </w:t>
      </w:r>
      <w:r>
        <w:t xml:space="preserve">‘</w:t>
      </w:r>
      <w:r>
        <w:t xml:space="preserve">space creatures</w:t>
      </w:r>
      <w:r>
        <w:t xml:space="preserve">’</w:t>
      </w:r>
      <w:r>
        <w:t xml:space="preserve"> </w:t>
      </w:r>
      <w:r>
        <w:t xml:space="preserve">and their names. After learning a</w:t>
      </w:r>
      <w:r>
        <w:t xml:space="preserve"> </w:t>
      </w:r>
      <w:r>
        <w:t xml:space="preserve">set of creature-name pairs, participants are presented with nine</w:t>
      </w:r>
      <w:r>
        <w:t xml:space="preserve"> </w:t>
      </w:r>
      <w:r>
        <w:t xml:space="preserve">creatures and must identify which were just shown and which were shown</w:t>
      </w:r>
      <w:r>
        <w:t xml:space="preserve"> </w:t>
      </w:r>
      <w:r>
        <w:t xml:space="preserve">previously. The test difficulty is controlled by (decreasing) increasing</w:t>
      </w:r>
      <w:r>
        <w:t xml:space="preserve"> </w:t>
      </w:r>
      <w:r>
        <w:t xml:space="preserve">the creature-name pairs presented in each set. The test contains 72</w:t>
      </w:r>
      <w:r>
        <w:t xml:space="preserve"> </w:t>
      </w:r>
      <w:r>
        <w:t xml:space="preserve">items and was administered twice: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visual-auditory association and</w:t>
      </w:r>
      <w:r>
        <w:t xml:space="preserve"> </w:t>
      </w:r>
      <w:r>
        <w:t xml:space="preserve">long-term memory skill.</w:t>
      </w:r>
    </w:p>
    <w:p>
      <w:pPr>
        <w:pStyle w:val="BodyText"/>
      </w:pPr>
      <w:r>
        <w:rPr>
          <w:bCs/>
          <w:b/>
        </w:rPr>
        <w:t xml:space="preserve">Auditory Processing.</w:t>
      </w:r>
      <w:r>
        <w:t xml:space="preserve"> </w:t>
      </w:r>
      <w:r>
        <w:t xml:space="preserve">This subtest (also called the Incomplete Words</w:t>
      </w:r>
      <w:r>
        <w:t xml:space="preserve"> </w:t>
      </w:r>
      <w:r>
        <w:t xml:space="preserve">test) measures the ability to listen to words containing missing</w:t>
      </w:r>
      <w:r>
        <w:t xml:space="preserve"> </w:t>
      </w:r>
      <w:r>
        <w:t xml:space="preserve">phonemes and complete the word. The test contains 40 items and was</w:t>
      </w:r>
      <w:r>
        <w:t xml:space="preserve"> </w:t>
      </w:r>
      <w:r>
        <w:t xml:space="preserve">administered twice: at the 54 month and 1</w:t>
      </w:r>
      <w:r>
        <w:rPr>
          <w:vertAlign w:val="superscript"/>
        </w:rPr>
        <w:t xml:space="preserve">st</w:t>
      </w:r>
      <w:r>
        <w:t xml:space="preserve"> </w:t>
      </w:r>
      <w:r>
        <w:t xml:space="preserve">grade assessments. Higher</w:t>
      </w:r>
      <w:r>
        <w:t xml:space="preserve"> </w:t>
      </w:r>
      <w:r>
        <w:t xml:space="preserve">scores indicate more auditory processing skill.</w:t>
      </w:r>
    </w:p>
    <w:p>
      <w:pPr>
        <w:pStyle w:val="BodyText"/>
      </w:pPr>
      <w:r>
        <w:rPr>
          <w:bCs/>
          <w:b/>
        </w:rPr>
        <w:t xml:space="preserve">Short-term Memory.</w:t>
      </w:r>
      <w:r>
        <w:t xml:space="preserve"> </w:t>
      </w:r>
      <w:r>
        <w:t xml:space="preserve">This subtest (also called the Memory for</w:t>
      </w:r>
      <w:r>
        <w:t xml:space="preserve"> </w:t>
      </w:r>
      <w:r>
        <w:t xml:space="preserve">Sentences test) measures the ability to listen to and remember words,</w:t>
      </w:r>
      <w:r>
        <w:t xml:space="preserve"> </w:t>
      </w:r>
      <w:r>
        <w:t xml:space="preserve">phrases, and sentences. The words, phrases, and sentences are played on</w:t>
      </w:r>
      <w:r>
        <w:t xml:space="preserve"> </w:t>
      </w:r>
      <w:r>
        <w:t xml:space="preserve">an audio tape and participants must recall as many as possible. The test</w:t>
      </w:r>
      <w:r>
        <w:t xml:space="preserve"> </w:t>
      </w:r>
      <w:r>
        <w:t xml:space="preserve">contains 32 items and was administered three times: at the 54-month,</w:t>
      </w:r>
      <w:r>
        <w:t xml:space="preserve"> </w:t>
      </w:r>
      <w:r>
        <w:t xml:space="preserve">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 indicate more</w:t>
      </w:r>
      <w:r>
        <w:t xml:space="preserve"> </w:t>
      </w:r>
      <w:r>
        <w:t xml:space="preserve">short-term memory skill.</w:t>
      </w:r>
    </w:p>
    <w:p>
      <w:pPr>
        <w:pStyle w:val="BodyText"/>
      </w:pPr>
      <w:r>
        <w:rPr>
          <w:bCs/>
          <w:b/>
        </w:rPr>
        <w:t xml:space="preserve">Letter-word Pronunciation.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four times: at the 54-month, 1</w:t>
      </w:r>
      <w:r>
        <w:rPr>
          <w:vertAlign w:val="superscript"/>
        </w:rPr>
        <w:t xml:space="preserve">st</w:t>
      </w:r>
      <w:r>
        <w:t xml:space="preserve">, 3</w:t>
      </w:r>
      <w:r>
        <w:rPr>
          <w:vertAlign w:val="superscript"/>
        </w:rPr>
        <w:t xml:space="preserve">rd</w:t>
      </w:r>
      <w:r>
        <w:t xml:space="preserve">,</w:t>
      </w:r>
      <w:r>
        <w:t xml:space="preserve"> </w:t>
      </w:r>
      <w:r>
        <w:t xml:space="preserve">and 5</w:t>
      </w:r>
      <w:r>
        <w:rPr>
          <w:vertAlign w:val="superscript"/>
        </w:rPr>
        <w:t xml:space="preserve">th</w:t>
      </w:r>
      <w:r>
        <w:t xml:space="preserve"> </w:t>
      </w:r>
      <w:r>
        <w:t xml:space="preserve">grade assessments. Higher scores indicate more verbal</w:t>
      </w:r>
      <w:r>
        <w:t xml:space="preserve"> </w:t>
      </w:r>
      <w:r>
        <w:t xml:space="preserve">knowledge.</w:t>
      </w:r>
    </w:p>
    <w:p>
      <w:pPr>
        <w:pStyle w:val="BodyText"/>
      </w:pPr>
      <w:r>
        <w:rPr>
          <w:bCs/>
          <w:b/>
        </w:rPr>
        <w:t xml:space="preserve">Unfamiliar Words.</w:t>
      </w:r>
      <w:r>
        <w:t xml:space="preserve"> </w:t>
      </w:r>
      <w:r>
        <w:t xml:space="preserve">This subtest (also called Word Attack) measures</w:t>
      </w:r>
      <w:r>
        <w:t xml:space="preserve"> </w:t>
      </w:r>
      <w:r>
        <w:t xml:space="preserve">the ability to pronounce unfamiliar words. Participants must read aloud</w:t>
      </w:r>
      <w:r>
        <w:t xml:space="preserve"> </w:t>
      </w:r>
      <w:r>
        <w:t xml:space="preserve">phonetically logical but nonsense or infrequent words. It contains 30</w:t>
      </w:r>
      <w:r>
        <w:t xml:space="preserve"> </w:t>
      </w:r>
      <w:r>
        <w:t xml:space="preserve">items and was administered twice: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auditory processing and</w:t>
      </w:r>
      <w:r>
        <w:t xml:space="preserve"> </w:t>
      </w:r>
      <w:r>
        <w:t xml:space="preserve">linguistic structural analysis knowledge and skill.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Unfamiliar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4"/>
    <w:bookmarkStart w:id="37"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family</w:t>
      </w:r>
      <w:r>
        <w:t xml:space="preserve"> </w:t>
      </w:r>
      <w:r>
        <w:t xml:space="preserve">income-to-needs ratio scores from the 1, 6, 15, 24, 36, and 54-month</w:t>
      </w:r>
      <w:r>
        <w:t xml:space="preserve"> </w:t>
      </w:r>
      <w:r>
        <w:t xml:space="preserve">assessments</w:t>
      </w:r>
      <w:r>
        <w:t xml:space="preserve"> </w:t>
      </w:r>
      <w:r>
        <w:t xml:space="preserve">(Belsky et al., 2012; Hartman et al., 2018; Li et al., 2018; Sung et al., 2016; Zhang et al., 2022)</w:t>
      </w:r>
      <w:r>
        <w:t xml:space="preserve">. We calculated a simple average of all income-to-needs</w:t>
      </w:r>
      <w:r>
        <w:t xml:space="preserve"> </w:t>
      </w:r>
      <w:r>
        <w:t xml:space="preserve">scores across assessments to create an overall income-to-needs score</w:t>
      </w:r>
      <w:r>
        <w:t xml:space="preserve"> </w:t>
      </w:r>
      <w:r>
        <w:t xml:space="preserve">(see</w:t>
      </w:r>
      <w:r>
        <w:t xml:space="preserve"> </w:t>
      </w:r>
      <w:hyperlink r:id="rId35">
        <w:r>
          <w:rPr>
            <w:rStyle w:val="Hyperlink"/>
          </w:rPr>
          <w:t xml:space="preserve">https://anonymous.4open.science/r/seccyd-wj-subtests-BD3E/scripts/2-merge-aggregate-ivs.R</w:t>
        </w:r>
      </w:hyperlink>
      <w:r>
        <w:t xml:space="preserve"> </w:t>
      </w:r>
      <w:r>
        <w:t xml:space="preserve">for code). We reverse-scored income-to-needs mean scores to create a</w:t>
      </w:r>
      <w:r>
        <w:t xml:space="preserve"> </w:t>
      </w:r>
      <w:r>
        <w:t xml:space="preserve">family income disadvantage score, where higher values indicate more</w:t>
      </w:r>
      <w:r>
        <w:t xml:space="preserve"> </w:t>
      </w:r>
      <w:r>
        <w:t xml:space="preserve">disadvantage.</w:t>
      </w:r>
    </w:p>
    <w:p>
      <w:pPr>
        <w:pStyle w:val="BodyText"/>
      </w:pPr>
      <w:r>
        <w:t xml:space="preserve">Second, we used data from the 1990 Census about participants’ broader</w:t>
      </w:r>
      <w:r>
        <w:t xml:space="preserve"> </w:t>
      </w:r>
      <w:r>
        <w:t xml:space="preserve">economic and ecological context in a similar way to previous analyses of</w:t>
      </w:r>
      <w:r>
        <w:t xml:space="preserve"> </w:t>
      </w:r>
      <w:r>
        <w:t xml:space="preserve">neighborhood-level socioeconomic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w:t>
      </w:r>
    </w:p>
    <w:p>
      <w:pPr>
        <w:pStyle w:val="BodyText"/>
      </w:pPr>
      <w:r>
        <w:t xml:space="preserve">We extracted five variables: 1) percent of people living under the</w:t>
      </w:r>
      <w:r>
        <w:t xml:space="preserve"> </w:t>
      </w:r>
      <w:r>
        <w:t xml:space="preserve">poverty line, 2) median household income, 3) Gini coefficients of income</w:t>
      </w:r>
      <w:r>
        <w:t xml:space="preserve"> </w:t>
      </w:r>
      <w:r>
        <w:t xml:space="preserve">inequality based on income frequency data, 4) percent of unemployed</w:t>
      </w:r>
      <w:r>
        <w:t xml:space="preserve"> </w:t>
      </w:r>
      <w:r>
        <w:t xml:space="preserve">individuals over age 16 in the workforce, and 5) the percent of occupied</w:t>
      </w:r>
      <w:r>
        <w:t xml:space="preserve"> </w:t>
      </w:r>
      <w:r>
        <w:t xml:space="preserve">houses that were being rented. These neighborhood variables were</w:t>
      </w:r>
      <w:r>
        <w:t xml:space="preserve"> </w:t>
      </w:r>
      <w:r>
        <w:t xml:space="preserve">standardized and then averaged to create a neighborhood socioeconomic</w:t>
      </w:r>
      <w:r>
        <w:t xml:space="preserve"> </w:t>
      </w:r>
      <w:r>
        <w:t xml:space="preserve">disadvantage score for each home in which a participant lived. Next, we</w:t>
      </w:r>
      <w:r>
        <w:t xml:space="preserve"> </w:t>
      </w:r>
      <w:r>
        <w:t xml:space="preserve">averaged these neighborhood scores over time (up until the 54-month</w:t>
      </w:r>
      <w:r>
        <w:t xml:space="preserve"> </w:t>
      </w:r>
      <w:r>
        <w:t xml:space="preserve">assessment). Thus, if a participant lived in two homes between birth and</w:t>
      </w:r>
      <w:r>
        <w:t xml:space="preserve"> </w:t>
      </w:r>
      <w:r>
        <w:t xml:space="preserve">the 54-month assessment, neighborhood-level variables were standardized</w:t>
      </w:r>
      <w:r>
        <w:t xml:space="preserve"> </w:t>
      </w:r>
      <w:r>
        <w:t xml:space="preserve">and averaged within the first and second Census block, and then averaged</w:t>
      </w:r>
      <w:r>
        <w:t xml:space="preserve"> </w:t>
      </w:r>
      <w:r>
        <w:t xml:space="preserve">between them. These scores served as measures of neighborhood</w:t>
      </w:r>
      <w:r>
        <w:t xml:space="preserve"> </w:t>
      </w:r>
      <w:r>
        <w:t xml:space="preserve">socioeconomic disadvantage where higher scores indicate higher rates of</w:t>
      </w:r>
      <w:r>
        <w:t xml:space="preserve"> </w:t>
      </w:r>
      <w:r>
        <w:t xml:space="preserve">poverty, income-inequality, unemployment, lower education, and more</w:t>
      </w:r>
      <w:r>
        <w:t xml:space="preserve"> </w:t>
      </w:r>
      <w:r>
        <w:t xml:space="preserve">rental housing (see</w:t>
      </w:r>
      <w:r>
        <w:t xml:space="preserve"> </w:t>
      </w:r>
      <w:hyperlink r:id="rId36">
        <w:r>
          <w:rPr>
            <w:rStyle w:val="Hyperlink"/>
          </w:rPr>
          <w:t xml:space="preserve">https://anonymous.4open.science/r/seccyd-wj-subtests-BD3E/scripts/1-compile-ivs-census.R</w:t>
        </w:r>
      </w:hyperlink>
      <w:r>
        <w:t xml:space="preserve"> </w:t>
      </w:r>
      <w:r>
        <w:t xml:space="preserve">for processing and aggregation).</w:t>
      </w:r>
    </w:p>
    <w:bookmarkEnd w:id="37"/>
    <w:bookmarkStart w:id="38" w:name="indicators-of-unpredictability"/>
    <w:p>
      <w:pPr>
        <w:pStyle w:val="Heading3"/>
      </w:pPr>
      <w:r>
        <w:rPr>
          <w:bCs/>
          <w:b/>
        </w:rPr>
        <w:t xml:space="preserve">Indicators of Unpredictability</w:t>
      </w:r>
    </w:p>
    <w:p>
      <w:pPr>
        <w:pStyle w:val="FirstParagraph"/>
      </w:pPr>
      <w:r>
        <w:t xml:space="preserve">Environmental unpredictability is harder to define and measure</w:t>
      </w:r>
      <w:r>
        <w:t xml:space="preserve"> </w:t>
      </w:r>
      <w:r>
        <w:t xml:space="preserve">(Young et al., 2020)</w:t>
      </w:r>
      <w:r>
        <w:t xml:space="preserve">. Studies leveraging data from the SECCYD have used two</w:t>
      </w:r>
      <w:r>
        <w:t xml:space="preserve"> </w:t>
      </w:r>
      <w:r>
        <w:t xml:space="preserve">approaches. The first is to track and count family transitions,</w:t>
      </w:r>
      <w:r>
        <w:t xml:space="preserve"> </w:t>
      </w:r>
      <w:r>
        <w:t xml:space="preserve">including changes in paternal figures living in the home, parental job</w:t>
      </w:r>
      <w:r>
        <w:t xml:space="preserve"> </w:t>
      </w:r>
      <w:r>
        <w:t xml:space="preserve">transitions, and residential changes</w:t>
      </w:r>
      <w:r>
        <w:t xml:space="preserve"> </w:t>
      </w:r>
      <w:r>
        <w:t xml:space="preserve">(Belsky et al., 2012; Hartman et al., 2018; Simpson et al., 2012)</w:t>
      </w:r>
      <w:r>
        <w:t xml:space="preserve">. The second approach is to quantify variability in</w:t>
      </w:r>
      <w:r>
        <w:t xml:space="preserve"> </w:t>
      </w:r>
      <w:r>
        <w:t xml:space="preserve">repeated measures of harshness indicators (e.g., computing variance in</w:t>
      </w:r>
      <w:r>
        <w:t xml:space="preserve"> </w:t>
      </w:r>
      <w:r>
        <w:t xml:space="preserve">family income disadvantage across time). For example, Li and colleagues</w:t>
      </w:r>
      <w:r>
        <w:t xml:space="preserve"> </w:t>
      </w:r>
      <w:r>
        <w:t xml:space="preserve">(2018)</w:t>
      </w:r>
      <w:r>
        <w:t xml:space="preserve"> </w:t>
      </w:r>
      <w:r>
        <w:t xml:space="preserve">fit a linear model to each participants’ income-to-needs</w:t>
      </w:r>
      <w:r>
        <w:t xml:space="preserve"> </w:t>
      </w:r>
      <w:r>
        <w:t xml:space="preserve">scores over time. Then, they computed the residual variance around</w:t>
      </w:r>
      <w:r>
        <w:t xml:space="preserve"> </w:t>
      </w:r>
      <w:r>
        <w:t xml:space="preserve">participant-level linear trends in income-to-needs to create an income</w:t>
      </w:r>
      <w:r>
        <w:t xml:space="preserve"> </w:t>
      </w:r>
      <w:r>
        <w:t xml:space="preserve">variability score. In the current study, we compute unpredictability</w:t>
      </w:r>
      <w:r>
        <w:t xml:space="preserve"> </w:t>
      </w:r>
      <w:r>
        <w:t xml:space="preserve">scores using both approaches and extend the Li and colleagues</w:t>
      </w:r>
      <w:r>
        <w:t xml:space="preserve"> </w:t>
      </w:r>
      <w:r>
        <w:t xml:space="preserve">(2018)</w:t>
      </w:r>
      <w:r>
        <w:t xml:space="preserve"> </w:t>
      </w:r>
      <w:r>
        <w:t xml:space="preserve">approach to the neighborhood-level Census block data.</w:t>
      </w:r>
    </w:p>
    <w:p>
      <w:pPr>
        <w:pStyle w:val="BodyText"/>
      </w:pPr>
      <w:r>
        <w:t xml:space="preserve">To calculate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 compute an overall family transitions variable (see</w:t>
      </w:r>
      <w:r>
        <w:t xml:space="preserve"> </w:t>
      </w:r>
      <w:hyperlink r:id="rId35">
        <w:r>
          <w:rPr>
            <w:rStyle w:val="Hyperlink"/>
          </w:rPr>
          <w:t xml:space="preserve">https://anonymous.4open.science/r/seccyd-wj-subtests-BD3E/scripts/2-merge-aggregate-ivs.R</w:t>
        </w:r>
      </w:hyperlink>
      <w:r>
        <w:t xml:space="preserve"> </w:t>
      </w:r>
      <w:r>
        <w:t xml:space="preserve">for code).</w:t>
      </w:r>
    </w:p>
    <w:p>
      <w:pPr>
        <w:pStyle w:val="BodyText"/>
      </w:pPr>
      <w:r>
        <w:t xml:space="preserve">We next calculated variability scores for both family income and</w:t>
      </w:r>
      <w:r>
        <w:t xml:space="preserve"> </w:t>
      </w:r>
      <w:r>
        <w:t xml:space="preserve">neighborhood socioeconomic disadvantage. For, family income disadvantage</w:t>
      </w:r>
      <w:r>
        <w:t xml:space="preserve"> </w:t>
      </w:r>
      <w:r>
        <w:t xml:space="preserve">scores, we computed a standard deviation of all income-to-needs scores</w:t>
      </w:r>
      <w:r>
        <w:t xml:space="preserve"> </w:t>
      </w:r>
      <w:r>
        <w:t xml:space="preserve">for each participant from the 1, 6, 15, 24, 36, and 54-month assessments</w:t>
      </w:r>
      <w:r>
        <w:t xml:space="preserve"> </w:t>
      </w:r>
      <w:r>
        <w:t xml:space="preserve">(see</w:t>
      </w:r>
      <w:r>
        <w:t xml:space="preserve"> </w:t>
      </w:r>
      <w:hyperlink r:id="rId35">
        <w:r>
          <w:rPr>
            <w:rStyle w:val="Hyperlink"/>
          </w:rPr>
          <w:t xml:space="preserve">https://anonymous.4open.science/r/seccyd-wj-subtests-BD3E/scripts/2-merge-aggregate-ivs.R</w:t>
        </w:r>
      </w:hyperlink>
      <w:r>
        <w:t xml:space="preserve"> </w:t>
      </w:r>
      <w:r>
        <w:t xml:space="preserve">for code). For neighborhood socioeconomic disadvantage variability, we</w:t>
      </w:r>
      <w:r>
        <w:t xml:space="preserve"> </w:t>
      </w:r>
      <w:r>
        <w:t xml:space="preserve">computed the standard deviation of neighborhood socioeconomic</w:t>
      </w:r>
      <w:r>
        <w:t xml:space="preserve"> </w:t>
      </w:r>
      <w:r>
        <w:t xml:space="preserve">disadvantage scores (see Indicators of Harshness, above). If</w:t>
      </w:r>
      <w:r>
        <w:t xml:space="preserve"> </w:t>
      </w:r>
      <w:r>
        <w:t xml:space="preserve">participants had only lived in one Census block from 1 to 54 months,</w:t>
      </w:r>
      <w:r>
        <w:t xml:space="preserve"> </w:t>
      </w:r>
      <w:r>
        <w:t xml:space="preserve">their neighborhood socioeconomic disadvantage variability score was</w:t>
      </w:r>
      <w:r>
        <w:t xml:space="preserve"> </w:t>
      </w:r>
      <w:r>
        <w:t xml:space="preserve">zero.</w:t>
      </w:r>
    </w:p>
    <w:bookmarkEnd w:id="38"/>
    <w:bookmarkStart w:id="39"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0 = male), and 3) the race/ethnicity of each child coded as</w:t>
      </w:r>
      <w:r>
        <w:t xml:space="preserve"> </w:t>
      </w:r>
      <w:r>
        <w:t xml:space="preserve">White/non-Hispanic = 0, otherwise = 1. We chose to code race/ethnicity</w:t>
      </w:r>
      <w:r>
        <w:t xml:space="preserve"> </w:t>
      </w:r>
      <w:r>
        <w:t xml:space="preserve">this way because the SECCYD sample is mostly White, making the sample</w:t>
      </w:r>
      <w:r>
        <w:t xml:space="preserve"> </w:t>
      </w:r>
      <w:r>
        <w:t xml:space="preserve">sizes for other racial/ethnic groups small.</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58"/>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Income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Income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Socioeconomic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bookmarkEnd w:id="39"/>
    <w:bookmarkEnd w:id="40"/>
    <w:bookmarkEnd w:id="41"/>
    <w:bookmarkStart w:id="66" w:name="results"/>
    <w:p>
      <w:pPr>
        <w:pStyle w:val="Heading1"/>
      </w:pPr>
      <w:r>
        <w:t xml:space="preserve">Results</w:t>
      </w:r>
    </w:p>
    <w:bookmarkStart w:id="49"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2">
        <w:r>
          <w:rPr>
            <w:rStyle w:val="Hyperlink"/>
          </w:rPr>
          <w:t xml:space="preserve">https://anonymous.4open.science/r/seccyd-wj-subtests-BD3E/preregistration/README.md</w:t>
        </w:r>
      </w:hyperlink>
      <w:r>
        <w:t xml:space="preserve">).</w:t>
      </w:r>
    </w:p>
    <w:p>
      <w:pPr>
        <w:pStyle w:val="BodyText"/>
      </w:pPr>
      <w:r>
        <w:t xml:space="preserve">We also conducted a power analysis as part of our preregistration (see</w:t>
      </w:r>
      <w:r>
        <w:t xml:space="preserve"> </w:t>
      </w:r>
      <w:hyperlink r:id="rId43">
        <w:r>
          <w:rPr>
            <w:rStyle w:val="Hyperlink"/>
          </w:rPr>
          <w:t xml:space="preserve">https://anonymous.4open.science/r/seccyd-wj-subtests-BD3E/preregistration/power-analysis/README.md</w:t>
        </w:r>
      </w:hyperlink>
      <w:r>
        <w:t xml:space="preserve"> </w:t>
      </w:r>
      <w:r>
        <w:t xml:space="preserve">for write up and see</w:t>
      </w:r>
      <w:r>
        <w:t xml:space="preserve"> </w:t>
      </w:r>
      <w:hyperlink r:id="rId44">
        <w:r>
          <w:rPr>
            <w:rStyle w:val="Hyperlink"/>
          </w:rPr>
          <w:t xml:space="preserve">https://anonymous.4open.science/r/seccyd-wj-subtests-BD3E/scripts/prereg-power-simulation.R</w:t>
        </w:r>
      </w:hyperlink>
      <w:r>
        <w:t xml:space="preserve"> </w:t>
      </w:r>
      <w:r>
        <w:t xml:space="preserve">for code). We used a simulation approach to conduct power analyses.</w:t>
      </w:r>
      <w:r>
        <w:t xml:space="preserve"> </w:t>
      </w:r>
      <w:r>
        <w:t xml:space="preserve">These analyses were based on simulated adversity scores and actual WJ</w:t>
      </w:r>
      <w:r>
        <w:t xml:space="preserve"> </w:t>
      </w:r>
      <w:r>
        <w:t xml:space="preserve">test scores from the SECCYD data used in this study. We used actual WJ</w:t>
      </w:r>
      <w:r>
        <w:t xml:space="preserve"> </w:t>
      </w:r>
      <w:r>
        <w:t xml:space="preserve">test scores in order to fully leverage their variance-covariance</w:t>
      </w:r>
      <w:r>
        <w:t xml:space="preserve"> </w:t>
      </w:r>
      <w:r>
        <w:t xml:space="preserve">structure. Simulations showed that, with a sample size of (</w:t>
      </w:r>
      <w:r>
        <w:rPr>
          <w:iCs/>
          <w:i/>
        </w:rPr>
        <w:t xml:space="preserve">N</w:t>
      </w:r>
      <w:r>
        <w:t xml:space="preserve"> </w:t>
      </w:r>
      <w:r>
        <w:t xml:space="preserve">=</w:t>
      </w:r>
      <w:r>
        <w:t xml:space="preserve"> </w:t>
      </w:r>
      <w:r>
        <w:t xml:space="preserve">1156), the smallest interaction effect we can detect is</w:t>
      </w:r>
      <w:r>
        <w:t xml:space="preserve"> </w:t>
      </w:r>
      <m:oMath>
        <m:r>
          <m:t>β</m:t>
        </m:r>
      </m:oMath>
      <w:r>
        <w:t xml:space="preserve"> </w:t>
      </w:r>
      <w:r>
        <w:t xml:space="preserve">= -.075 (or .075) with 90% power, if error is small. When error is</w:t>
      </w:r>
      <w:r>
        <w:t xml:space="preserve"> </w:t>
      </w:r>
      <w:r>
        <w:t xml:space="preserve">larger, we can detect the same effect size with only 65% power. However,</w:t>
      </w:r>
      <w:r>
        <w:t xml:space="preserve"> </w:t>
      </w:r>
      <w:r>
        <w:t xml:space="preserve">even with larger error, we can detect a</w:t>
      </w:r>
      <w:r>
        <w:t xml:space="preserve"> </w:t>
      </w:r>
      <m:oMath>
        <m:r>
          <m:t>β</m:t>
        </m:r>
      </m:oMath>
      <w:r>
        <w:t xml:space="preserve"> </w:t>
      </w:r>
      <w:r>
        <w:t xml:space="preserve">= -.10 (or .10) with 83%</w:t>
      </w:r>
      <w:r>
        <w:t xml:space="preserve"> </w:t>
      </w:r>
      <w:r>
        <w:t xml:space="preserve">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5">
        <w:r>
          <w:rPr>
            <w:rStyle w:val="Hyperlink"/>
          </w:rPr>
          <w:t xml:space="preserve">https://anonymous.4open.science/r/seccyd-wj-subtests-BD3E/README.md</w:t>
        </w:r>
      </w:hyperlink>
      <w:r>
        <w:t xml:space="preserve">),</w:t>
      </w:r>
      <w:r>
        <w:t xml:space="preserve"> </w:t>
      </w:r>
      <w:r>
        <w:t xml:space="preserve"> </w:t>
      </w:r>
      <w:r>
        <w:t xml:space="preserve">including the data needed to reproduce all results (see</w:t>
      </w:r>
      <w:r>
        <w:t xml:space="preserve"> </w:t>
      </w:r>
      <w:hyperlink r:id="rId46">
        <w:r>
          <w:rPr>
            <w:rStyle w:val="Hyperlink"/>
          </w:rPr>
          <w:t xml:space="preserve">https://anonymous.4open.science/r/seccyd-wj-subtests-BD3E/data/README.md</w:t>
        </w:r>
      </w:hyperlink>
      <w:r>
        <w:t xml:space="preserve">).</w:t>
      </w:r>
      <w:r>
        <w:t xml:space="preserve"> </w:t>
      </w:r>
      <w:r>
        <w:t xml:space="preserve">Raw data (data provided by the SECCYD) is available only via</w:t>
      </w:r>
      <w:r>
        <w:t xml:space="preserve"> </w:t>
      </w:r>
      <w:r>
        <w:t xml:space="preserve">Inter-university Consortium for Political and Social Research (ICPSR,</w:t>
      </w:r>
      <w:r>
        <w:t xml:space="preserve"> </w:t>
      </w:r>
      <w:r>
        <w:t xml:space="preserve">see</w:t>
      </w:r>
      <w:r>
        <w:t xml:space="preserve"> </w:t>
      </w:r>
      <w:hyperlink r:id="rId47">
        <w:r>
          <w:rPr>
            <w:rStyle w:val="Hyperlink"/>
          </w:rPr>
          <w:t xml:space="preserve">https://www.icpsr.umich.edu/web/pages/</w:t>
        </w:r>
      </w:hyperlink>
      <w:r>
        <w:t xml:space="preserve">). However, documentation</w:t>
      </w:r>
      <w:r>
        <w:t xml:space="preserve"> </w:t>
      </w:r>
      <w:r>
        <w:t xml:space="preserve">for the study is free to download (see</w:t>
      </w:r>
      <w:r>
        <w:t xml:space="preserve"> </w:t>
      </w:r>
      <w:hyperlink r:id="rId48">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6">
        <w:r>
          <w:rPr>
            <w:rStyle w:val="Hyperlink"/>
          </w:rPr>
          <w:t xml:space="preserve">https://anonymous.4open.science/r/seccyd-wj-subtests-BD3E/data/README.md</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we 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49"/>
    <w:bookmarkStart w:id="50"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these variables at</w:t>
      </w:r>
      <w:r>
        <w:t xml:space="preserve"> </w:t>
      </w:r>
      <w:r>
        <w:t xml:space="preserve">zero.</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sum-coded contrast variable for WJ subtests with 10 levels (one for</w:t>
      </w:r>
      <w:r>
        <w:t xml:space="preserve"> </w:t>
      </w:r>
      <w:r>
        <w:t xml:space="preserve">each subtest). This type of contrast sets the model intercept to the</w:t>
      </w:r>
      <w:r>
        <w:t xml:space="preserve"> </w:t>
      </w:r>
      <w:r>
        <w:t xml:space="preserve">grand mean (i.e.,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contains a main effect for each covariate, a</w:t>
      </w:r>
      <w:r>
        <w:t xml:space="preserve"> </w:t>
      </w:r>
      <w:r>
        <w:t xml:space="preserve">main effect of adversity, and an interaction term for each subtest</w:t>
      </w:r>
      <w:r>
        <w:t xml:space="preserve"> </w:t>
      </w:r>
      <w:r>
        <w:t xml:space="preserve">(i.e., 10 interaction terms). The main effect of adversity reflects the</w:t>
      </w:r>
      <w:r>
        <w:t xml:space="preserve"> </w:t>
      </w:r>
      <w:r>
        <w:t xml:space="preserve">association between adversity and overall WJ performance (i.e.,</w:t>
      </w:r>
      <w:r>
        <w:t xml:space="preserve"> </w:t>
      </w:r>
      <w:r>
        <w:t xml:space="preserve">within-person average across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w:t>
      </w:r>
      <w:r>
        <w:t xml:space="preserve"> </w:t>
      </w:r>
      <w:r>
        <w:t xml:space="preserve">Whereas simple effects test whether an association between adversity and</w:t>
      </w:r>
      <w:r>
        <w:t xml:space="preserve"> </w:t>
      </w:r>
      <w:r>
        <w:t xml:space="preserve">subtest performance is different from zero, interaction terms measure</w:t>
      </w:r>
      <w:r>
        <w:t xml:space="preserve"> </w:t>
      </w:r>
      <w:r>
        <w:t xml:space="preserve">whether a simple effect is different from the main effect.</w:t>
      </w:r>
    </w:p>
    <w:p>
      <w:pPr>
        <w:pStyle w:val="BodyText"/>
      </w:pPr>
      <w:r>
        <w:t xml:space="preserve">Using this modeling strategy, we computed three types of effect</w:t>
      </w:r>
      <w:r>
        <w:t xml:space="preserve"> </w:t>
      </w:r>
      <w:r>
        <w:t xml:space="preserve">sizes: 1) the main effect of each adversity measure (tested in separate</w:t>
      </w:r>
      <w:r>
        <w:t xml:space="preserve"> </w:t>
      </w:r>
      <w:r>
        <w:t xml:space="preserve">models), 2) the interaction effect between an adversity measure and</w:t>
      </w:r>
      <w:r>
        <w:t xml:space="preserve"> </w:t>
      </w:r>
      <w:r>
        <w:t xml:space="preserve">subtest, and 3) the simple effect of adversity for each subtest. We did</w:t>
      </w:r>
      <w:r>
        <w:t xml:space="preserve"> </w:t>
      </w:r>
      <w:r>
        <w:t xml:space="preserve">not have specific point or range predictions for the effect size types</w:t>
      </w:r>
      <w:r>
        <w:t xml:space="preserve"> </w:t>
      </w:r>
      <w:r>
        <w:t xml:space="preserve">above. However, we decided a priori to consider standardized regression</w:t>
      </w:r>
      <w:r>
        <w:t xml:space="preserve"> </w:t>
      </w:r>
      <w:r>
        <w:t xml:space="preserve">coefficients (i.e.,</w:t>
      </w:r>
      <w:r>
        <w:t xml:space="preserve"> </w:t>
      </w:r>
      <m:oMath>
        <m:r>
          <m:t>β</m:t>
        </m:r>
      </m:oMath>
      <w:r>
        <w:t xml:space="preserve">’s) of .10 (or higher) and -.10 (or lower) as</w:t>
      </w:r>
      <w:r>
        <w:t xml:space="preserve"> </w:t>
      </w:r>
      <w:r>
        <w:t xml:space="preserve">meaningful. For main effects, coefficients outside this range indicate</w:t>
      </w:r>
      <w:r>
        <w:t xml:space="preserve"> </w:t>
      </w:r>
      <w:r>
        <w:t xml:space="preserve">that overall performance is meaningfully positive or negative across</w:t>
      </w:r>
      <w:r>
        <w:t xml:space="preserve"> </w:t>
      </w:r>
      <w:r>
        <w:t xml:space="preserve">levels of adversity. For interactions, effect sizes outside these bounds</w:t>
      </w:r>
      <w:r>
        <w:t xml:space="preserve"> </w:t>
      </w:r>
      <w:r>
        <w:t xml:space="preserve">indicate that associations between adversity and subtest performance are</w:t>
      </w:r>
      <w:r>
        <w:t xml:space="preserve"> </w:t>
      </w:r>
      <w:r>
        <w:t xml:space="preserve">meaningfully more negative or more positive than overall performance.</w:t>
      </w:r>
      <w:r>
        <w:t xml:space="preserve"> </w:t>
      </w:r>
      <w:r>
        <w:t xml:space="preserve">For simple effects, effects outside these bounds indicate that the</w:t>
      </w:r>
      <w:r>
        <w:t xml:space="preserve"> </w:t>
      </w:r>
      <w:r>
        <w:t xml:space="preserve">effect of adversity on a specific subtest is meaningfully different from</w:t>
      </w:r>
      <w:r>
        <w:t xml:space="preserve"> </w:t>
      </w:r>
      <w:r>
        <w:t xml:space="preserve">zero.</w:t>
      </w:r>
    </w:p>
    <w:p>
      <w:pPr>
        <w:pStyle w:val="BodyText"/>
      </w:pPr>
      <w:r>
        <w:t xml:space="preserve">We were also interested in null effects. Specifically, we used</w:t>
      </w:r>
      <w:r>
        <w:t xml:space="preserve"> </w:t>
      </w:r>
      <w:r>
        <w:t xml:space="preserve">equivalence testing to determine whether a given effect is practically</w:t>
      </w:r>
      <w:r>
        <w:t xml:space="preserve"> </w:t>
      </w:r>
      <w:r>
        <w:t xml:space="preserve">equivalent to a Range of Practical Significance (ROPE). We chose a ROPE</w:t>
      </w:r>
      <w:r>
        <w:t xml:space="preserve"> </w:t>
      </w:r>
      <w:r>
        <w:t xml:space="preserve">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w:t>
      </w:r>
      <w:r>
        <w:t xml:space="preserve"> </w:t>
      </w:r>
      <w:r>
        <w:t xml:space="preserve">converted our ROPE to the WJ standard score scale by multiplying the</w:t>
      </w:r>
      <w:r>
        <w:t xml:space="preserve"> </w:t>
      </w:r>
      <w:r>
        <w:t xml:space="preserve">standard deviation of standard WJ scores (</w:t>
      </w:r>
      <w:r>
        <w:rPr>
          <w:iCs/>
          <w:i/>
        </w:rPr>
        <w:t xml:space="preserve">SD</w:t>
      </w:r>
      <w:r>
        <w:t xml:space="preserve"> </w:t>
      </w:r>
      <w:r>
        <w:t xml:space="preserve">= 15) by .1. Thus, our</w:t>
      </w:r>
      <w:r>
        <w:t xml:space="preserve"> </w:t>
      </w:r>
      <w:r>
        <w:t xml:space="preserve">ROPE was -1.5 to 1.5 for unstandardized coefficients.</w:t>
      </w:r>
    </w:p>
    <w:p>
      <w:pPr>
        <w:pStyle w:val="BodyText"/>
      </w:pPr>
      <w:r>
        <w:t xml:space="preserve">To guide interpretation, we also applied a set of inferential criteria</w:t>
      </w:r>
      <w:r>
        <w:t xml:space="preserve"> </w:t>
      </w:r>
      <w:r>
        <w:t xml:space="preserve">for categorizing data patterns. We were interested in three data</w:t>
      </w:r>
      <w:r>
        <w:t xml:space="preserve"> </w:t>
      </w:r>
      <w:r>
        <w:t xml:space="preserve">patterns: 1) enhanced performance, 2) reduced performance, and 3) intact</w:t>
      </w:r>
      <w:r>
        <w:t xml:space="preserve"> </w:t>
      </w:r>
      <w:r>
        <w:t xml:space="preserve">performance. We inferred</w:t>
      </w:r>
      <w:r>
        <w:t xml:space="preserve"> </w:t>
      </w:r>
      <w:r>
        <w:t xml:space="preserve">‘</w:t>
      </w:r>
      <w:r>
        <w:t xml:space="preserve">enhanced performance</w:t>
      </w:r>
      <w:r>
        <w:t xml:space="preserve">’</w:t>
      </w:r>
      <w:r>
        <w:t xml:space="preserve"> </w:t>
      </w:r>
      <w:r>
        <w:t xml:space="preserve">when main and simple</w:t>
      </w:r>
      <w:r>
        <w:t xml:space="preserve"> </w:t>
      </w:r>
      <w:r>
        <w:t xml:space="preserve">effects were positive, statistically different from zero, and outside</w:t>
      </w:r>
      <w:r>
        <w:t xml:space="preserve"> </w:t>
      </w:r>
      <w:r>
        <w:t xml:space="preserve">the ROPE. We inferred</w:t>
      </w:r>
      <w:r>
        <w:t xml:space="preserve"> </w:t>
      </w:r>
      <w:r>
        <w:t xml:space="preserve">‘</w:t>
      </w:r>
      <w:r>
        <w:t xml:space="preserve">reduced performance</w:t>
      </w:r>
      <w:r>
        <w:t xml:space="preserve">’</w:t>
      </w:r>
      <w:r>
        <w:t xml:space="preserve"> </w:t>
      </w:r>
      <w:r>
        <w:t xml:space="preserve">when main and simple effects</w:t>
      </w:r>
      <w:r>
        <w:t xml:space="preserve"> </w:t>
      </w:r>
      <w:r>
        <w:t xml:space="preserve">were negative, statistically different from zero, and outside the ROPE.</w:t>
      </w:r>
      <w:r>
        <w:t xml:space="preserve"> </w:t>
      </w:r>
      <w:r>
        <w:t xml:space="preserve">We inferred intact performance when a main or simple effect (and its</w:t>
      </w:r>
      <w:r>
        <w:t xml:space="preserve"> </w:t>
      </w:r>
      <w:r>
        <w:t xml:space="preserve">confidence bounds) was practically equivalent to zero (i.e., fell inside</w:t>
      </w:r>
      <w:r>
        <w:t xml:space="preserve"> </w:t>
      </w:r>
      <w:r>
        <w:t xml:space="preserve">the ROPE).</w:t>
      </w:r>
    </w:p>
    <w:p>
      <w:pPr>
        <w:pStyle w:val="BodyText"/>
      </w:pPr>
      <w:r>
        <w:t xml:space="preserve">We used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were particularly interested</w:t>
      </w:r>
      <w:r>
        <w:t xml:space="preserve"> </w:t>
      </w:r>
      <w:r>
        <w:t xml:space="preserve">in cases where a main effect is negative and interaction terms are</w:t>
      </w:r>
      <w:r>
        <w:t xml:space="preserve"> </w:t>
      </w:r>
      <w:r>
        <w:t xml:space="preserve">positive. This may reflect either</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r>
        <w:t xml:space="preserve"> </w:t>
      </w:r>
    </w:p>
    <w:bookmarkEnd w:id="50"/>
    <w:bookmarkStart w:id="61"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 unpredictability).</w:t>
      </w:r>
      <w:r>
        <w:t xml:space="preserve"> </w:t>
      </w:r>
      <w:r>
        <w:t xml:space="preserve">Because these analyses are exploratory (i.e., we are not testing</w:t>
      </w:r>
      <w:r>
        <w:t xml:space="preserve"> </w:t>
      </w:r>
      <w:r>
        <w:t xml:space="preserve">specific hypotheses), we do not correct for multiple testing. Instead,</w:t>
      </w:r>
      <w:r>
        <w:t xml:space="preserve"> </w:t>
      </w:r>
      <w:r>
        <w:t xml:space="preserve">we use our statistical models for description and our inferential</w:t>
      </w:r>
      <w:r>
        <w:t xml:space="preserve"> </w:t>
      </w:r>
      <w:r>
        <w:t xml:space="preserve">criteria–which includes equivalence tests—to unpack data patterns.</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Materials for full model results).</w:t>
      </w:r>
      <w:r>
        <w:t xml:space="preserve"> </w:t>
      </w:r>
      <w:r>
        <w:t xml:space="preserve">Primary analysis code can be found on GitHub (see</w:t>
      </w:r>
      <w:r>
        <w:t xml:space="preserve"> </w:t>
      </w:r>
      <w:hyperlink r:id="rId51">
        <w:r>
          <w:rPr>
            <w:rStyle w:val="Hyperlink"/>
          </w:rPr>
          <w:t xml:space="preserve">https://anonymous.4open.science/r/seccyd-wj-subtests-BD3E/scripts/3-primary-analysis.R</w:t>
        </w:r>
      </w:hyperlink>
      <w:r>
        <w:t xml:space="preserve">).</w:t>
      </w:r>
    </w:p>
    <w:bookmarkStart w:id="55" w:name="indicators-of-harshness-1"/>
    <w:p>
      <w:pPr>
        <w:pStyle w:val="Heading3"/>
      </w:pPr>
      <w:r>
        <w:t xml:space="preserve">Indicators of Harshness</w:t>
      </w:r>
    </w:p>
    <w:p>
      <w:pPr>
        <w:pStyle w:val="FirstParagraph"/>
      </w:pPr>
      <w:r>
        <w:rPr>
          <w:bCs/>
          <w:b/>
        </w:rPr>
        <w:t xml:space="preserve">Overview</w:t>
      </w:r>
      <w:r>
        <w:t xml:space="preserve">. In general, exposure to more income- and</w:t>
      </w:r>
      <w:r>
        <w:t xml:space="preserve"> </w:t>
      </w:r>
      <w:r>
        <w:t xml:space="preserve">socioeconomic-related indicators of harshness was associated with</w:t>
      </w:r>
      <w:r>
        <w:t xml:space="preserve"> </w:t>
      </w:r>
      <w:r>
        <w:t xml:space="preserve">reduced overall WJ performance. For both family income and</w:t>
      </w:r>
      <w:r>
        <w:t xml:space="preserve"> </w:t>
      </w:r>
      <w:r>
        <w:t xml:space="preserve">neighborhood-level socioeconomic disadvantage, seven out of ten WJ</w:t>
      </w:r>
      <w:r>
        <w:t xml:space="preserve"> </w:t>
      </w:r>
      <w:r>
        <w:t xml:space="preserve">subtests were reduced. Performance was particularly reduced for the</w:t>
      </w:r>
      <w:r>
        <w:t xml:space="preserve"> </w:t>
      </w:r>
      <w:r>
        <w:t xml:space="preserve">Picture Vocabulary and Verbal Analogy subtests. However, across both</w:t>
      </w:r>
      <w:r>
        <w:t xml:space="preserve"> </w:t>
      </w:r>
      <w:r>
        <w:t xml:space="preserve">family and neighborhood models, economic disadvantage appeared to leave</w:t>
      </w:r>
      <w:r>
        <w:t xml:space="preserve"> </w:t>
      </w:r>
      <w:r>
        <w:t xml:space="preserve">the Auditory Processing and Auditory-Visual Associations subtests intact</w:t>
      </w:r>
      <w:r>
        <w:t xml:space="preserve"> </w:t>
      </w:r>
      <w:r>
        <w:t xml:space="preserve">(see below and Figure 3; see Supplemental Materials for full regression</w:t>
      </w:r>
      <w:r>
        <w:t xml:space="preserve"> </w:t>
      </w:r>
      <w:r>
        <w:t xml:space="preserve">tables).</w:t>
      </w:r>
    </w:p>
    <w:p>
      <w:pPr>
        <w:pStyle w:val="BodyText"/>
      </w:pPr>
      <w:r>
        <w:rPr>
          <w:bCs/>
          <w:b/>
        </w:rPr>
        <w:t xml:space="preserve">Family Income Disadvantage (mean)</w:t>
      </w:r>
      <w:r>
        <w:t xml:space="preserve">. Our mixed model analyzed the</w:t>
      </w:r>
      <w:r>
        <w:t xml:space="preserve"> </w:t>
      </w:r>
      <w:r>
        <w:t xml:space="preserve">effect of family income disadvantage on overall compared with subtest WJ</w:t>
      </w:r>
      <w:r>
        <w:t xml:space="preserve"> </w:t>
      </w:r>
      <w:r>
        <w:t xml:space="preserve">performance. There was a main effect of family income disadvantage such</w:t>
      </w:r>
      <w:r>
        <w:t xml:space="preserve"> </w:t>
      </w:r>
      <w:r>
        <w:t xml:space="preserve">that a higher disadvantage was associated with lower overall WJ</w:t>
      </w:r>
      <w:r>
        <w:t xml:space="preserve"> </w:t>
      </w:r>
      <w:r>
        <w:t xml:space="preserve">performance. Equivalence tests show that this overall main effect was</w:t>
      </w:r>
      <w:r>
        <w:t xml:space="preserve"> </w:t>
      </w:r>
      <w:r>
        <w:t xml:space="preserve">meaningfully negative (outside the ROPE, see Figure 3).</w:t>
      </w:r>
    </w:p>
    <w:p>
      <w:pPr>
        <w:pStyle w:val="BodyText"/>
      </w:pPr>
      <w:r>
        <w:t xml:space="preserve">Interaction effects between family income disadvantage and subtests</w:t>
      </w:r>
      <w:r>
        <w:t xml:space="preserve"> </w:t>
      </w:r>
      <w:r>
        <w:t xml:space="preserve">revealed a more nuanced pattern of associations. The association between</w:t>
      </w:r>
      <w:r>
        <w:t xml:space="preserve"> </w:t>
      </w:r>
      <w:r>
        <w:t xml:space="preserve">disadvantage and performance did not differ from the overal main effect</w:t>
      </w:r>
      <w:r>
        <w:t xml:space="preserve"> </w:t>
      </w:r>
      <w:r>
        <w:t xml:space="preserve">for the following subtests: Passage Completion, Calculations, Verbal</w:t>
      </w:r>
      <w:r>
        <w:t xml:space="preserve"> </w:t>
      </w:r>
      <w:r>
        <w:t xml:space="preserve">Analogies, Letter-Word, and Short-Term Memory (see Figure 3). However,</w:t>
      </w:r>
      <w:r>
        <w:t xml:space="preserve"> </w:t>
      </w:r>
      <w:r>
        <w:t xml:space="preserve">the association between income disadvantage and performance on the</w:t>
      </w:r>
      <w:r>
        <w:t xml:space="preserve"> </w:t>
      </w:r>
      <w:r>
        <w:t xml:space="preserve">Picture Vocabulary subtest was significantly and meaningfully more</w:t>
      </w:r>
      <w:r>
        <w:t xml:space="preserve"> </w:t>
      </w:r>
      <w:r>
        <w:t xml:space="preserve">negative than the overall main effect (see Figure 3). Interestingly, the</w:t>
      </w:r>
      <w:r>
        <w:t xml:space="preserve"> </w:t>
      </w:r>
      <w:r>
        <w:t xml:space="preserve">association between disadvantage and performance on the Auditory</w:t>
      </w:r>
      <w:r>
        <w:t xml:space="preserve"> </w:t>
      </w:r>
      <w:r>
        <w:t xml:space="preserve">Processing, Unfamiliar Words, and Auditory-Visual Associations subtests</w:t>
      </w:r>
      <w:r>
        <w:t xml:space="preserve"> </w:t>
      </w:r>
      <w:r>
        <w:t xml:space="preserve">were significantly more positive than the overall main effect (see</w:t>
      </w:r>
      <w:r>
        <w:t xml:space="preserve"> </w:t>
      </w:r>
      <w:r>
        <w:t xml:space="preserve">Figure 3). However, equivalence tests suggest that the income</w:t>
      </w:r>
      <w:r>
        <w:t xml:space="preserve"> </w:t>
      </w:r>
      <w:r>
        <w:t xml:space="preserve">disadvantage and Unfamiliar Words performance association was inside the</w:t>
      </w:r>
      <w:r>
        <w:t xml:space="preserve"> </w:t>
      </w:r>
      <w:r>
        <w:t xml:space="preserve">ROPE and, thus, practically equivalent to the main effect. The</w:t>
      </w:r>
      <w:r>
        <w:t xml:space="preserve"> </w:t>
      </w:r>
      <w:r>
        <w:t xml:space="preserve">associations between income disadvantage and Auditory Processing and</w:t>
      </w:r>
      <w:r>
        <w:t xml:space="preserve"> </w:t>
      </w:r>
      <w:r>
        <w:t xml:space="preserve">Auditory-Visual performance were outside the ROPE, suggesting</w:t>
      </w:r>
      <w:r>
        <w:t xml:space="preserve"> </w:t>
      </w:r>
      <w:r>
        <w:t xml:space="preserve">performance was meaningfully more positive than the main effect for</w:t>
      </w:r>
      <w:r>
        <w:t xml:space="preserve"> </w:t>
      </w:r>
      <w:r>
        <w:t xml:space="preserve">those with income disadvantaged families.</w:t>
      </w:r>
    </w:p>
    <w:p>
      <w:pPr>
        <w:pStyle w:val="BodyText"/>
      </w:pPr>
      <w:r>
        <w:t xml:space="preserve">Our simple effects analysis tested whether the associations between</w:t>
      </w:r>
      <w:r>
        <w:t xml:space="preserve"> </w:t>
      </w:r>
      <w:r>
        <w:t xml:space="preserve">family income disadvantage and subtest performance was statistically</w:t>
      </w:r>
      <w:r>
        <w:t xml:space="preserve"> </w:t>
      </w:r>
      <w:r>
        <w:t xml:space="preserve">different from zero and whether they were practically equivalent to the</w:t>
      </w:r>
      <w:r>
        <w:t xml:space="preserve"> </w:t>
      </w:r>
      <w:r>
        <w:t xml:space="preserve">ROPE (see Figure 3). Analyses revealed that the association between</w:t>
      </w:r>
      <w:r>
        <w:t xml:space="preserve"> </w:t>
      </w:r>
      <w:r>
        <w:t xml:space="preserve">family income disadvantage and each of the subtests where significantly</w:t>
      </w:r>
      <w:r>
        <w:t xml:space="preserve"> </w:t>
      </w:r>
      <w:r>
        <w:t xml:space="preserve">and meaningfully negative, except for the Auditory Processing,</w:t>
      </w:r>
      <w:r>
        <w:t xml:space="preserve"> </w:t>
      </w:r>
      <w:r>
        <w:t xml:space="preserve">Unfamiliar Words, and Auditory-Visual Associations subtests (see Figure</w:t>
      </w:r>
      <w:r>
        <w:t xml:space="preserve"> </w:t>
      </w:r>
      <w:r>
        <w:t xml:space="preserve">3). For these tests, the association between income disadvantage and</w:t>
      </w:r>
      <w:r>
        <w:t xml:space="preserve"> </w:t>
      </w:r>
      <w:r>
        <w:t xml:space="preserve">test performance was not statistically different from zero and</w:t>
      </w:r>
      <w:r>
        <w:t xml:space="preserve"> </w:t>
      </w:r>
      <w:r>
        <w:t xml:space="preserve">practically equivalent to the ROPE (see Figure 3), suggesting</w:t>
      </w:r>
      <w:r>
        <w:t xml:space="preserve"> </w:t>
      </w:r>
      <w:r>
        <w:t xml:space="preserve">performance on these tasks was intact.</w:t>
      </w:r>
    </w:p>
    <w:p>
      <w:pPr>
        <w:pStyle w:val="BodyText"/>
      </w:pPr>
      <w:r>
        <w:rPr>
          <w:bCs/>
          <w:b/>
        </w:rPr>
        <w:t xml:space="preserve">Neighborhood Socioeconomic Disadvantage (Mean)</w:t>
      </w:r>
      <w:r>
        <w:t xml:space="preserve">. Analyses revealed a</w:t>
      </w:r>
      <w:r>
        <w:t xml:space="preserve"> </w:t>
      </w:r>
      <w:r>
        <w:t xml:space="preserve">main effect of neighborhood socioeconomic disadvantage, such that living</w:t>
      </w:r>
      <w:r>
        <w:t xml:space="preserve"> </w:t>
      </w:r>
      <w:r>
        <w:t xml:space="preserve">in high neighborhood socioeconomic disadvantage was associated with</w:t>
      </w:r>
      <w:r>
        <w:t xml:space="preserve"> </w:t>
      </w:r>
      <w:r>
        <w:t xml:space="preserve">reduced overall WJ performance (see Figure 3). Equivalence tests show</w:t>
      </w:r>
      <w:r>
        <w:t xml:space="preserve"> </w:t>
      </w:r>
      <w:r>
        <w:t xml:space="preserve">that this overall main effect was outside the ROPE.</w:t>
      </w:r>
    </w:p>
    <w:p>
      <w:pPr>
        <w:pStyle w:val="BodyText"/>
      </w:pPr>
      <w:r>
        <w:t xml:space="preserve">Interaction effects between neighborhood socioeconomic disadvantage and</w:t>
      </w:r>
      <w:r>
        <w:t xml:space="preserve"> </w:t>
      </w:r>
      <w:r>
        <w:t xml:space="preserve">subtests were varied. The association between socioeconomic disadvantage</w:t>
      </w:r>
      <w:r>
        <w:t xml:space="preserve"> </w:t>
      </w:r>
      <w:r>
        <w:t xml:space="preserve">and performance did not statistically differ from the overal main effect</w:t>
      </w:r>
      <w:r>
        <w:t xml:space="preserve"> </w:t>
      </w:r>
      <w:r>
        <w:t xml:space="preserve">for the following subtests: Passage Completion, Calculations,</w:t>
      </w:r>
      <w:r>
        <w:t xml:space="preserve"> </w:t>
      </w:r>
      <w:r>
        <w:t xml:space="preserve">Letter-Word, and Short-Term Memory (see Figure 3). However, associations</w:t>
      </w:r>
      <w:r>
        <w:t xml:space="preserve"> </w:t>
      </w:r>
      <w:r>
        <w:t xml:space="preserve">were significantly more negative than the main effect for Picture</w:t>
      </w:r>
      <w:r>
        <w:t xml:space="preserve"> </w:t>
      </w:r>
      <w:r>
        <w:t xml:space="preserve">Vocabulary, Verbal Analogies, and Applied Problems subtests (see Figure</w:t>
      </w:r>
      <w:r>
        <w:t xml:space="preserve"> </w:t>
      </w:r>
      <w:r>
        <w:t xml:space="preserve">3). However, equivalence tests revealed that only the association</w:t>
      </w:r>
      <w:r>
        <w:t xml:space="preserve"> </w:t>
      </w:r>
      <w:r>
        <w:t xml:space="preserve">between socioeconomic disadvantage and Verbal Analogies subtest</w:t>
      </w:r>
      <w:r>
        <w:t xml:space="preserve"> </w:t>
      </w:r>
      <w:r>
        <w:t xml:space="preserve">performance was meaningfully more negative than the main effect.</w:t>
      </w:r>
    </w:p>
    <w:p>
      <w:pPr>
        <w:pStyle w:val="BodyText"/>
      </w:pPr>
      <w:r>
        <w:t xml:space="preserve">Similar to the family income disadvantage analysis, neighborhood</w:t>
      </w:r>
      <w:r>
        <w:t xml:space="preserve"> </w:t>
      </w:r>
      <w:r>
        <w:t xml:space="preserve">socioeconomic disadvantage was associated with significantly more</w:t>
      </w:r>
      <w:r>
        <w:t xml:space="preserve"> </w:t>
      </w:r>
      <w:r>
        <w:t xml:space="preserve">positive performance for the Auditory Processing and Auditory-Visual</w:t>
      </w:r>
      <w:r>
        <w:t xml:space="preserve"> </w:t>
      </w:r>
      <w:r>
        <w:t xml:space="preserve">Associations compared to the overall main effect. Equivalence tests</w:t>
      </w:r>
      <w:r>
        <w:t xml:space="preserve"> </w:t>
      </w:r>
      <w:r>
        <w:t xml:space="preserve">revealed that both associations were also meaningfully more positive,</w:t>
      </w:r>
      <w:r>
        <w:t xml:space="preserve"> </w:t>
      </w:r>
      <w:r>
        <w:t xml:space="preserve">suggesting that performance on these tests was relatively enhanced</w:t>
      </w:r>
      <w:r>
        <w:t xml:space="preserve"> </w:t>
      </w:r>
      <w:r>
        <w:t xml:space="preserve">(compared to the main effect) for participants living in</w:t>
      </w:r>
      <w:r>
        <w:t xml:space="preserve"> </w:t>
      </w:r>
      <w:r>
        <w:t xml:space="preserve">socioeconomically disadvantaged neighborhoods (see Figure 3).</w:t>
      </w:r>
    </w:p>
    <w:p>
      <w:pPr>
        <w:pStyle w:val="BodyText"/>
      </w:pPr>
      <w:r>
        <w:t xml:space="preserve">Simple effects revealed that higher neighborhood socioeconomic</w:t>
      </w:r>
      <w:r>
        <w:t xml:space="preserve"> </w:t>
      </w:r>
      <w:r>
        <w:t xml:space="preserve">disadvantage was associated with statistically and meaningfully negative</w:t>
      </w:r>
      <w:r>
        <w:t xml:space="preserve"> </w:t>
      </w:r>
      <w:r>
        <w:t xml:space="preserve">performance for all subtests except for the Auditory Processing and</w:t>
      </w:r>
      <w:r>
        <w:t xml:space="preserve"> </w:t>
      </w:r>
      <w:r>
        <w:t xml:space="preserve">Auditory-Visual Associations subtests. For these two subtests,</w:t>
      </w:r>
      <w:r>
        <w:t xml:space="preserve"> </w:t>
      </w:r>
      <w:r>
        <w:t xml:space="preserve">performance among those living in socioeconomically disadvantaged</w:t>
      </w:r>
      <w:r>
        <w:t xml:space="preserve"> </w:t>
      </w:r>
      <w:r>
        <w:t xml:space="preserve">neighborhoods was not statistically or meaningfully different from zero,</w:t>
      </w:r>
      <w:r>
        <w:t xml:space="preserve"> </w:t>
      </w:r>
      <w:r>
        <w:t xml:space="preserve">suggesting an intact pattern of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3" name="Picture"/>
                  <a:graphic>
                    <a:graphicData uri="http://schemas.openxmlformats.org/drawingml/2006/picture">
                      <pic:pic>
                        <pic:nvPicPr>
                          <pic:cNvPr descr="figures/markdown/Figure3-1.pdf" id="54" name="Picture"/>
                          <pic:cNvPicPr>
                            <a:picLocks noChangeArrowheads="1" noChangeAspect="1"/>
                          </pic:cNvPicPr>
                        </pic:nvPicPr>
                        <pic:blipFill>
                          <a:blip r:embed="rId52"/>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3.</w:t>
            </w:r>
            <w:r>
              <w:t xml:space="preserve"> </w:t>
            </w:r>
            <w:r>
              <w:t xml:space="preserve">Results of models testing the effect of family and neighborhood economic disadvantage on WJ performance. The top and bottom rows depict family and neighborhood socioeconomic disadvantage, respectively. The left column plots the overall slope (thick black lines) against the subtest slopes across low to high socioeconomic disadvantage.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5"/>
    <w:bookmarkStart w:id="60" w:name="indicators-of-unpredictability-1"/>
    <w:p>
      <w:pPr>
        <w:pStyle w:val="Heading3"/>
      </w:pPr>
      <w:r>
        <w:t xml:space="preserve">Indicators of Unpredictability</w:t>
      </w:r>
    </w:p>
    <w:p>
      <w:pPr>
        <w:pStyle w:val="FirstParagraph"/>
      </w:pPr>
      <w:r>
        <w:rPr>
          <w:bCs/>
          <w:b/>
        </w:rPr>
        <w:t xml:space="preserve">Overview</w:t>
      </w:r>
      <w:r>
        <w:t xml:space="preserve">. In general, exposure to more unpredictability, indexed by</w:t>
      </w:r>
      <w:r>
        <w:t xml:space="preserve"> </w:t>
      </w:r>
      <w:r>
        <w:t xml:space="preserve">family transitions and neighborhood socioeconomic variability, was</w:t>
      </w:r>
      <w:r>
        <w:t xml:space="preserve"> </w:t>
      </w:r>
      <w:r>
        <w:t xml:space="preserve">associated with intact overall WJ test performance (see below and Figure</w:t>
      </w:r>
      <w:r>
        <w:t xml:space="preserve"> </w:t>
      </w:r>
      <w:r>
        <w:t xml:space="preserve">4; see Supplemental Materials for full regression tables). Only one WJ</w:t>
      </w:r>
      <w:r>
        <w:t xml:space="preserve"> </w:t>
      </w:r>
      <w:r>
        <w:t xml:space="preserve">subtest showed a deviation from the overall pattern–Applied Problems,</w:t>
      </w:r>
      <w:r>
        <w:t xml:space="preserve"> </w:t>
      </w:r>
      <w:r>
        <w:t xml:space="preserve">which was associated with reduced performance among participants who</w:t>
      </w:r>
      <w:r>
        <w:t xml:space="preserve"> </w:t>
      </w:r>
      <w:r>
        <w:t xml:space="preserve">experience more family transitions (see Figure 4). Results for family</w:t>
      </w:r>
      <w:r>
        <w:t xml:space="preserve"> </w:t>
      </w:r>
      <w:r>
        <w:t xml:space="preserve">income variability raised a number of questions, which we address in our</w:t>
      </w:r>
      <w:r>
        <w:t xml:space="preserve"> </w:t>
      </w:r>
      <w:r>
        <w:t xml:space="preserve">Secondary Analyses (see below for details).</w:t>
      </w:r>
    </w:p>
    <w:p>
      <w:pPr>
        <w:pStyle w:val="BodyText"/>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subtest was</w:t>
      </w:r>
      <w:r>
        <w:t xml:space="preserve"> </w:t>
      </w:r>
      <w:r>
        <w:t xml:space="preserve">meaningfully different from the main effect (see Figure 4).</w:t>
      </w:r>
    </w:p>
    <w:p>
      <w:pPr>
        <w:pStyle w:val="BodyText"/>
      </w:pPr>
      <w:r>
        <w:t xml:space="preserve">Simple effects indicated that exposure to family transitions was only</w:t>
      </w:r>
      <w:r>
        <w:t xml:space="preserve"> </w:t>
      </w:r>
      <w:r>
        <w:t xml:space="preserve">associated with the Calculations and Applied Problems subtests. For</w:t>
      </w:r>
      <w:r>
        <w:t xml:space="preserve"> </w:t>
      </w:r>
      <w:r>
        <w:t xml:space="preserve">Calculations, exposure to more family transitions was associated with</w:t>
      </w:r>
      <w:r>
        <w:t xml:space="preserve"> </w:t>
      </w:r>
      <w:r>
        <w:t xml:space="preserve">significantly and meaningfully lower performance. For Applied Problems,</w:t>
      </w:r>
      <w:r>
        <w:t xml:space="preserve"> </w:t>
      </w:r>
      <w:r>
        <w:t xml:space="preserve">more family transitions were associated with meaningfully lower</w:t>
      </w:r>
      <w:r>
        <w:t xml:space="preserve"> </w:t>
      </w:r>
      <w:r>
        <w:t xml:space="preserve">performance, but this difference was not statistically different from</w:t>
      </w:r>
      <w:r>
        <w:t xml:space="preserve"> </w:t>
      </w:r>
      <w:r>
        <w:t xml:space="preserve">zero (i.e., the association was not significant and outside the ROPE).</w:t>
      </w:r>
    </w:p>
    <w:p>
      <w:pPr>
        <w:pStyle w:val="BodyText"/>
      </w:pPr>
      <w:r>
        <w:rPr>
          <w:bCs/>
          <w:b/>
        </w:rPr>
        <w:t xml:space="preserve">Family Income Variability (</w:t>
      </w:r>
      <w:r>
        <w:rPr>
          <w:iCs/>
          <w:i/>
          <w:bCs/>
          <w:b/>
        </w:rPr>
        <w:t xml:space="preserve">SD</w:t>
      </w:r>
      <w:r>
        <w:rPr>
          <w:bCs/>
          <w:b/>
        </w:rPr>
        <w:t xml:space="preserve">).</w:t>
      </w:r>
      <w:r>
        <w:t xml:space="preserve"> </w:t>
      </w:r>
      <w:r>
        <w:t xml:space="preserve">Models examining the effect of</w:t>
      </w:r>
      <w:r>
        <w:t xml:space="preserve"> </w:t>
      </w:r>
      <w:r>
        <w:t xml:space="preserve">family income variability on WJ overall and subtest performance yielded</w:t>
      </w:r>
      <w:r>
        <w:t xml:space="preserve"> </w:t>
      </w:r>
      <w:r>
        <w:t xml:space="preserve">surprising results. Specifically, the directions of all effects were</w:t>
      </w:r>
      <w:r>
        <w:t xml:space="preserve"> </w:t>
      </w:r>
      <w:r>
        <w:t xml:space="preserve">opposite to analyses using family income average scores. For subtests</w:t>
      </w:r>
      <w:r>
        <w:t xml:space="preserve"> </w:t>
      </w:r>
      <w:r>
        <w:t xml:space="preserve">that showed reduced performance at high</w:t>
      </w:r>
      <w:r>
        <w:t xml:space="preserve"> </w:t>
      </w:r>
      <w:r>
        <w:rPr>
          <w:iCs/>
          <w:i/>
        </w:rPr>
        <w:t xml:space="preserve">mean</w:t>
      </w:r>
      <w:r>
        <w:t xml:space="preserve"> </w:t>
      </w:r>
      <w:r>
        <w:t xml:space="preserve">levels of family income</w:t>
      </w:r>
      <w:r>
        <w:t xml:space="preserve"> </w:t>
      </w:r>
      <w:r>
        <w:t xml:space="preserve">disadvantage, we found enhanced performance at high levels of</w:t>
      </w:r>
      <w:r>
        <w:t xml:space="preserve"> </w:t>
      </w:r>
      <w:r>
        <w:rPr>
          <w:iCs/>
          <w:i/>
        </w:rPr>
        <w:t xml:space="preserve">variability</w:t>
      </w:r>
      <w:r>
        <w:t xml:space="preserve"> </w:t>
      </w:r>
      <w:r>
        <w:t xml:space="preserve">in family income. We believe such effects are driven by</w:t>
      </w:r>
      <w:r>
        <w:t xml:space="preserve"> </w:t>
      </w:r>
      <w:r>
        <w:t xml:space="preserve">the fact that family income disadvantage mean and variability scores are</w:t>
      </w:r>
      <w:r>
        <w:t xml:space="preserve"> </w:t>
      </w:r>
      <w:r>
        <w:t xml:space="preserve">strongly negatively related (</w:t>
      </w:r>
      <w:r>
        <w:rPr>
          <w:iCs/>
          <w:i/>
        </w:rPr>
        <w:t xml:space="preserve">r</w:t>
      </w:r>
      <w:r>
        <w:t xml:space="preserve"> </w:t>
      </w:r>
      <w:r>
        <w:t xml:space="preserve">= -0.70), which has</w:t>
      </w:r>
      <w:r>
        <w:t xml:space="preserve"> </w:t>
      </w:r>
      <w:r>
        <w:t xml:space="preserve">been reported before</w:t>
      </w:r>
      <w:r>
        <w:t xml:space="preserve"> </w:t>
      </w:r>
      <w:r>
        <w:t xml:space="preserve">(Li et al., 2018)</w:t>
      </w:r>
      <w:r>
        <w:t xml:space="preserve">. That is, families experiencing more</w:t>
      </w:r>
      <w:r>
        <w:t xml:space="preserve"> </w:t>
      </w:r>
      <w:r>
        <w:t xml:space="preserve">income disadvantage tended to experience less income variability. Put</w:t>
      </w:r>
      <w:r>
        <w:t xml:space="preserve"> </w:t>
      </w:r>
      <w:r>
        <w:t xml:space="preserve">differently, richer families were more likely to experience income</w:t>
      </w:r>
      <w:r>
        <w:t xml:space="preserve"> </w:t>
      </w:r>
      <w:r>
        <w:t xml:space="preserve">fluctuations.</w:t>
      </w:r>
    </w:p>
    <w:p>
      <w:pPr>
        <w:pStyle w:val="BodyText"/>
      </w:pPr>
      <w:r>
        <w:t xml:space="preserve">This raises questions about using family income variability as an</w:t>
      </w:r>
      <w:r>
        <w:t xml:space="preserve"> </w:t>
      </w:r>
      <w:r>
        <w:t xml:space="preserve">indicator of adversity. In most empirical cases, higher levels of</w:t>
      </w:r>
      <w:r>
        <w:t xml:space="preserve"> </w:t>
      </w:r>
      <w:r>
        <w:t xml:space="preserve">harshness are associated with higher levels of unpredictability. Yet</w:t>
      </w:r>
      <w:r>
        <w:t xml:space="preserve"> </w:t>
      </w:r>
      <w:r>
        <w:t xml:space="preserve">here, income variability and average income are correlated in the</w:t>
      </w:r>
      <w:r>
        <w:t xml:space="preserve"> </w:t>
      </w:r>
      <w:r>
        <w:t xml:space="preserve">opposite direction. One possibility is that it matters how variability</w:t>
      </w:r>
      <w:r>
        <w:t xml:space="preserve"> </w:t>
      </w:r>
      <w:r>
        <w:t xml:space="preserve">scores are computed over repeated measures of income. Thus, to address</w:t>
      </w:r>
      <w:r>
        <w:t xml:space="preserve"> </w:t>
      </w:r>
      <w:r>
        <w:t xml:space="preserve">this issue, we conducted a set of secondary analyses that used different</w:t>
      </w:r>
      <w:r>
        <w:t xml:space="preserve"> </w:t>
      </w:r>
      <w:r>
        <w:t xml:space="preserve">methods for computing variability over income-to-needs scores. Below, we</w:t>
      </w:r>
      <w:r>
        <w:t xml:space="preserve"> </w:t>
      </w:r>
      <w:r>
        <w:t xml:space="preserve">report analyses using different methods for quantifying variability in</w:t>
      </w:r>
      <w:r>
        <w:t xml:space="preserve"> </w:t>
      </w:r>
      <w:r>
        <w:t xml:space="preserve">our Secondary Analyses (see</w:t>
      </w:r>
      <w:r>
        <w:t xml:space="preserve"> </w:t>
      </w:r>
      <w:hyperlink r:id="rId56">
        <w:r>
          <w:rPr>
            <w:rStyle w:val="Hyperlink"/>
          </w:rPr>
          <w:t xml:space="preserve">https://anonymous.4open.science/r/seccyd-wj-subtests-BD3E/preregistration/update-1/README.md</w:t>
        </w:r>
      </w:hyperlink>
      <w:r>
        <w:t xml:space="preserve"> </w:t>
      </w:r>
      <w:r>
        <w:t xml:space="preserve">for the update to our analysis plan).</w:t>
      </w:r>
    </w:p>
    <w:p>
      <w:pPr>
        <w:pStyle w:val="BodyText"/>
      </w:pPr>
      <w:r>
        <w:rPr>
          <w:bCs/>
          <w:b/>
        </w:rPr>
        <w:t xml:space="preserve">Neighborhood Socioeconomic Variability</w:t>
      </w:r>
      <w:r>
        <w:t xml:space="preserve">. In contrast to family income</w:t>
      </w:r>
      <w:r>
        <w:t xml:space="preserve"> </w:t>
      </w:r>
      <w:r>
        <w:t xml:space="preserve">variability, more neighborhood socioeconomic variability was related to</w:t>
      </w:r>
      <w:r>
        <w:t xml:space="preserve"> </w:t>
      </w:r>
      <w:r>
        <w:t xml:space="preserve">higher average neighborhood socioeconomic disadvantage. That is,</w:t>
      </w:r>
      <w:r>
        <w:t xml:space="preserve"> </w:t>
      </w:r>
      <w:r>
        <w:t xml:space="preserve">families living in more socioeconomically disadvantaged neighborhoods</w:t>
      </w:r>
      <w:r>
        <w:t xml:space="preserve"> </w:t>
      </w:r>
      <w:r>
        <w:t xml:space="preserve">(more harsh) were more likely to experience variability in neighborhood</w:t>
      </w:r>
      <w:r>
        <w:t xml:space="preserve"> </w:t>
      </w:r>
      <w:r>
        <w:t xml:space="preserve">economic disadvantage (more unpredictable) from one to 54 months (</w:t>
      </w:r>
      <w:r>
        <w:rPr>
          <w:iCs/>
          <w:i/>
        </w:rPr>
        <w:t xml:space="preserve">r</w:t>
      </w:r>
      <w:r>
        <w:t xml:space="preserve"> </w:t>
      </w:r>
      <w:r>
        <w:t xml:space="preserve">=</w:t>
      </w:r>
      <w:r>
        <w:t xml:space="preserve"> </w:t>
      </w:r>
      <w:r>
        <w:t xml:space="preserve">0.31). Additionally, the associations between</w:t>
      </w:r>
      <w:r>
        <w:t xml:space="preserve"> </w:t>
      </w:r>
      <w:r>
        <w:t xml:space="preserve">average and variability scores were moderate rather than strong (see</w:t>
      </w:r>
      <w:r>
        <w:t xml:space="preserve"> </w:t>
      </w:r>
      <w:r>
        <w:t xml:space="preserve">Table 2).</w:t>
      </w:r>
    </w:p>
    <w:p>
      <w:pPr>
        <w:pStyle w:val="BodyText"/>
      </w:pPr>
      <w:r>
        <w:t xml:space="preserve">There was no main effect of neighborhood socioeconomic variability on</w:t>
      </w:r>
      <w:r>
        <w:t xml:space="preserve"> </w:t>
      </w:r>
      <w:r>
        <w:t xml:space="preserve">overall WJ scores (see Figure 4), and there was only one significant</w:t>
      </w:r>
      <w:r>
        <w:t xml:space="preserve"> </w:t>
      </w:r>
      <w:r>
        <w:t xml:space="preserve">interaction with subtest performance. High neighborhood socioeconomic</w:t>
      </w:r>
      <w:r>
        <w:t xml:space="preserve"> </w:t>
      </w:r>
      <w:r>
        <w:t xml:space="preserve">variability was associated with higher Audio-Visual Associations</w:t>
      </w:r>
      <w:r>
        <w:t xml:space="preserve"> </w:t>
      </w:r>
      <w:r>
        <w:t xml:space="preserve">performance compared to overall performance. However, this effect was</w:t>
      </w:r>
      <w:r>
        <w:t xml:space="preserve"> </w:t>
      </w:r>
      <w:r>
        <w:t xml:space="preserve">inside the ROPE, suggesting it was not meaningfully different from the</w:t>
      </w:r>
      <w:r>
        <w:t xml:space="preserve"> </w:t>
      </w:r>
      <w:r>
        <w:t xml:space="preserve">overall effect. In addition, simple effects showed that high</w:t>
      </w:r>
      <w:r>
        <w:t xml:space="preserve"> </w:t>
      </w:r>
      <w:r>
        <w:t xml:space="preserve">neighborhood socioeconomic variability was not associated with</w:t>
      </w:r>
      <w:r>
        <w:t xml:space="preserve"> </w:t>
      </w:r>
      <w:r>
        <w:t xml:space="preserve">performance on any subtest and all simple effects were inside the ROPE.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58" name="Picture"/>
                  <a:graphic>
                    <a:graphicData uri="http://schemas.openxmlformats.org/drawingml/2006/picture">
                      <pic:pic>
                        <pic:nvPicPr>
                          <pic:cNvPr descr="figures/markdown/Figure4-1.pdf" id="59" name="Picture"/>
                          <pic:cNvPicPr>
                            <a:picLocks noChangeArrowheads="1" noChangeAspect="1"/>
                          </pic:cNvPicPr>
                        </pic:nvPicPr>
                        <pic:blipFill>
                          <a:blip r:embed="rId57"/>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4.</w:t>
            </w:r>
            <w:r>
              <w:t xml:space="preserve"> </w:t>
            </w:r>
            <w:r>
              <w:t xml:space="preserve">Results of models testing the effect of family transitions and neighborhood socioeconomic variability on WJ performance. The top and bottom rows reflect family transitions and neighborhood socioeconomic variability, respectively. The left column plots the overall slope (thick black lines) against the subtest slopes across low to high unpredictability.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0"/>
    <w:bookmarkEnd w:id="61"/>
    <w:bookmarkStart w:id="65" w:name="secondary-analyses"/>
    <w:p>
      <w:pPr>
        <w:pStyle w:val="Heading2"/>
      </w:pPr>
      <w:r>
        <w:t xml:space="preserve">Secondary Analyses</w:t>
      </w:r>
    </w:p>
    <w:p>
      <w:pPr>
        <w:pStyle w:val="FirstParagraph"/>
      </w:pPr>
      <w:r>
        <w:t xml:space="preserve">Our primary analyses examining family income variability raised</w:t>
      </w:r>
      <w:r>
        <w:t xml:space="preserve"> </w:t>
      </w:r>
      <w:r>
        <w:t xml:space="preserve">questions about its validity as an adversity measure. Our secondary</w:t>
      </w:r>
      <w:r>
        <w:t xml:space="preserve"> </w:t>
      </w:r>
      <w:r>
        <w:t xml:space="preserve">analyses were designed to address this issue and explore different</w:t>
      </w:r>
      <w:r>
        <w:t xml:space="preserve"> </w:t>
      </w:r>
      <w:r>
        <w:t xml:space="preserve">methods of computing variability scores.</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within-person standard deviation of income-to-needs from 1 to 54 months.</w:t>
      </w:r>
      <w:r>
        <w:t xml:space="preserve"> </w:t>
      </w:r>
      <w:r>
        <w:t xml:space="preserve">Second, we computed residual standard deviations</w:t>
      </w:r>
      <w:r>
        <w:t xml:space="preserve"> </w:t>
      </w:r>
      <w:r>
        <w:t xml:space="preserve">(Li et al., 2018)</w:t>
      </w:r>
      <w:r>
        <w:t xml:space="preserve">. To do so, we</w:t>
      </w:r>
      <w:r>
        <w:t xml:space="preserve"> </w:t>
      </w:r>
      <w:r>
        <w:t xml:space="preserve">fit a linear slope to each participant’s income-to-needs data, extracted</w:t>
      </w:r>
      <w:r>
        <w:t xml:space="preserve"> </w:t>
      </w:r>
      <w:r>
        <w:t xml:space="preserve">residual scores, and computed the standard deviation of these residuals.</w:t>
      </w:r>
      <w:r>
        <w:t xml:space="preserve"> </w:t>
      </w:r>
      <w:r>
        <w:t xml:space="preserve">The third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time-point and scales</w:t>
      </w:r>
      <w:r>
        <w:t xml:space="preserve"> </w:t>
      </w:r>
      <w:r>
        <w:t xml:space="preserve">income, accordingly. For example, if one’s income is $1,000 at one</w:t>
      </w:r>
      <w:r>
        <w:t xml:space="preserve"> </w:t>
      </w:r>
      <w:r>
        <w:t xml:space="preserve">time-point and increases to $1,500 at the next time-point, the percent</w:t>
      </w:r>
      <w:r>
        <w:t xml:space="preserve"> </w:t>
      </w:r>
      <w:r>
        <w:t xml:space="preserve">change score would be .50 or 50% ($500 increase is half of income at</w:t>
      </w:r>
      <w:r>
        <w:t xml:space="preserve"> </w:t>
      </w:r>
      <w:r>
        <w:t xml:space="preserve">the first time-point). The percent change score is always relative to</w:t>
      </w:r>
      <w:r>
        <w:t xml:space="preserve"> </w:t>
      </w:r>
      <w:r>
        <w:t xml:space="preserve">the previous time-point. Thus, if income increases another $500 at</w:t>
      </w:r>
      <w:r>
        <w:t xml:space="preserve"> </w:t>
      </w:r>
      <w:r>
        <w:t xml:space="preserve">time-point 3, the percent change score would be .33 or 33% ($500 is 1/3</w:t>
      </w:r>
      <w:r>
        <w:t xml:space="preserve"> </w:t>
      </w:r>
      <w:r>
        <w:t xml:space="preserve">of the second time-point income of $1,500). For low income families,</w:t>
      </w:r>
      <w:r>
        <w:t xml:space="preserve"> </w:t>
      </w:r>
      <w:r>
        <w:t xml:space="preserve">percent change scores can account for the fact that smaller income</w:t>
      </w:r>
      <w:r>
        <w:t xml:space="preserve"> </w:t>
      </w:r>
      <w:r>
        <w:t xml:space="preserve">fluctuations have a larger impact. For example, a family with a monthly</w:t>
      </w:r>
      <w:r>
        <w:t xml:space="preserve"> </w:t>
      </w:r>
      <w:r>
        <w:t xml:space="preserve">income of $1,500 that loses $500 the next month (33% of their income)</w:t>
      </w:r>
      <w:r>
        <w:t xml:space="preserve"> </w:t>
      </w:r>
      <w:r>
        <w:t xml:space="preserve">is impacted more than a family earning $5,000 a month (10% of their</w:t>
      </w:r>
      <w:r>
        <w:t xml:space="preserve"> </w:t>
      </w:r>
      <w:r>
        <w:t xml:space="preserve">income). After computing percent change scores for each assessment, we</w:t>
      </w:r>
      <w:r>
        <w:t xml:space="preserve"> </w:t>
      </w:r>
      <w:r>
        <w:t xml:space="preserve">averaged percent change scores to create a single percent change score</w:t>
      </w:r>
      <w:r>
        <w:t xml:space="preserve"> </w:t>
      </w:r>
      <w:r>
        <w:t xml:space="preserve">per participant.</w:t>
      </w:r>
    </w:p>
    <w:p>
      <w:pPr>
        <w:pStyle w:val="BodyText"/>
      </w:pPr>
      <w:r>
        <w:t xml:space="preserve">Simple and residual standard deviation family income scores were</w:t>
      </w:r>
      <w:r>
        <w:t xml:space="preserve"> </w:t>
      </w:r>
      <w:r>
        <w:t xml:space="preserve">strongly related to both each other and to the average family income</w:t>
      </w:r>
      <w:r>
        <w:t xml:space="preserve"> </w:t>
      </w:r>
      <w:r>
        <w:t xml:space="preserve">disadvantage (see Table 3). However, average percent change scores were</w:t>
      </w:r>
      <w:r>
        <w:t xml:space="preserve"> </w:t>
      </w:r>
      <w:r>
        <w:t xml:space="preserve">only weakly related to income standard deviation and residual standard</w:t>
      </w:r>
      <w:r>
        <w:t xml:space="preserve"> </w:t>
      </w:r>
      <w:r>
        <w:t xml:space="preserve">deviation scores. In addition, average percent change in income scores</w:t>
      </w:r>
      <w:r>
        <w:t xml:space="preserve"> </w:t>
      </w:r>
      <w:r>
        <w:t xml:space="preserve">were weakly and positively related to mean family income disadvantage</w:t>
      </w:r>
      <w:r>
        <w:t xml:space="preserve"> </w:t>
      </w:r>
      <w:r>
        <w:t xml:space="preserve">scores (</w:t>
      </w:r>
      <w:r>
        <w:rPr>
          <w:iCs/>
          <w:i/>
        </w:rPr>
        <w:t xml:space="preserve">r</w:t>
      </w:r>
      <w:r>
        <w:t xml:space="preserve"> </w:t>
      </w:r>
      <w:r>
        <w:t xml:space="preserve">= 0.17, see Table 3). That is, families</w:t>
      </w:r>
      <w:r>
        <w:t xml:space="preserve"> </w:t>
      </w:r>
      <w:r>
        <w:t xml:space="preserve">experiencing higher mean levels of income disadvantage also experienced</w:t>
      </w:r>
      <w:r>
        <w:t xml:space="preserve"> </w:t>
      </w:r>
      <w:r>
        <w:t xml:space="preserve">larger average percent changes in income over time. This aligns with</w:t>
      </w:r>
      <w:r>
        <w:t xml:space="preserve"> </w:t>
      </w:r>
      <w:r>
        <w:t xml:space="preserve">prior conceptual and empirical work that expects and finds that harsher</w:t>
      </w:r>
      <w:r>
        <w:t xml:space="preserve"> </w:t>
      </w:r>
      <w:r>
        <w:t xml:space="preserve">environments tend to be more unpredictable</w:t>
      </w:r>
      <w:r>
        <w:t xml:space="preserve"> </w:t>
      </w:r>
      <w:r>
        <w:t xml:space="preserve">(Belsky et al., 2012; Brumbach et al., 2009; Ellis et al., 2009; Simpson et al., 2012; Szepsenwol et al., 2015)</w:t>
      </w:r>
      <w:r>
        <w:t xml:space="preserve">.</w:t>
      </w:r>
    </w:p>
    <w:p>
      <w:pPr>
        <w:pStyle w:val="BodyText"/>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income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br/>
      </w:r>
    </w:p>
    <w:p>
      <w:pPr>
        <w:pStyle w:val="BodyText"/>
      </w:pPr>
      <w:r>
        <w:t xml:space="preserve">After computing each type of family income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The findings revealed similar patterns for both simple and</w:t>
      </w:r>
      <w:r>
        <w:t xml:space="preserve"> </w:t>
      </w:r>
      <w:r>
        <w:t xml:space="preserve">residual standard deviation scores: more variability in family income</w:t>
      </w:r>
      <w:r>
        <w:t xml:space="preserve"> </w:t>
      </w:r>
      <w:r>
        <w:t xml:space="preserve">was associated with enhanced performance, in contrast to the negative</w:t>
      </w:r>
      <w:r>
        <w:t xml:space="preserve"> </w:t>
      </w:r>
      <w:r>
        <w:t xml:space="preserve">associations with average family income disadvantage (see Figure 5).</w:t>
      </w:r>
      <w:r>
        <w:t xml:space="preserve"> </w:t>
      </w:r>
      <w:r>
        <w:t xml:space="preserve">Again, we believe this is an artifact of the relation between family</w:t>
      </w:r>
      <w:r>
        <w:t xml:space="preserve"> </w:t>
      </w:r>
      <w:r>
        <w:t xml:space="preserve">income average and variability scores.</w:t>
      </w:r>
    </w:p>
    <w:p>
      <w:pPr>
        <w:pStyle w:val="BodyText"/>
      </w:pPr>
      <w:r>
        <w:t xml:space="preserve">In contrast, however, average family percent change in income did not</w:t>
      </w:r>
      <w:r>
        <w:t xml:space="preserve"> </w:t>
      </w:r>
      <w:r>
        <w:t xml:space="preserve">follow this pattern. Instead, higher percent changes in income were</w:t>
      </w:r>
      <w:r>
        <w:t xml:space="preserve"> </w:t>
      </w:r>
      <w:r>
        <w:t xml:space="preserve">consistent with intact overall WJ test performance. The only subtest</w:t>
      </w:r>
      <w:r>
        <w:t xml:space="preserve"> </w:t>
      </w:r>
      <w:r>
        <w:t xml:space="preserve">that differed from the overall effect was the Calculations subtest,</w:t>
      </w:r>
      <w:r>
        <w:t xml:space="preserve"> </w:t>
      </w:r>
      <w:r>
        <w:t xml:space="preserve">which showed that higher percent changes in income was associated with a</w:t>
      </w:r>
      <w:r>
        <w:t xml:space="preserve"> </w:t>
      </w:r>
      <w:r>
        <w:t xml:space="preserve">significant, but not meaningful, reduction in performance. Simple</w:t>
      </w:r>
      <w:r>
        <w:t xml:space="preserve"> </w:t>
      </w:r>
      <w:r>
        <w:t xml:space="preserve">effects indicated higher percent changes in income were associated with</w:t>
      </w:r>
      <w:r>
        <w:t xml:space="preserve"> </w:t>
      </w:r>
      <w:r>
        <w:t xml:space="preserve">intact performance for all subtests except the Auditory Processing</w:t>
      </w:r>
      <w:r>
        <w:t xml:space="preserve"> </w:t>
      </w:r>
      <w:r>
        <w:t xml:space="preserve">subtest, which was meaningfully more positive but not statistically</w:t>
      </w:r>
      <w:r>
        <w:t xml:space="preserve"> </w:t>
      </w:r>
      <w:r>
        <w:t xml:space="preserve">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3" name="Picture"/>
                  <a:graphic>
                    <a:graphicData uri="http://schemas.openxmlformats.org/drawingml/2006/picture">
                      <pic:pic>
                        <pic:nvPicPr>
                          <pic:cNvPr descr="figures/markdown/Figure5-1.pdf" id="64" name="Picture"/>
                          <pic:cNvPicPr>
                            <a:picLocks noChangeArrowheads="1" noChangeAspect="1"/>
                          </pic:cNvPicPr>
                        </pic:nvPicPr>
                        <pic:blipFill>
                          <a:blip r:embed="rId62"/>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5.</w:t>
            </w:r>
            <w:r>
              <w:t xml:space="preserve"> </w:t>
            </w:r>
            <w:r>
              <w:t xml:space="preserve">Results of models testing the effect of different family income variability scores on WJ performance. The top, middle, and bottom rows reflect simple standard deviation, residual standard deviation, and average percent change in family income from one to 54 months. The left column plots the overall slope (thick black lines) against the subtest slopes across low to high variation in family income. Unfaded and faded lines are practically inequivalent and equivalent to the overall slope, respectively. The middle and right columns show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5"/>
    <w:bookmarkEnd w:id="66"/>
    <w:bookmarkStart w:id="71" w:name="discussion"/>
    <w:p>
      <w:pPr>
        <w:pStyle w:val="Heading1"/>
      </w:pPr>
      <w:r>
        <w:t xml:space="preserve">Discussion</w:t>
      </w:r>
    </w:p>
    <w:p>
      <w:pPr>
        <w:pStyle w:val="FirstParagraph"/>
      </w:pPr>
      <w:r>
        <w:t xml:space="preserve">In this paper, we set out to document adversity-related profiles of</w:t>
      </w:r>
      <w:r>
        <w:t xml:space="preserve"> </w:t>
      </w:r>
      <w:r>
        <w:t xml:space="preserve">cognitive performance. We used a principled exploration approach to</w:t>
      </w:r>
      <w:r>
        <w:t xml:space="preserve"> </w:t>
      </w:r>
      <w:r>
        <w:t xml:space="preserve">complement confirmatory approaches to adaptation-based research. Using</w:t>
      </w:r>
      <w:r>
        <w:t xml:space="preserve"> </w:t>
      </w:r>
      <w:r>
        <w:t xml:space="preserve">the basic insights from work so far, we analyzed how exposure to</w:t>
      </w:r>
      <w:r>
        <w:t xml:space="preserve"> </w:t>
      </w:r>
      <w:r>
        <w:t xml:space="preserve">indicators of harshness and unpredictability relate to different</w:t>
      </w:r>
      <w:r>
        <w:t xml:space="preserve"> </w:t>
      </w:r>
      <w:r>
        <w:t xml:space="preserve">patterns of within-person cognitive performance across 10 WJ subtests.</w:t>
      </w:r>
      <w:r>
        <w:t xml:space="preserve"> </w:t>
      </w:r>
      <w:r>
        <w:t xml:space="preserve">Instead of using adaptive logic, we developed inferential criteria to</w:t>
      </w:r>
      <w:r>
        <w:t xml:space="preserve"> </w:t>
      </w:r>
      <w:r>
        <w:t xml:space="preserve">aid interpretation of three data patterns of interest: reduced, intact,</w:t>
      </w:r>
      <w:r>
        <w:t xml:space="preserve"> </w:t>
      </w:r>
      <w:r>
        <w:t xml:space="preserve">and enhanced performance. We quantified performance using two types of</w:t>
      </w:r>
      <w:r>
        <w:t xml:space="preserve"> </w:t>
      </w:r>
      <w:r>
        <w:t xml:space="preserve">comparisons. First, we compared whether subtest performance differed</w:t>
      </w:r>
      <w:r>
        <w:t xml:space="preserve"> </w:t>
      </w:r>
      <w:r>
        <w:t xml:space="preserve">from overall performance, which quantified relative reductions and</w:t>
      </w:r>
      <w:r>
        <w:t xml:space="preserve"> </w:t>
      </w:r>
      <w:r>
        <w:t xml:space="preserve">enhancements. Second, we compared performance on each subtest to zero,</w:t>
      </w:r>
      <w:r>
        <w:t xml:space="preserve"> </w:t>
      </w:r>
      <w:r>
        <w:t xml:space="preserve">which quantified absolute performance reductions and enhancemnts. This</w:t>
      </w:r>
      <w:r>
        <w:t xml:space="preserve"> </w:t>
      </w:r>
      <w:r>
        <w:t xml:space="preserve">approach allowed us to describe how exposure to indicators of harshness</w:t>
      </w:r>
      <w:r>
        <w:t xml:space="preserve"> </w:t>
      </w:r>
      <w:r>
        <w:t xml:space="preserve">and unpredictability relate to different within person performance</w:t>
      </w:r>
      <w:r>
        <w:t xml:space="preserve"> </w:t>
      </w:r>
      <w:r>
        <w:t xml:space="preserve">profiles. It also afforded the opportunity to document how reduced,</w:t>
      </w:r>
      <w:r>
        <w:t xml:space="preserve"> </w:t>
      </w:r>
      <w:r>
        <w:t xml:space="preserve">intact, and enhanced performance might co-occur.</w:t>
      </w:r>
    </w:p>
    <w:bookmarkStart w:id="67" w:name="exploratory-insights"/>
    <w:p>
      <w:pPr>
        <w:pStyle w:val="Heading2"/>
      </w:pPr>
      <w:r>
        <w:t xml:space="preserve">Exploratory Insights</w:t>
      </w:r>
    </w:p>
    <w:p>
      <w:pPr>
        <w:pStyle w:val="FirstParagraph"/>
      </w:pPr>
      <w:r>
        <w:t xml:space="preserve">We did not find any instance of absolute enhancement, or cases where</w:t>
      </w:r>
      <w:r>
        <w:t xml:space="preserve"> </w:t>
      </w:r>
      <w:r>
        <w:t xml:space="preserve">subtest performance was significantly and practically more positive than</w:t>
      </w:r>
      <w:r>
        <w:t xml:space="preserve"> </w:t>
      </w:r>
      <w:r>
        <w:t xml:space="preserve">zero. However, for indicators of harshness (family income and</w:t>
      </w:r>
      <w:r>
        <w:t xml:space="preserve"> </w:t>
      </w:r>
      <w:r>
        <w:t xml:space="preserve">neighborhood socioeconomic disadvantage), we found two basic patterns.</w:t>
      </w:r>
      <w:r>
        <w:t xml:space="preserve"> </w:t>
      </w:r>
      <w:r>
        <w:t xml:space="preserve">First, socioeconomic harshness appeared to reduce overall performance.</w:t>
      </w:r>
      <w:r>
        <w:t xml:space="preserve"> </w:t>
      </w:r>
      <w:r>
        <w:t xml:space="preserve">Performance on Picture Vocabulary and Verbal Analogies subtests was</w:t>
      </w:r>
      <w:r>
        <w:t xml:space="preserve"> </w:t>
      </w:r>
      <w:r>
        <w:t xml:space="preserve">particularly reduced. Second, compared to the overall reduced pattern,</w:t>
      </w:r>
      <w:r>
        <w:t xml:space="preserve"> </w:t>
      </w:r>
      <w:r>
        <w:t xml:space="preserve">Auditory Processing and Auditory-Visual Associations subtest performance</w:t>
      </w:r>
      <w:r>
        <w:t xml:space="preserve"> </w:t>
      </w:r>
      <w:r>
        <w:t xml:space="preserve">was relatively enhanced. In an absolute sense (i.e., each compared to</w:t>
      </w:r>
      <w:r>
        <w:t xml:space="preserve"> </w:t>
      </w:r>
      <w:r>
        <w:t xml:space="preserve">zero) they appeared to remain intact. In contrast, indicators of</w:t>
      </w:r>
      <w:r>
        <w:t xml:space="preserve"> </w:t>
      </w:r>
      <w:r>
        <w:t xml:space="preserve">unpredictability (family transitions and family/neighborhood</w:t>
      </w:r>
      <w:r>
        <w:t xml:space="preserve"> </w:t>
      </w:r>
      <w:r>
        <w:t xml:space="preserve">socioeconomic disadvantage variability) were associated with intact</w:t>
      </w:r>
      <w:r>
        <w:t xml:space="preserve"> </w:t>
      </w:r>
      <w:r>
        <w:t xml:space="preserve">overall WJ performance.</w:t>
      </w:r>
    </w:p>
    <w:p>
      <w:pPr>
        <w:pStyle w:val="BodyText"/>
      </w:pPr>
      <w:r>
        <w:t xml:space="preserve">Our analysis was exploratory and we advise caution when interpreting</w:t>
      </w:r>
      <w:r>
        <w:t xml:space="preserve"> </w:t>
      </w:r>
      <w:r>
        <w:t xml:space="preserve">findings. Nonetheless, we believe these findings are striking for three</w:t>
      </w:r>
      <w:r>
        <w:t xml:space="preserve"> </w:t>
      </w:r>
      <w:r>
        <w:t xml:space="preserve">reasons. First, most current theoretical accounts of the skills and</w:t>
      </w:r>
      <w:r>
        <w:t xml:space="preserve"> </w:t>
      </w:r>
      <w:r>
        <w:t xml:space="preserve">abilities of people living in harsh and unpredictable</w:t>
      </w:r>
      <w:r>
        <w:t xml:space="preserve"> </w:t>
      </w:r>
      <w:r>
        <w:t xml:space="preserve">conditions—including adaptation-based models—assume that exposure to</w:t>
      </w:r>
      <w:r>
        <w:t xml:space="preserve"> </w:t>
      </w:r>
      <w:r>
        <w:t xml:space="preserve">adversity should reduce performance on traditional achievement tests</w:t>
      </w:r>
      <w:r>
        <w:t xml:space="preserve"> </w:t>
      </w:r>
      <w:r>
        <w:t xml:space="preserve">(Ellis et al., 2022; Frankenhuis, Young, et al., 2020; Hackman et al., 2010; McLaughlin et al., 2019; Ursache &amp; Noble, 2016)</w:t>
      </w:r>
      <w:r>
        <w:t xml:space="preserve">. Achievement and cognitive batteries—like the WJ</w:t>
      </w:r>
      <w:r>
        <w:t xml:space="preserve"> </w:t>
      </w:r>
      <w:r>
        <w:t xml:space="preserve">assessment—use abstract content that is relatively detached from the</w:t>
      </w:r>
      <w:r>
        <w:t xml:space="preserve"> </w:t>
      </w:r>
      <w:r>
        <w:t xml:space="preserve">real world. Adaptation-based models often assert such tests are a poor</w:t>
      </w:r>
      <w:r>
        <w:t xml:space="preserve"> </w:t>
      </w:r>
      <w:r>
        <w:t xml:space="preserve">fit to the lives of those living in harsh/unpredictable conditions</w:t>
      </w:r>
      <w:r>
        <w:t xml:space="preserve"> </w:t>
      </w:r>
      <w:r>
        <w:t xml:space="preserve">(Ellis et al., 2017; Ellis et al., 2022; Frankenhuis, Young, et al., 2020; Frankenhuis &amp; de Weerth, 2013)</w:t>
      </w:r>
      <w:r>
        <w:t xml:space="preserve">. Yet, for</w:t>
      </w:r>
      <w:r>
        <w:t xml:space="preserve"> </w:t>
      </w:r>
      <w:r>
        <w:t xml:space="preserve">family income and neighborhood socioeconomic disadvantage, we find that,</w:t>
      </w:r>
      <w:r>
        <w:t xml:space="preserve"> </w:t>
      </w:r>
      <w:r>
        <w:t xml:space="preserve">for at least two standard tasks, performance remained intact. Exposure</w:t>
      </w:r>
      <w:r>
        <w:t xml:space="preserve"> </w:t>
      </w:r>
      <w:r>
        <w:t xml:space="preserve">to unpredictability was associated with intact performance across all</w:t>
      </w:r>
      <w:r>
        <w:t xml:space="preserve"> </w:t>
      </w:r>
      <w:r>
        <w:t xml:space="preserve">but the Calculations subest (but intact for Neighborhood Socioeconomic</w:t>
      </w:r>
      <w:r>
        <w:t xml:space="preserve"> </w:t>
      </w:r>
      <w:r>
        <w:t xml:space="preserve">Variability). Without an principled exploration of a standard, abstract</w:t>
      </w:r>
      <w:r>
        <w:t xml:space="preserve"> </w:t>
      </w:r>
      <w:r>
        <w:t xml:space="preserve">achievement battery, research may have overlooked these data.</w:t>
      </w:r>
    </w:p>
    <w:p>
      <w:pPr>
        <w:pStyle w:val="BodyText"/>
      </w:pPr>
      <w:r>
        <w:t xml:space="preserve">Second, our harshness analyses demonstrate that patterns of reductions,</w:t>
      </w:r>
      <w:r>
        <w:t xml:space="preserve"> </w:t>
      </w:r>
      <w:r>
        <w:t xml:space="preserve">relative enhancements, and intact performance occur within individuals.</w:t>
      </w:r>
      <w:r>
        <w:t xml:space="preserve"> </w:t>
      </w:r>
      <w:r>
        <w:t xml:space="preserve">Overall performance was reduced, which were underpinned by tests of</w:t>
      </w:r>
      <w:r>
        <w:t xml:space="preserve"> </w:t>
      </w:r>
      <w:r>
        <w:t xml:space="preserve">reading, math, reasoning, and short term memory. Relatively stronger</w:t>
      </w:r>
      <w:r>
        <w:t xml:space="preserve"> </w:t>
      </w:r>
      <w:r>
        <w:t xml:space="preserve">reductions were found for tests of verbal and crystallized knowledge</w:t>
      </w:r>
      <w:r>
        <w:t xml:space="preserve"> </w:t>
      </w:r>
      <w:r>
        <w:t xml:space="preserve">(i.e., Picture Vocabulary and Verbal analogies). At the same time,</w:t>
      </w:r>
      <w:r>
        <w:t xml:space="preserve"> </w:t>
      </w:r>
      <w:r>
        <w:t xml:space="preserve">Auditory Processing and Auditory-Visual Associations performance was</w:t>
      </w:r>
      <w:r>
        <w:t xml:space="preserve"> </w:t>
      </w:r>
      <w:r>
        <w:t xml:space="preserve">relatively enhanced (or less reduced) compared to overall performance</w:t>
      </w:r>
      <w:r>
        <w:t xml:space="preserve"> </w:t>
      </w:r>
      <w:r>
        <w:t xml:space="preserve">and intact when considering the simple effect ROPE (e.g., comparing</w:t>
      </w:r>
      <w:r>
        <w:t xml:space="preserve"> </w:t>
      </w:r>
      <w:r>
        <w:t xml:space="preserve">performance to zero). These data patterns are consistent with the notion</w:t>
      </w:r>
      <w:r>
        <w:t xml:space="preserve"> </w:t>
      </w:r>
      <w:r>
        <w:t xml:space="preserve">that adversity exposure can be associated with nuanced patterns of</w:t>
      </w:r>
      <w:r>
        <w:t xml:space="preserve"> </w:t>
      </w:r>
      <w:r>
        <w:t xml:space="preserve">within-person performance. And, to our knowledge, this is the first</w:t>
      </w:r>
      <w:r>
        <w:t xml:space="preserve"> </w:t>
      </w:r>
      <w:r>
        <w:t xml:space="preserve">demonstration of how adversity relates to multiple co-occurring and</w:t>
      </w:r>
      <w:r>
        <w:t xml:space="preserve"> </w:t>
      </w:r>
      <w:r>
        <w:t xml:space="preserve">within-person patterns of performance across many tests.</w:t>
      </w:r>
    </w:p>
    <w:p>
      <w:pPr>
        <w:pStyle w:val="BodyText"/>
      </w:pPr>
      <w:r>
        <w:t xml:space="preserve">Third, the Auditory Processing and Audio-Visual Associations subtests,</w:t>
      </w:r>
      <w:r>
        <w:t xml:space="preserve"> </w:t>
      </w:r>
      <w:r>
        <w:t xml:space="preserve">which both showed intact performance patterns, appeared to have two</w:t>
      </w:r>
      <w:r>
        <w:t xml:space="preserve"> </w:t>
      </w:r>
      <w:r>
        <w:t xml:space="preserve">things in common. First, both contain a listening component, suggesting</w:t>
      </w:r>
      <w:r>
        <w:t xml:space="preserve"> </w:t>
      </w:r>
      <w:r>
        <w:t xml:space="preserve">that auditory stimuli might be easier, or less difficult, to process for</w:t>
      </w:r>
      <w:r>
        <w:t xml:space="preserve"> </w:t>
      </w:r>
      <w:r>
        <w:t xml:space="preserve">people living in socioeconomically disadvantaged contexts. However,</w:t>
      </w:r>
      <w:r>
        <w:t xml:space="preserve"> </w:t>
      </w:r>
      <w:r>
        <w:t xml:space="preserve">performance on the short term memory task, which also presented auditory</w:t>
      </w:r>
      <w:r>
        <w:t xml:space="preserve"> </w:t>
      </w:r>
      <w:r>
        <w:t xml:space="preserve">stimuli, was generally reduced. Other work examining the skills and</w:t>
      </w:r>
      <w:r>
        <w:t xml:space="preserve"> </w:t>
      </w:r>
      <w:r>
        <w:t xml:space="preserve">abilities of disadvantaged populations suggests that different types of</w:t>
      </w:r>
      <w:r>
        <w:t xml:space="preserve"> </w:t>
      </w:r>
      <w:r>
        <w:t xml:space="preserve">oral and oral narrative skills may also be intact or enhanced among</w:t>
      </w:r>
      <w:r>
        <w:t xml:space="preserve"> </w:t>
      </w:r>
      <w:r>
        <w:t xml:space="preserve">those from low socioeconomic context</w:t>
      </w:r>
      <w:r>
        <w:t xml:space="preserve"> </w:t>
      </w:r>
      <w:r>
        <w:t xml:space="preserve">(Ellis et al., 2022; Gardner-Neblett et al., 2012; Gardner-Neblett &amp; Iruka, 2015)</w:t>
      </w:r>
      <w:r>
        <w:t xml:space="preserve">. This could be because auditory/oral</w:t>
      </w:r>
      <w:r>
        <w:t xml:space="preserve"> </w:t>
      </w:r>
      <w:r>
        <w:t xml:space="preserve">means of learning and knowledge acquisition/transmission are important</w:t>
      </w:r>
      <w:r>
        <w:t xml:space="preserve"> </w:t>
      </w:r>
      <w:r>
        <w:t xml:space="preserve">when materials for other forms of learning (e.g., books and other visual</w:t>
      </w:r>
      <w:r>
        <w:t xml:space="preserve"> </w:t>
      </w:r>
      <w:r>
        <w:t xml:space="preserve">learning materials) are scarce.</w:t>
      </w:r>
    </w:p>
    <w:p>
      <w:pPr>
        <w:pStyle w:val="BodyText"/>
      </w:pPr>
      <w:r>
        <w:t xml:space="preserve">In addition, both tests showing intact performance require little</w:t>
      </w:r>
      <w:r>
        <w:t xml:space="preserve"> </w:t>
      </w:r>
      <w:r>
        <w:t xml:space="preserve">crystallized or verbal knowledge. The Auditory Processing task required</w:t>
      </w:r>
      <w:r>
        <w:t xml:space="preserve"> </w:t>
      </w:r>
      <w:r>
        <w:t xml:space="preserve">listening to words with missing phonemes and complete them. The</w:t>
      </w:r>
      <w:r>
        <w:t xml:space="preserve"> </w:t>
      </w:r>
      <w:r>
        <w:t xml:space="preserve">Auditory-Visual Association tasks required memorizing names with</w:t>
      </w:r>
      <w:r>
        <w:t xml:space="preserve"> </w:t>
      </w:r>
      <w:r>
        <w:t xml:space="preserve">pictures. Other WJ subtests, which were reduced by socioeconomic</w:t>
      </w:r>
      <w:r>
        <w:t xml:space="preserve"> </w:t>
      </w:r>
      <w:r>
        <w:t xml:space="preserve">disadvantage, either directly measure or require accumulated formal</w:t>
      </w:r>
      <w:r>
        <w:t xml:space="preserve"> </w:t>
      </w:r>
      <w:r>
        <w:t xml:space="preserve">knowledge (math operations, reading passages, identifying objects,</w:t>
      </w:r>
      <w:r>
        <w:t xml:space="preserve"> </w:t>
      </w:r>
      <w:r>
        <w:t xml:space="preserve">verbal analogies). This suggests that tests requiring less accumulated</w:t>
      </w:r>
      <w:r>
        <w:t xml:space="preserve"> </w:t>
      </w:r>
      <w:r>
        <w:t xml:space="preserve">knowledge may remain intact for those experiencing socioeconomic</w:t>
      </w:r>
      <w:r>
        <w:t xml:space="preserve"> </w:t>
      </w:r>
      <w:r>
        <w:t xml:space="preserve">disadvantage. However, because this research is exploratory, we caution</w:t>
      </w:r>
      <w:r>
        <w:t xml:space="preserve"> </w:t>
      </w:r>
      <w:r>
        <w:t xml:space="preserve">against drawing any conclusive inferences.</w:t>
      </w:r>
    </w:p>
    <w:bookmarkEnd w:id="67"/>
    <w:bookmarkStart w:id="68" w:name="X30453410df43a9c12f3a3edfd545f61303d6bc8"/>
    <w:p>
      <w:pPr>
        <w:pStyle w:val="Heading2"/>
      </w:pPr>
      <w:r>
        <w:t xml:space="preserve">Income Variability Scores and Unpredictability</w:t>
      </w:r>
    </w:p>
    <w:p>
      <w:pPr>
        <w:pStyle w:val="FirstParagraph"/>
      </w:pPr>
      <w:r>
        <w:t xml:space="preserve">Our secondary analyses provided insights about measuring socioeconomic</w:t>
      </w:r>
      <w:r>
        <w:t xml:space="preserve"> </w:t>
      </w:r>
      <w:r>
        <w:t xml:space="preserve">variability over repeated measures. In line with work by others</w:t>
      </w:r>
      <w:r>
        <w:t xml:space="preserve"> </w:t>
      </w:r>
      <w:r>
        <w:t xml:space="preserve">(e.g., Li et al., 2018)</w:t>
      </w:r>
      <w:r>
        <w:t xml:space="preserve">, we found a strong dependence between mean family income and</w:t>
      </w:r>
      <w:r>
        <w:t xml:space="preserve"> </w:t>
      </w:r>
      <w:r>
        <w:t xml:space="preserve">family income variability scores. Although such a correlation does not</w:t>
      </w:r>
      <w:r>
        <w:t xml:space="preserve"> </w:t>
      </w:r>
      <w:r>
        <w:t xml:space="preserve">inherently invalidate variability scores, it does raise questions about</w:t>
      </w:r>
      <w:r>
        <w:t xml:space="preserve"> </w:t>
      </w:r>
      <w:r>
        <w:t xml:space="preserve">whether such scores are capturing adversity, especially when families</w:t>
      </w:r>
      <w:r>
        <w:t xml:space="preserve"> </w:t>
      </w:r>
      <w:r>
        <w:t xml:space="preserve">with high income tend to experience higher variance in income. We found</w:t>
      </w:r>
      <w:r>
        <w:t xml:space="preserve"> </w:t>
      </w:r>
      <w:r>
        <w:t xml:space="preserve">that percent change scores weakened the dependency between average</w:t>
      </w:r>
      <w:r>
        <w:t xml:space="preserve"> </w:t>
      </w:r>
      <w:r>
        <w:t xml:space="preserve">income and income variability. Nonetheless, measures of unpredictability</w:t>
      </w:r>
      <w:r>
        <w:t xml:space="preserve"> </w:t>
      </w:r>
      <w:r>
        <w:t xml:space="preserve">quantifying variability from repeated measures would benefit from more</w:t>
      </w:r>
      <w:r>
        <w:t xml:space="preserve"> </w:t>
      </w:r>
      <w:r>
        <w:t xml:space="preserve">validation and comparison across different data reduction techniques.</w:t>
      </w:r>
      <w:r>
        <w:t xml:space="preserve"> </w:t>
      </w:r>
      <w:r>
        <w:t xml:space="preserve">Leveraging time series techniques is a promising direction, especially</w:t>
      </w:r>
      <w:r>
        <w:t xml:space="preserve"> </w:t>
      </w:r>
      <w:r>
        <w:t xml:space="preserve">for measuring concepts like unpredictability</w:t>
      </w:r>
      <w:r>
        <w:t xml:space="preserve"> </w:t>
      </w:r>
      <w:r>
        <w:t xml:space="preserve">(Frankenhuis et al., 2019; Ugarte &amp; Hastings, 2023; Young et al., 2020)</w:t>
      </w:r>
      <w:r>
        <w:t xml:space="preserve">. However, future research should exercise extra</w:t>
      </w:r>
      <w:r>
        <w:t xml:space="preserve"> </w:t>
      </w:r>
      <w:r>
        <w:t xml:space="preserve">caution when computing such scores and pay special attention to</w:t>
      </w:r>
      <w:r>
        <w:t xml:space="preserve"> </w:t>
      </w:r>
      <w:r>
        <w:t xml:space="preserve">appropriate validation procedures to verify that such scores capture the</w:t>
      </w:r>
      <w:r>
        <w:t xml:space="preserve"> </w:t>
      </w:r>
      <w:r>
        <w:t xml:space="preserve">intended construct.</w:t>
      </w:r>
    </w:p>
    <w:bookmarkEnd w:id="68"/>
    <w:bookmarkStart w:id="69" w:name="X13f6884f7da762f585b484fdb892a9cfb2743dd"/>
    <w:p>
      <w:pPr>
        <w:pStyle w:val="Heading2"/>
      </w:pPr>
      <w:r>
        <w:t xml:space="preserve">Strengths, Limitations, and Future Directions</w:t>
      </w:r>
    </w:p>
    <w:p>
      <w:pPr>
        <w:pStyle w:val="FirstParagraph"/>
      </w:pPr>
      <w:r>
        <w:t xml:space="preserve">The current work has several strengths and limitations. First, the</w:t>
      </w:r>
      <w:r>
        <w:t xml:space="preserve"> </w:t>
      </w:r>
      <w:r>
        <w:t xml:space="preserve">SECCYD is a longitudinal, prospective dataset allowing us to analyze</w:t>
      </w:r>
      <w:r>
        <w:t xml:space="preserve"> </w:t>
      </w:r>
      <w:r>
        <w:t xml:space="preserve">indicators of harshness, unpredictability, and WJ cognitive data from</w:t>
      </w:r>
      <w:r>
        <w:t xml:space="preserve"> </w:t>
      </w:r>
      <w:r>
        <w:t xml:space="preserve">birth to age 15. By using the WJ achievement and cognitive batteries, we</w:t>
      </w:r>
      <w:r>
        <w:t xml:space="preserve"> </w:t>
      </w:r>
      <w:r>
        <w:t xml:space="preserve">were able to analyze a rich set of 10 subtests, each with at least two</w:t>
      </w:r>
      <w:r>
        <w:t xml:space="preserve"> </w:t>
      </w:r>
      <w:r>
        <w:t xml:space="preserve">assessments. However, the fact that different subtests were administered</w:t>
      </w:r>
      <w:r>
        <w:t xml:space="preserve"> </w:t>
      </w:r>
      <w:r>
        <w:t xml:space="preserve">across the five assessments from 54 month to age 15 is a limitation. In</w:t>
      </w:r>
      <w:r>
        <w:t xml:space="preserve"> </w:t>
      </w:r>
      <w:r>
        <w:t xml:space="preserve">addition, the SECCYD is not an at-risk sample and the majority of</w:t>
      </w:r>
      <w:r>
        <w:t xml:space="preserve"> </w:t>
      </w:r>
      <w:r>
        <w:t xml:space="preserve">families are White. And, although we selected adversity measures that</w:t>
      </w:r>
      <w:r>
        <w:t xml:space="preserve"> </w:t>
      </w:r>
      <w:r>
        <w:t xml:space="preserve">align well with previous work, we were unable to look at other</w:t>
      </w:r>
      <w:r>
        <w:t xml:space="preserve"> </w:t>
      </w:r>
      <w:r>
        <w:t xml:space="preserve">potentially relevant forms of adversity, such as exposure to threat</w:t>
      </w:r>
      <w:r>
        <w:t xml:space="preserve"> </w:t>
      </w:r>
      <w:r>
        <w:t xml:space="preserve">(e.g., violence exposure), deprivation, and variability in each over</w:t>
      </w:r>
      <w:r>
        <w:t xml:space="preserve"> </w:t>
      </w:r>
      <w:r>
        <w:t xml:space="preserve">time. However, we extended the literature by incorporating</w:t>
      </w:r>
      <w:r>
        <w:t xml:space="preserve"> </w:t>
      </w:r>
      <w:r>
        <w:t xml:space="preserve">neighborhood-level measures of socioeconomic disadvantage.</w:t>
      </w:r>
    </w:p>
    <w:p>
      <w:pPr>
        <w:pStyle w:val="BodyText"/>
      </w:pPr>
      <w:r>
        <w:t xml:space="preserve">The value of principled exploration are new the (potentially unexpected)</w:t>
      </w:r>
      <w:r>
        <w:t xml:space="preserve"> </w:t>
      </w:r>
      <w:r>
        <w:t xml:space="preserve">new directions for testing confirmatory hypotheses. For example, future</w:t>
      </w:r>
      <w:r>
        <w:t xml:space="preserve"> </w:t>
      </w:r>
      <w:r>
        <w:t xml:space="preserve">research is well-positioned research is to tease apart testing</w:t>
      </w:r>
      <w:r>
        <w:t xml:space="preserve"> </w:t>
      </w:r>
      <w:r>
        <w:t xml:space="preserve">modalities (visual, verbal, oral, auditory etc.) from the skills</w:t>
      </w:r>
      <w:r>
        <w:t xml:space="preserve"> </w:t>
      </w:r>
      <w:r>
        <w:t xml:space="preserve">measured by different tests. For example, future research could examine</w:t>
      </w:r>
      <w:r>
        <w:t xml:space="preserve"> </w:t>
      </w:r>
      <w:r>
        <w:t xml:space="preserve">how exposure to harshness affects performance on Auditory-Visual</w:t>
      </w:r>
      <w:r>
        <w:t xml:space="preserve"> </w:t>
      </w:r>
      <w:r>
        <w:t xml:space="preserve">Associations compared with other more visual, spatial, or verbal</w:t>
      </w:r>
      <w:r>
        <w:t xml:space="preserve"> </w:t>
      </w:r>
      <w:r>
        <w:t xml:space="preserve">association tests. Additionally, future research might explicitly</w:t>
      </w:r>
      <w:r>
        <w:t xml:space="preserve"> </w:t>
      </w:r>
      <w:r>
        <w:t xml:space="preserve">compare cognitive tests that do and do not require prior knowledge. For</w:t>
      </w:r>
      <w:r>
        <w:t xml:space="preserve"> </w:t>
      </w:r>
      <w:r>
        <w:t xml:space="preserve">example, manipulating such tests by changing the test content to be more</w:t>
      </w:r>
      <w:r>
        <w:t xml:space="preserve"> </w:t>
      </w:r>
      <w:r>
        <w:t xml:space="preserve">relevant to those living in socioeconomic disadvantaged families and</w:t>
      </w:r>
      <w:r>
        <w:t xml:space="preserve"> </w:t>
      </w:r>
      <w:r>
        <w:t xml:space="preserve">contexts may help to even the playing field. Another direction would be</w:t>
      </w:r>
      <w:r>
        <w:t xml:space="preserve"> </w:t>
      </w:r>
      <w:r>
        <w:t xml:space="preserve">to further examine broader sets of auditory and oral skills. In</w:t>
      </w:r>
      <w:r>
        <w:t xml:space="preserve"> </w:t>
      </w:r>
      <w:r>
        <w:t xml:space="preserve">addition, we found a number of intact patterns of performance,</w:t>
      </w:r>
      <w:r>
        <w:t xml:space="preserve"> </w:t>
      </w:r>
      <w:r>
        <w:t xml:space="preserve">especially for exposure to unpredictability. These intact patterns of</w:t>
      </w:r>
      <w:r>
        <w:t xml:space="preserve"> </w:t>
      </w:r>
      <w:r>
        <w:t xml:space="preserve">performance might suggest that manipulations of either testing context</w:t>
      </w:r>
      <w:r>
        <w:t xml:space="preserve"> </w:t>
      </w:r>
      <w:r>
        <w:t xml:space="preserve">or content might be fruitful for discovering ways to enhance performance</w:t>
      </w:r>
      <w:r>
        <w:t xml:space="preserve"> </w:t>
      </w:r>
      <w:r>
        <w:t xml:space="preserve">among people exposed to unpredictability. Finally, our modeling approach</w:t>
      </w:r>
      <w:r>
        <w:t xml:space="preserve"> </w:t>
      </w:r>
      <w:r>
        <w:t xml:space="preserve">could be applied to other broad cognitive batteries such as the NIH</w:t>
      </w:r>
      <w:r>
        <w:t xml:space="preserve"> </w:t>
      </w:r>
      <w:r>
        <w:t xml:space="preserve">toolbox and other executive function test batteries. Doing so might</w:t>
      </w:r>
      <w:r>
        <w:t xml:space="preserve"> </w:t>
      </w:r>
      <w:r>
        <w:t xml:space="preserve">afford new insights into relative enhancements and intact performance</w:t>
      </w:r>
      <w:r>
        <w:t xml:space="preserve"> </w:t>
      </w:r>
      <w:r>
        <w:t xml:space="preserve">across broad sets of executive functions.</w:t>
      </w:r>
    </w:p>
    <w:bookmarkEnd w:id="69"/>
    <w:bookmarkStart w:id="70" w:name="conclusion"/>
    <w:p>
      <w:pPr>
        <w:pStyle w:val="Heading2"/>
      </w:pPr>
      <w:r>
        <w:t xml:space="preserve">Conclusion</w:t>
      </w:r>
    </w:p>
    <w:p>
      <w:pPr>
        <w:pStyle w:val="FirstParagraph"/>
      </w:pPr>
      <w:r>
        <w:t xml:space="preserve">Our goal was to work towards constructing a</w:t>
      </w:r>
      <w:r>
        <w:t xml:space="preserve"> </w:t>
      </w:r>
      <w:r>
        <w:t xml:space="preserve">“</w:t>
      </w:r>
      <w:r>
        <w:t xml:space="preserve">high resolution</w:t>
      </w:r>
      <w:r>
        <w:t xml:space="preserve">”</w:t>
      </w:r>
      <w:r>
        <w:t xml:space="preserve"> </w:t>
      </w:r>
      <w:r>
        <w:t xml:space="preserve">map of the</w:t>
      </w:r>
      <w:r>
        <w:t xml:space="preserve"> </w:t>
      </w:r>
      <w:r>
        <w:t xml:space="preserve">skills and abilities people develop in harsh and unpredictable</w:t>
      </w:r>
      <w:r>
        <w:t xml:space="preserve"> </w:t>
      </w:r>
      <w:r>
        <w:t xml:space="preserve">conditions. We see great value in confirmatory studies, but we also need</w:t>
      </w:r>
      <w:r>
        <w:t xml:space="preserve"> </w:t>
      </w:r>
      <w:r>
        <w:t xml:space="preserve">exploratory approaches. Here, we used principled exploration to help</w:t>
      </w:r>
      <w:r>
        <w:t xml:space="preserve"> </w:t>
      </w:r>
      <w:r>
        <w:t xml:space="preserve">remap and chart new territory. We believe more principled exploration of</w:t>
      </w:r>
      <w:r>
        <w:t xml:space="preserve"> </w:t>
      </w:r>
      <w:r>
        <w:t xml:space="preserve">standard test batteries could yield new discoveries, replicate</w:t>
      </w:r>
      <w:r>
        <w:t xml:space="preserve"> </w:t>
      </w:r>
      <w:r>
        <w:t xml:space="preserve">(conceptually or directly) the current findings, and further build up</w:t>
      </w:r>
      <w:r>
        <w:t xml:space="preserve"> </w:t>
      </w:r>
      <w:r>
        <w:t xml:space="preserve">useful description for theory building. For an emerging field, it is</w:t>
      </w:r>
      <w:r>
        <w:t xml:space="preserve"> </w:t>
      </w:r>
      <w:r>
        <w:t xml:space="preserve">important to widely explore and describe the hypothesis space.</w:t>
      </w:r>
      <w:r>
        <w:t xml:space="preserve"> </w:t>
      </w:r>
      <w:r>
        <w:t xml:space="preserve">Ultimately, this new and exciting research program will benefit from a</w:t>
      </w:r>
      <w:r>
        <w:t xml:space="preserve"> </w:t>
      </w:r>
      <w:r>
        <w:t xml:space="preserve">healthy synergy between confirmation and exploration.</w:t>
      </w:r>
    </w:p>
    <w:p>
      <w:r>
        <w:br w:type="page"/>
      </w:r>
    </w:p>
    <w:bookmarkEnd w:id="70"/>
    <w:bookmarkEnd w:id="71"/>
    <w:bookmarkStart w:id="207" w:name="references"/>
    <w:p>
      <w:pPr>
        <w:pStyle w:val="Heading1"/>
      </w:pPr>
      <w:r>
        <w:t xml:space="preserve">References</w:t>
      </w:r>
    </w:p>
    <w:bookmarkStart w:id="206" w:name="refs"/>
    <w:bookmarkStart w:id="73"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2">
        <w:r>
          <w:rPr>
            <w:rStyle w:val="Hyperlink"/>
          </w:rPr>
          <w:t xml:space="preserve">https://doi.org/10.15626/MP.2020.2625</w:t>
        </w:r>
      </w:hyperlink>
    </w:p>
    <w:bookmarkEnd w:id="73"/>
    <w:bookmarkStart w:id="75"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4">
        <w:r>
          <w:rPr>
            <w:rStyle w:val="Hyperlink"/>
          </w:rPr>
          <w:t xml:space="preserve">https://CRAN.R-project.org/package=quarto</w:t>
        </w:r>
      </w:hyperlink>
    </w:p>
    <w:bookmarkEnd w:id="75"/>
    <w:bookmarkStart w:id="76" w:name="ref-andrews2002"/>
    <w:p>
      <w:pPr>
        <w:pStyle w:val="Bibliography"/>
      </w:pPr>
      <w:r>
        <w:t xml:space="preserve">Andrews, P. W., Gangestad, S. W., &amp; Matthews, D. (2002). Adaptationism - how to carry out an exaptationist program.</w:t>
      </w:r>
      <w:r>
        <w:t xml:space="preserve"> </w:t>
      </w:r>
      <w:r>
        <w:rPr>
          <w:iCs/>
          <w:i/>
        </w:rPr>
        <w:t xml:space="preserve">Behavioral and Brain Sciences</w:t>
      </w:r>
      <w:r>
        <w:t xml:space="preserve">,</w:t>
      </w:r>
      <w:r>
        <w:t xml:space="preserve"> </w:t>
      </w:r>
      <w:r>
        <w:rPr>
          <w:iCs/>
          <w:i/>
        </w:rPr>
        <w:t xml:space="preserve">25</w:t>
      </w:r>
      <w:r>
        <w:t xml:space="preserve">(4), 489–504.</w:t>
      </w:r>
    </w:p>
    <w:bookmarkEnd w:id="76"/>
    <w:bookmarkStart w:id="78"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7">
        <w:r>
          <w:rPr>
            <w:rStyle w:val="Hyperlink"/>
          </w:rPr>
          <w:t xml:space="preserve">https://CRAN.R-project.org/package=marginaleffects</w:t>
        </w:r>
      </w:hyperlink>
    </w:p>
    <w:bookmarkEnd w:id="78"/>
    <w:bookmarkStart w:id="8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9">
        <w:r>
          <w:rPr>
            <w:rStyle w:val="Hyperlink"/>
          </w:rPr>
          <w:t xml:space="preserve">https://doi.org/gcrnkw</w:t>
        </w:r>
      </w:hyperlink>
    </w:p>
    <w:bookmarkEnd w:id="80"/>
    <w:bookmarkStart w:id="82"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81">
        <w:r>
          <w:rPr>
            <w:rStyle w:val="Hyperlink"/>
          </w:rPr>
          <w:t xml:space="preserve">https://doi.org/b7r3m4</w:t>
        </w:r>
      </w:hyperlink>
    </w:p>
    <w:bookmarkEnd w:id="82"/>
    <w:bookmarkStart w:id="84"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3">
        <w:r>
          <w:rPr>
            <w:rStyle w:val="Hyperlink"/>
          </w:rPr>
          <w:t xml:space="preserve">https://doi.org/gk5dzv</w:t>
        </w:r>
      </w:hyperlink>
    </w:p>
    <w:bookmarkEnd w:id="84"/>
    <w:bookmarkStart w:id="85"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5"/>
    <w:bookmarkStart w:id="87"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6">
        <w:r>
          <w:rPr>
            <w:rStyle w:val="Hyperlink"/>
          </w:rPr>
          <w:t xml:space="preserve">https://doi.org/b68cdk</w:t>
        </w:r>
      </w:hyperlink>
    </w:p>
    <w:bookmarkEnd w:id="87"/>
    <w:bookmarkStart w:id="89"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8">
        <w:r>
          <w:rPr>
            <w:rStyle w:val="Hyperlink"/>
          </w:rPr>
          <w:t xml:space="preserve">https://doi.org/10.5281/zenodo.2669586</w:t>
        </w:r>
      </w:hyperlink>
    </w:p>
    <w:bookmarkEnd w:id="89"/>
    <w:bookmarkStart w:id="91" w:name="ref-doom2016"/>
    <w:p>
      <w:pPr>
        <w:pStyle w:val="Bibliography"/>
      </w:pPr>
      <w:r>
        <w:t xml:space="preserve">Doom, J. R., Vanzomeren-Dohm, A. A., &amp; Simpson, J. A. (2016). Early unpredictability predicts increased adolescent externalizing behaviors and substance use:</w:t>
      </w:r>
      <w:r>
        <w:t xml:space="preserve"> </w:t>
      </w:r>
      <w:r>
        <w:t xml:space="preserve">A</w:t>
      </w:r>
      <w:r>
        <w:t xml:space="preserve"> </w:t>
      </w:r>
      <w:r>
        <w:t xml:space="preserve">life history perspective.</w:t>
      </w:r>
      <w:r>
        <w:t xml:space="preserve"> </w:t>
      </w:r>
      <w:r>
        <w:rPr>
          <w:iCs/>
          <w:i/>
        </w:rPr>
        <w:t xml:space="preserve">Development and Psychopathology</w:t>
      </w:r>
      <w:r>
        <w:t xml:space="preserve">,</w:t>
      </w:r>
      <w:r>
        <w:t xml:space="preserve"> </w:t>
      </w:r>
      <w:r>
        <w:rPr>
          <w:iCs/>
          <w:i/>
        </w:rPr>
        <w:t xml:space="preserve">28</w:t>
      </w:r>
      <w:r>
        <w:t xml:space="preserve">(4), 1505–1516.</w:t>
      </w:r>
      <w:r>
        <w:t xml:space="preserve"> </w:t>
      </w:r>
      <w:hyperlink r:id="rId90">
        <w:r>
          <w:rPr>
            <w:rStyle w:val="Hyperlink"/>
          </w:rPr>
          <w:t xml:space="preserve">https://doi.org/gjqwq6</w:t>
        </w:r>
      </w:hyperlink>
    </w:p>
    <w:bookmarkEnd w:id="91"/>
    <w:bookmarkStart w:id="93" w:name="ref-doom2022"/>
    <w:p>
      <w:pPr>
        <w:pStyle w:val="Bibliography"/>
      </w:pPr>
      <w:r>
        <w:t xml:space="preserve">Doom, J. R., Young, E. S., Farrell, A. K., Roisman, G. I., &amp; Simpson, J. A. (2022). Behavioral, cognitive, and socioemotional pathways from early childhood adversity to</w:t>
      </w:r>
      <w:r>
        <w:t xml:space="preserve"> </w:t>
      </w:r>
      <w:r>
        <w:t xml:space="preserve">BMI</w:t>
      </w:r>
      <w:r>
        <w:t xml:space="preserve">:</w:t>
      </w:r>
      <w:r>
        <w:t xml:space="preserve"> </w:t>
      </w:r>
      <w:r>
        <w:t xml:space="preserve">Evidence</w:t>
      </w:r>
      <w:r>
        <w:t xml:space="preserve"> </w:t>
      </w:r>
      <w:r>
        <w:t xml:space="preserve">from two prospective, longitudinal studies.</w:t>
      </w:r>
      <w:r>
        <w:t xml:space="preserve"> </w:t>
      </w:r>
      <w:r>
        <w:rPr>
          <w:iCs/>
          <w:i/>
        </w:rPr>
        <w:t xml:space="preserve">Development and Psychopathology</w:t>
      </w:r>
      <w:r>
        <w:t xml:space="preserve">, 1–17.</w:t>
      </w:r>
      <w:r>
        <w:t xml:space="preserve"> </w:t>
      </w:r>
      <w:hyperlink r:id="rId92">
        <w:r>
          <w:rPr>
            <w:rStyle w:val="Hyperlink"/>
          </w:rPr>
          <w:t xml:space="preserve">https://doi.org/10.1017/s0954579421001887</w:t>
        </w:r>
      </w:hyperlink>
    </w:p>
    <w:bookmarkEnd w:id="93"/>
    <w:bookmarkStart w:id="95" w:name="ref-duncan2017a"/>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w:t>
      </w:r>
      <w:r>
        <w:t xml:space="preserve"> </w:t>
      </w:r>
      <w:r>
        <w:rPr>
          <w:iCs/>
          <w:i/>
        </w:rPr>
        <w:t xml:space="preserve">Annual Review of Psychology</w:t>
      </w:r>
      <w:r>
        <w:t xml:space="preserve">,</w:t>
      </w:r>
      <w:r>
        <w:t xml:space="preserve"> </w:t>
      </w:r>
      <w:r>
        <w:rPr>
          <w:iCs/>
          <w:i/>
        </w:rPr>
        <w:t xml:space="preserve">68</w:t>
      </w:r>
      <w:r>
        <w:t xml:space="preserve">(1), 413–434.</w:t>
      </w:r>
      <w:r>
        <w:t xml:space="preserve"> </w:t>
      </w:r>
      <w:hyperlink r:id="rId94">
        <w:r>
          <w:rPr>
            <w:rStyle w:val="Hyperlink"/>
          </w:rPr>
          <w:t xml:space="preserve">https://doi.org/gd889f</w:t>
        </w:r>
      </w:hyperlink>
    </w:p>
    <w:bookmarkEnd w:id="95"/>
    <w:bookmarkStart w:id="97" w:name="ref-duquennois2022"/>
    <w:p>
      <w:pPr>
        <w:pStyle w:val="Bibliography"/>
      </w:pPr>
      <w:r>
        <w:t xml:space="preserve">Duquennois, C. (2022). Fictional money, real costs:</w:t>
      </w:r>
      <w:r>
        <w:t xml:space="preserve"> </w:t>
      </w:r>
      <w:r>
        <w:t xml:space="preserve">Impacts</w:t>
      </w:r>
      <w:r>
        <w:t xml:space="preserve"> </w:t>
      </w:r>
      <w:r>
        <w:t xml:space="preserve">of financial salience on disadvantaged students.</w:t>
      </w:r>
      <w:r>
        <w:t xml:space="preserve"> </w:t>
      </w:r>
      <w:r>
        <w:rPr>
          <w:iCs/>
          <w:i/>
        </w:rPr>
        <w:t xml:space="preserve">American Economic Review</w:t>
      </w:r>
      <w:r>
        <w:t xml:space="preserve">,</w:t>
      </w:r>
      <w:r>
        <w:t xml:space="preserve"> </w:t>
      </w:r>
      <w:r>
        <w:rPr>
          <w:iCs/>
          <w:i/>
        </w:rPr>
        <w:t xml:space="preserve">112</w:t>
      </w:r>
      <w:r>
        <w:t xml:space="preserve">(3), 798–826.</w:t>
      </w:r>
      <w:r>
        <w:t xml:space="preserve"> </w:t>
      </w:r>
      <w:hyperlink r:id="rId96">
        <w:r>
          <w:rPr>
            <w:rStyle w:val="Hyperlink"/>
          </w:rPr>
          <w:t xml:space="preserve">https://doi.org/gp5b3p</w:t>
        </w:r>
      </w:hyperlink>
    </w:p>
    <w:bookmarkEnd w:id="97"/>
    <w:bookmarkStart w:id="99" w:name="ref-ellis2022"/>
    <w:p>
      <w:pPr>
        <w:pStyle w:val="Bibliography"/>
      </w:pPr>
      <w:r>
        <w:t xml:space="preserve">Ellis, B. J., Abrams, L. S., Masten, A. S., Sternberg, R. J., Tottenham, N., &amp; Frankenhuis, W. E. (2022). Hidden talents in harsh environments.</w:t>
      </w:r>
      <w:r>
        <w:t xml:space="preserve"> </w:t>
      </w:r>
      <w:r>
        <w:rPr>
          <w:iCs/>
          <w:i/>
        </w:rPr>
        <w:t xml:space="preserve">Development and Psychopathology</w:t>
      </w:r>
      <w:r>
        <w:t xml:space="preserve">,</w:t>
      </w:r>
      <w:r>
        <w:t xml:space="preserve"> </w:t>
      </w:r>
      <w:r>
        <w:rPr>
          <w:iCs/>
          <w:i/>
        </w:rPr>
        <w:t xml:space="preserve">34</w:t>
      </w:r>
      <w:r>
        <w:t xml:space="preserve">(1), 95–113.</w:t>
      </w:r>
      <w:r>
        <w:t xml:space="preserve"> </w:t>
      </w:r>
      <w:hyperlink r:id="rId98">
        <w:r>
          <w:rPr>
            <w:rStyle w:val="Hyperlink"/>
          </w:rPr>
          <w:t xml:space="preserve">https://doi.org/10.1017/S0954579420000887</w:t>
        </w:r>
      </w:hyperlink>
    </w:p>
    <w:bookmarkEnd w:id="99"/>
    <w:bookmarkStart w:id="101"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100">
        <w:r>
          <w:rPr>
            <w:rStyle w:val="Hyperlink"/>
          </w:rPr>
          <w:t xml:space="preserve">https://doi.org/gdtj9h</w:t>
        </w:r>
      </w:hyperlink>
    </w:p>
    <w:bookmarkEnd w:id="101"/>
    <w:bookmarkStart w:id="103"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102">
        <w:r>
          <w:rPr>
            <w:rStyle w:val="Hyperlink"/>
          </w:rPr>
          <w:t xml:space="preserve">https://doi.org/b35prn</w:t>
        </w:r>
      </w:hyperlink>
    </w:p>
    <w:bookmarkEnd w:id="103"/>
    <w:bookmarkStart w:id="105"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104">
        <w:r>
          <w:rPr>
            <w:rStyle w:val="Hyperlink"/>
          </w:rPr>
          <w:t xml:space="preserve">https://doi.org/fv2dn8</w:t>
        </w:r>
      </w:hyperlink>
    </w:p>
    <w:bookmarkEnd w:id="105"/>
    <w:bookmarkStart w:id="107"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106">
        <w:r>
          <w:rPr>
            <w:rStyle w:val="Hyperlink"/>
          </w:rPr>
          <w:t xml:space="preserve">https://doi.org/gj7gh7</w:t>
        </w:r>
      </w:hyperlink>
    </w:p>
    <w:bookmarkEnd w:id="107"/>
    <w:bookmarkStart w:id="109"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8">
        <w:r>
          <w:rPr>
            <w:rStyle w:val="Hyperlink"/>
          </w:rPr>
          <w:t xml:space="preserve">https://doi.org/gnbxdn</w:t>
        </w:r>
      </w:hyperlink>
    </w:p>
    <w:bookmarkEnd w:id="109"/>
    <w:bookmarkStart w:id="111" w:name="ref-fraley2013a"/>
    <w:p>
      <w:pPr>
        <w:pStyle w:val="Bibliography"/>
      </w:pPr>
      <w:r>
        <w:t xml:space="preserve">Fraley, R. C., Roisman, G. I., &amp; Haltigan, J. D. (2013). The legacy of early experiences in development:</w:t>
      </w:r>
      <w:r>
        <w:t xml:space="preserve"> </w:t>
      </w:r>
      <w:r>
        <w:t xml:space="preserve">Formalizing</w:t>
      </w:r>
      <w:r>
        <w:t xml:space="preserve"> </w:t>
      </w:r>
      <w:r>
        <w:t xml:space="preserve">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 109–126.</w:t>
      </w:r>
      <w:r>
        <w:t xml:space="preserve"> </w:t>
      </w:r>
      <w:hyperlink r:id="rId110">
        <w:r>
          <w:rPr>
            <w:rStyle w:val="Hyperlink"/>
          </w:rPr>
          <w:t xml:space="preserve">https://doi.org/f4mnf8</w:t>
        </w:r>
      </w:hyperlink>
    </w:p>
    <w:bookmarkEnd w:id="111"/>
    <w:bookmarkStart w:id="113"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12">
        <w:r>
          <w:rPr>
            <w:rStyle w:val="Hyperlink"/>
          </w:rPr>
          <w:t xml:space="preserve">https://doi.org/ggb8qd</w:t>
        </w:r>
      </w:hyperlink>
    </w:p>
    <w:bookmarkEnd w:id="113"/>
    <w:bookmarkStart w:id="115"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14">
        <w:r>
          <w:rPr>
            <w:rStyle w:val="Hyperlink"/>
          </w:rPr>
          <w:t xml:space="preserve">https://doi.org/f5cxhb</w:t>
        </w:r>
      </w:hyperlink>
    </w:p>
    <w:bookmarkEnd w:id="115"/>
    <w:bookmarkStart w:id="117"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16">
        <w:r>
          <w:rPr>
            <w:rStyle w:val="Hyperlink"/>
          </w:rPr>
          <w:t xml:space="preserve">https://doi.org/ggf5d6</w:t>
        </w:r>
      </w:hyperlink>
    </w:p>
    <w:bookmarkEnd w:id="117"/>
    <w:bookmarkStart w:id="119" w:name="ref-frankenhuis2019a"/>
    <w:p>
      <w:pPr>
        <w:pStyle w:val="Bibliography"/>
      </w:pPr>
      <w:r>
        <w:t xml:space="preserve">Frankenhuis, W. E., Nettle, D., &amp; Dall, S. R. X. (2019). A case for environmental statistics of early-life effects.</w:t>
      </w:r>
      <w:r>
        <w:t xml:space="preserve"> </w:t>
      </w:r>
      <w:r>
        <w:rPr>
          <w:iCs/>
          <w:i/>
        </w:rPr>
        <w:t xml:space="preserve">Philosophical Transactions of the Royal Society B-Biological Sciences</w:t>
      </w:r>
      <w:r>
        <w:t xml:space="preserve">,</w:t>
      </w:r>
      <w:r>
        <w:t xml:space="preserve"> </w:t>
      </w:r>
      <w:r>
        <w:rPr>
          <w:iCs/>
          <w:i/>
        </w:rPr>
        <w:t xml:space="preserve">374</w:t>
      </w:r>
      <w:r>
        <w:t xml:space="preserve">(1770), 20180110.</w:t>
      </w:r>
      <w:r>
        <w:t xml:space="preserve"> </w:t>
      </w:r>
      <w:hyperlink r:id="rId118">
        <w:r>
          <w:rPr>
            <w:rStyle w:val="Hyperlink"/>
          </w:rPr>
          <w:t xml:space="preserve">https://doi.org/gjqwb2</w:t>
        </w:r>
      </w:hyperlink>
    </w:p>
    <w:bookmarkEnd w:id="119"/>
    <w:bookmarkStart w:id="121"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20">
        <w:r>
          <w:rPr>
            <w:rStyle w:val="Hyperlink"/>
          </w:rPr>
          <w:t xml:space="preserve">https://doi.org/10.1016/j.tics.2020.03.007</w:t>
        </w:r>
      </w:hyperlink>
    </w:p>
    <w:bookmarkEnd w:id="121"/>
    <w:bookmarkStart w:id="123" w:name="ref-gardner-neblett2015"/>
    <w:p>
      <w:pPr>
        <w:pStyle w:val="Bibliography"/>
      </w:pPr>
      <w:r>
        <w:t xml:space="preserve">Gardner-Neblett, N., &amp; Iruka, I. U. (2015). Oral narrative skills: Explaining the language-emergent literacy link by race/ethnicity and SES.</w:t>
      </w:r>
      <w:r>
        <w:t xml:space="preserve"> </w:t>
      </w:r>
      <w:r>
        <w:rPr>
          <w:iCs/>
          <w:i/>
        </w:rPr>
        <w:t xml:space="preserve">Developmental Psychology</w:t>
      </w:r>
      <w:r>
        <w:t xml:space="preserve">,</w:t>
      </w:r>
      <w:r>
        <w:t xml:space="preserve"> </w:t>
      </w:r>
      <w:r>
        <w:rPr>
          <w:iCs/>
          <w:i/>
        </w:rPr>
        <w:t xml:space="preserve">51</w:t>
      </w:r>
      <w:r>
        <w:t xml:space="preserve">, 889–904.</w:t>
      </w:r>
      <w:r>
        <w:t xml:space="preserve"> </w:t>
      </w:r>
      <w:hyperlink r:id="rId122">
        <w:r>
          <w:rPr>
            <w:rStyle w:val="Hyperlink"/>
          </w:rPr>
          <w:t xml:space="preserve">https://doi.org/10.1037/a0039274</w:t>
        </w:r>
      </w:hyperlink>
    </w:p>
    <w:bookmarkEnd w:id="123"/>
    <w:bookmarkStart w:id="125" w:name="ref-gardner-neblett2012"/>
    <w:p>
      <w:pPr>
        <w:pStyle w:val="Bibliography"/>
      </w:pPr>
      <w:r>
        <w:t xml:space="preserve">Gardner-Neblett, N., Pungello, E. P., &amp; Iruka, I. U. (2012). Oral narrative skills: Implications for the reading development of african american children.</w:t>
      </w:r>
      <w:r>
        <w:t xml:space="preserve"> </w:t>
      </w:r>
      <w:r>
        <w:rPr>
          <w:iCs/>
          <w:i/>
        </w:rPr>
        <w:t xml:space="preserve">Child Development Perspectives</w:t>
      </w:r>
      <w:r>
        <w:t xml:space="preserve">,</w:t>
      </w:r>
      <w:r>
        <w:t xml:space="preserve"> </w:t>
      </w:r>
      <w:r>
        <w:rPr>
          <w:iCs/>
          <w:i/>
        </w:rPr>
        <w:t xml:space="preserve">6</w:t>
      </w:r>
      <w:r>
        <w:t xml:space="preserve">, 218–224.</w:t>
      </w:r>
      <w:r>
        <w:t xml:space="preserve"> </w:t>
      </w:r>
      <w:hyperlink r:id="rId124">
        <w:r>
          <w:rPr>
            <w:rStyle w:val="Hyperlink"/>
          </w:rPr>
          <w:t xml:space="preserve">https://doi.org/10.1111/j.1750-8606.2011.00225.x</w:t>
        </w:r>
      </w:hyperlink>
    </w:p>
    <w:bookmarkEnd w:id="125"/>
    <w:bookmarkStart w:id="127"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26">
        <w:r>
          <w:rPr>
            <w:rStyle w:val="Hyperlink"/>
          </w:rPr>
          <w:t xml:space="preserve">https://CRAN.R-project.org/package=flextable</w:t>
        </w:r>
      </w:hyperlink>
    </w:p>
    <w:bookmarkEnd w:id="127"/>
    <w:bookmarkStart w:id="129"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28">
        <w:r>
          <w:rPr>
            <w:rStyle w:val="Hyperlink"/>
          </w:rPr>
          <w:t xml:space="preserve">https://doi.org/b254c6</w:t>
        </w:r>
      </w:hyperlink>
    </w:p>
    <w:bookmarkEnd w:id="129"/>
    <w:bookmarkStart w:id="131"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30">
        <w:r>
          <w:rPr>
            <w:rStyle w:val="Hyperlink"/>
          </w:rPr>
          <w:t xml:space="preserve">https://doi.org/gjqzzj</w:t>
        </w:r>
      </w:hyperlink>
    </w:p>
    <w:bookmarkEnd w:id="131"/>
    <w:bookmarkStart w:id="133"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32">
        <w:r>
          <w:rPr>
            <w:rStyle w:val="Hyperlink"/>
          </w:rPr>
          <w:t xml:space="preserve">https://doi.org/10.5281/zenodo.3879620</w:t>
        </w:r>
      </w:hyperlink>
    </w:p>
    <w:bookmarkEnd w:id="133"/>
    <w:bookmarkStart w:id="135" w:name="ref-ketelaar2000"/>
    <w:p>
      <w:pPr>
        <w:pStyle w:val="Bibliography"/>
      </w:pPr>
      <w:r>
        <w:t xml:space="preserve">Ketelaar, T., &amp; Ellis, B. J. (2000). Are evolutionary explanations unfalsifiable?</w:t>
      </w:r>
      <w:r>
        <w:t xml:space="preserve"> </w:t>
      </w:r>
      <w:r>
        <w:t xml:space="preserve">Evolutionary</w:t>
      </w:r>
      <w:r>
        <w:t xml:space="preserve"> </w:t>
      </w:r>
      <w:r>
        <w:t xml:space="preserve">psychology and the</w:t>
      </w:r>
      <w:r>
        <w:t xml:space="preserve"> </w:t>
      </w:r>
      <w:r>
        <w:t xml:space="preserve">Lakatosian</w:t>
      </w:r>
      <w:r>
        <w:t xml:space="preserve"> </w:t>
      </w:r>
      <w:r>
        <w:t xml:space="preserve">philosophy of science.</w:t>
      </w:r>
      <w:r>
        <w:t xml:space="preserve"> </w:t>
      </w:r>
      <w:r>
        <w:rPr>
          <w:iCs/>
          <w:i/>
        </w:rPr>
        <w:t xml:space="preserve">Psychological Inquiry</w:t>
      </w:r>
      <w:r>
        <w:t xml:space="preserve">,</w:t>
      </w:r>
      <w:r>
        <w:t xml:space="preserve"> </w:t>
      </w:r>
      <w:r>
        <w:rPr>
          <w:iCs/>
          <w:i/>
        </w:rPr>
        <w:t xml:space="preserve">11</w:t>
      </w:r>
      <w:r>
        <w:t xml:space="preserve">(1), 1–21.</w:t>
      </w:r>
      <w:r>
        <w:t xml:space="preserve"> </w:t>
      </w:r>
      <w:hyperlink r:id="rId134">
        <w:r>
          <w:rPr>
            <w:rStyle w:val="Hyperlink"/>
          </w:rPr>
          <w:t xml:space="preserve">https://doi.org/dsds7m</w:t>
        </w:r>
      </w:hyperlink>
    </w:p>
    <w:bookmarkEnd w:id="135"/>
    <w:bookmarkStart w:id="137" w:name="ref-kruschke2018"/>
    <w:p>
      <w:pPr>
        <w:pStyle w:val="Bibliography"/>
      </w:pPr>
      <w:r>
        <w:t xml:space="preserve">Kruschke, J. K. (2018). Rejecting or accepting parameter values in</w:t>
      </w:r>
      <w:r>
        <w:t xml:space="preserve"> </w:t>
      </w:r>
      <w:r>
        <w:t xml:space="preserve">Bayesian</w:t>
      </w:r>
      <w:r>
        <w:t xml:space="preserve"> </w:t>
      </w:r>
      <w:r>
        <w:t xml:space="preserve">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36">
        <w:r>
          <w:rPr>
            <w:rStyle w:val="Hyperlink"/>
          </w:rPr>
          <w:t xml:space="preserve">https://doi.org/gfvh58</w:t>
        </w:r>
      </w:hyperlink>
    </w:p>
    <w:bookmarkEnd w:id="137"/>
    <w:bookmarkStart w:id="139" w:name="ref-lakens2018"/>
    <w:p>
      <w:pPr>
        <w:pStyle w:val="Bibliography"/>
      </w:pPr>
      <w:r>
        <w:t xml:space="preserve">Lakens, D., Scheel, A. M., &amp; Isager, P. M. (2018). Equivalence testing for psychological research:</w:t>
      </w:r>
      <w:r>
        <w:t xml:space="preserve"> </w:t>
      </w:r>
      <w:r>
        <w:t xml:space="preserve">A</w:t>
      </w:r>
      <w:r>
        <w:t xml:space="preserve"> </w:t>
      </w:r>
      <w:r>
        <w:t xml:space="preserve">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38">
        <w:r>
          <w:rPr>
            <w:rStyle w:val="Hyperlink"/>
          </w:rPr>
          <w:t xml:space="preserve">https://doi.org/10.1177/2515245918770963</w:t>
        </w:r>
      </w:hyperlink>
    </w:p>
    <w:bookmarkEnd w:id="139"/>
    <w:bookmarkStart w:id="141" w:name="ref-lewis2017"/>
    <w:p>
      <w:pPr>
        <w:pStyle w:val="Bibliography"/>
      </w:pPr>
      <w:r>
        <w:t xml:space="preserve">Lewis, D. M. G., Al-Shawaf, L., Conroy-Beam, D., Asao, K., &amp; Buss, D. M. (2017). Evolutionary psychology:</w:t>
      </w:r>
      <w:r>
        <w:t xml:space="preserve"> </w:t>
      </w:r>
      <w:r>
        <w:t xml:space="preserve">A</w:t>
      </w:r>
      <w:r>
        <w:t xml:space="preserve"> </w:t>
      </w:r>
      <w:r>
        <w:t xml:space="preserve">how-to guide.</w:t>
      </w:r>
      <w:r>
        <w:t xml:space="preserve"> </w:t>
      </w:r>
      <w:r>
        <w:rPr>
          <w:iCs/>
          <w:i/>
        </w:rPr>
        <w:t xml:space="preserve">American Psychologist</w:t>
      </w:r>
      <w:r>
        <w:t xml:space="preserve">,</w:t>
      </w:r>
      <w:r>
        <w:t xml:space="preserve"> </w:t>
      </w:r>
      <w:r>
        <w:rPr>
          <w:iCs/>
          <w:i/>
        </w:rPr>
        <w:t xml:space="preserve">72</w:t>
      </w:r>
      <w:r>
        <w:t xml:space="preserve">, 353–373.</w:t>
      </w:r>
      <w:r>
        <w:t xml:space="preserve"> </w:t>
      </w:r>
      <w:hyperlink r:id="rId140">
        <w:r>
          <w:rPr>
            <w:rStyle w:val="Hyperlink"/>
          </w:rPr>
          <w:t xml:space="preserve">https://doi.org/f97kk7</w:t>
        </w:r>
      </w:hyperlink>
    </w:p>
    <w:bookmarkEnd w:id="141"/>
    <w:bookmarkStart w:id="143" w:name="ref-li2018"/>
    <w:p>
      <w:pPr>
        <w:pStyle w:val="Bibliography"/>
      </w:pPr>
      <w:r>
        <w:t xml:space="preserve">Li, Z., Liu, S., Hartman, S., &amp; Belsky, J. (2018). Interactive effects of early-life income harshness and unpredictability on children’s socioemotional and academic functioning in kindergarten and adolescence.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42">
        <w:r>
          <w:rPr>
            <w:rStyle w:val="Hyperlink"/>
          </w:rPr>
          <w:t xml:space="preserve">https://doi.org/gfmd6w</w:t>
        </w:r>
      </w:hyperlink>
    </w:p>
    <w:bookmarkEnd w:id="143"/>
    <w:bookmarkStart w:id="145"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44">
        <w:r>
          <w:rPr>
            <w:rStyle w:val="Hyperlink"/>
          </w:rPr>
          <w:t xml:space="preserve">https://doi.org/10.21105/joss.00772</w:t>
        </w:r>
      </w:hyperlink>
    </w:p>
    <w:bookmarkEnd w:id="145"/>
    <w:bookmarkStart w:id="147"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46">
        <w:r>
          <w:rPr>
            <w:rStyle w:val="Hyperlink"/>
          </w:rPr>
          <w:t xml:space="preserve">https://doi.org/10.5281/zenodo.1249215</w:t>
        </w:r>
      </w:hyperlink>
    </w:p>
    <w:bookmarkEnd w:id="147"/>
    <w:bookmarkStart w:id="149"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48">
        <w:r>
          <w:rPr>
            <w:rStyle w:val="Hyperlink"/>
          </w:rPr>
          <w:t xml:space="preserve">https://doi.org/10.21105/joss.02445</w:t>
        </w:r>
      </w:hyperlink>
    </w:p>
    <w:bookmarkEnd w:id="149"/>
    <w:bookmarkStart w:id="151" w:name="ref-mcintosh2017"/>
    <w:p>
      <w:pPr>
        <w:pStyle w:val="Bibliography"/>
      </w:pPr>
      <w:r>
        <w:t xml:space="preserve">McIntosh, R. D. (2017). Exploratory reports:</w:t>
      </w:r>
      <w:r>
        <w:t xml:space="preserve"> </w:t>
      </w:r>
      <w:r>
        <w:t xml:space="preserve">A</w:t>
      </w:r>
      <w:r>
        <w:t xml:space="preserve"> </w:t>
      </w:r>
      <w:r>
        <w:t xml:space="preserve">new article type for</w:t>
      </w:r>
      <w:r>
        <w:t xml:space="preserve"> </w:t>
      </w:r>
      <w:r>
        <w:t xml:space="preserve">Cortex</w:t>
      </w:r>
      <w:r>
        <w:t xml:space="preserve">.</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50">
        <w:r>
          <w:rPr>
            <w:rStyle w:val="Hyperlink"/>
          </w:rPr>
          <w:t xml:space="preserve">https://doi.org/10.1016/j.cortex.2017.07.014</w:t>
        </w:r>
      </w:hyperlink>
    </w:p>
    <w:bookmarkEnd w:id="151"/>
    <w:bookmarkStart w:id="153"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52">
        <w:r>
          <w:rPr>
            <w:rStyle w:val="Hyperlink"/>
          </w:rPr>
          <w:t xml:space="preserve">https://doi.org/gj59n7</w:t>
        </w:r>
      </w:hyperlink>
    </w:p>
    <w:bookmarkEnd w:id="153"/>
    <w:bookmarkStart w:id="155"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54">
        <w:r>
          <w:rPr>
            <w:rStyle w:val="Hyperlink"/>
          </w:rPr>
          <w:t xml:space="preserve">https://doi.org/10.1037/pspi0000028</w:t>
        </w:r>
      </w:hyperlink>
    </w:p>
    <w:bookmarkEnd w:id="155"/>
    <w:bookmarkStart w:id="157"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56">
        <w:r>
          <w:rPr>
            <w:rStyle w:val="Hyperlink"/>
          </w:rPr>
          <w:t xml:space="preserve">https://doi.org/10.26481/dis.20191115mm</w:t>
        </w:r>
      </w:hyperlink>
    </w:p>
    <w:bookmarkEnd w:id="157"/>
    <w:bookmarkStart w:id="158" w:name="ref-2005"/>
    <w:p>
      <w:pPr>
        <w:pStyle w:val="Bibliography"/>
      </w:pPr>
      <w:r>
        <w:t xml:space="preserve">NICHD Early Child Care Research Network.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w:t>
      </w:r>
      <w:r>
        <w:t xml:space="preserve"> </w:t>
      </w:r>
      <w:r>
        <w:t xml:space="preserve">The Guilford Press</w:t>
      </w:r>
      <w:r>
        <w:t xml:space="preserve">.</w:t>
      </w:r>
    </w:p>
    <w:bookmarkEnd w:id="158"/>
    <w:bookmarkStart w:id="160"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59">
        <w:r>
          <w:rPr>
            <w:rStyle w:val="Hyperlink"/>
          </w:rPr>
          <w:t xml:space="preserve">https://doi.org/gphn59</w:t>
        </w:r>
      </w:hyperlink>
    </w:p>
    <w:bookmarkEnd w:id="160"/>
    <w:bookmarkStart w:id="162"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61">
        <w:r>
          <w:rPr>
            <w:rStyle w:val="Hyperlink"/>
          </w:rPr>
          <w:t xml:space="preserve">https://CRAN.R-project.org/package=patchwork</w:t>
        </w:r>
      </w:hyperlink>
    </w:p>
    <w:bookmarkEnd w:id="162"/>
    <w:bookmarkStart w:id="163" w:name="ref-positteam2023"/>
    <w:p>
      <w:pPr>
        <w:pStyle w:val="Bibliography"/>
      </w:pPr>
      <w:r>
        <w:t xml:space="preserve">Posit team. (2023).</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[Manual].</w:t>
      </w:r>
      <w:r>
        <w:t xml:space="preserve"> </w:t>
      </w:r>
      <w:r>
        <w:t xml:space="preserve">Posit Software, PBC</w:t>
      </w:r>
      <w:r>
        <w:t xml:space="preserve">.</w:t>
      </w:r>
    </w:p>
    <w:bookmarkEnd w:id="163"/>
    <w:bookmarkStart w:id="164" w:name="ref-rcoreteam2023"/>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p>
    <w:bookmarkEnd w:id="164"/>
    <w:bookmarkStart w:id="166"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65">
        <w:r>
          <w:rPr>
            <w:rStyle w:val="Hyperlink"/>
          </w:rPr>
          <w:t xml:space="preserve">https://doi.org/gjh5cc</w:t>
        </w:r>
      </w:hyperlink>
    </w:p>
    <w:bookmarkEnd w:id="166"/>
    <w:bookmarkStart w:id="168" w:name="ref-rifkin-graboi2021a"/>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w:t>
      </w:r>
      <w:r>
        <w:t xml:space="preserve"> </w:t>
      </w:r>
      <w:r>
        <w:rPr>
          <w:iCs/>
          <w:i/>
        </w:rPr>
        <w:t xml:space="preserve">12</w:t>
      </w:r>
      <w:r>
        <w:t xml:space="preserve">(6), 890–901.</w:t>
      </w:r>
      <w:r>
        <w:t xml:space="preserve"> </w:t>
      </w:r>
      <w:hyperlink r:id="rId167">
        <w:r>
          <w:rPr>
            <w:rStyle w:val="Hyperlink"/>
          </w:rPr>
          <w:t xml:space="preserve">https://doi.org/gphn6c</w:t>
        </w:r>
      </w:hyperlink>
    </w:p>
    <w:bookmarkEnd w:id="168"/>
    <w:bookmarkStart w:id="170" w:name="ref-roisman2021"/>
    <w:p>
      <w:pPr>
        <w:pStyle w:val="Bibliography"/>
      </w:pPr>
      <w:r>
        <w:t xml:space="preserve">Roisman, G. I. (2021). Editorial:</w:t>
      </w:r>
      <w:r>
        <w:t xml:space="preserve"> </w:t>
      </w:r>
      <w:r>
        <w:t xml:space="preserve">A</w:t>
      </w:r>
      <w:r>
        <w:t xml:space="preserve"> </w:t>
      </w:r>
      <w:r>
        <w:t xml:space="preserve">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69">
        <w:r>
          <w:rPr>
            <w:rStyle w:val="Hyperlink"/>
          </w:rPr>
          <w:t xml:space="preserve">https://doi.org/10.1111/cdev.13538</w:t>
        </w:r>
      </w:hyperlink>
    </w:p>
    <w:bookmarkEnd w:id="170"/>
    <w:bookmarkStart w:id="172" w:name="ref-rozin2001"/>
    <w:p>
      <w:pPr>
        <w:pStyle w:val="Bibliography"/>
      </w:pPr>
      <w:r>
        <w:t xml:space="preserve">Rozin, P. (2001). Social psychology and science:</w:t>
      </w:r>
      <w:r>
        <w:t xml:space="preserve"> </w:t>
      </w:r>
      <w:r>
        <w:t xml:space="preserve">Some</w:t>
      </w:r>
      <w:r>
        <w:t xml:space="preserve"> </w:t>
      </w:r>
      <w:r>
        <w:t xml:space="preserve">lessons from</w:t>
      </w:r>
      <w:r>
        <w:t xml:space="preserve"> </w:t>
      </w:r>
      <w:r>
        <w:t xml:space="preserve">Solomon</w:t>
      </w:r>
      <w:r>
        <w:t xml:space="preserve"> </w:t>
      </w:r>
      <w:r>
        <w:t xml:space="preserve">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71">
        <w:r>
          <w:rPr>
            <w:rStyle w:val="Hyperlink"/>
          </w:rPr>
          <w:t xml:space="preserve">https://doi.org/bhqn85</w:t>
        </w:r>
      </w:hyperlink>
    </w:p>
    <w:bookmarkEnd w:id="172"/>
    <w:bookmarkStart w:id="174" w:name="ref-scheel2021"/>
    <w:p>
      <w:pPr>
        <w:pStyle w:val="Bibliography"/>
      </w:pPr>
      <w:r>
        <w:t xml:space="preserve">Scheel, A. M., Tiokhin, L., Isager, P. M., &amp; Lakens, D. (2021). Why hypothesis testers should spend less time testing hypotheses.</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73">
        <w:r>
          <w:rPr>
            <w:rStyle w:val="Hyperlink"/>
          </w:rPr>
          <w:t xml:space="preserve">https://doi.org/ghp4k7</w:t>
        </w:r>
      </w:hyperlink>
    </w:p>
    <w:bookmarkEnd w:id="174"/>
    <w:bookmarkStart w:id="176"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75">
        <w:r>
          <w:rPr>
            <w:rStyle w:val="Hyperlink"/>
          </w:rPr>
          <w:t xml:space="preserve">https://doi.org/f3xfqp</w:t>
        </w:r>
      </w:hyperlink>
    </w:p>
    <w:bookmarkEnd w:id="176"/>
    <w:bookmarkStart w:id="178"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77">
        <w:r>
          <w:rPr>
            <w:rStyle w:val="Hyperlink"/>
          </w:rPr>
          <w:t xml:space="preserve">https://doi.org/f8n843</w:t>
        </w:r>
      </w:hyperlink>
    </w:p>
    <w:bookmarkEnd w:id="178"/>
    <w:bookmarkStart w:id="180"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79">
        <w:r>
          <w:rPr>
            <w:rStyle w:val="Hyperlink"/>
          </w:rPr>
          <w:t xml:space="preserve">https://doi.org/f74hdp</w:t>
        </w:r>
      </w:hyperlink>
    </w:p>
    <w:bookmarkEnd w:id="180"/>
    <w:bookmarkStart w:id="182" w:name="ref-szepsenwol2019"/>
    <w:p>
      <w:pPr>
        <w:pStyle w:val="Bibliography"/>
      </w:pPr>
      <w:r>
        <w:t xml:space="preserve">Szepsenwol, O., Zamir, O., &amp; Simpson, J. A. (2019). The effect of early-life harshness and unpredictability on intimate partner violence in adulthood:</w:t>
      </w:r>
      <w:r>
        <w:t xml:space="preserve"> </w:t>
      </w:r>
      <w:r>
        <w:t xml:space="preserve">A</w:t>
      </w:r>
      <w:r>
        <w:t xml:space="preserve"> </w:t>
      </w:r>
      <w:r>
        <w:t xml:space="preserve">life history perspective.</w:t>
      </w:r>
      <w:r>
        <w:t xml:space="preserve"> </w:t>
      </w:r>
      <w:r>
        <w:rPr>
          <w:iCs/>
          <w:i/>
        </w:rPr>
        <w:t xml:space="preserve">Journal of Social and Personal Relationships</w:t>
      </w:r>
      <w:r>
        <w:t xml:space="preserve">,</w:t>
      </w:r>
      <w:r>
        <w:t xml:space="preserve"> </w:t>
      </w:r>
      <w:r>
        <w:rPr>
          <w:iCs/>
          <w:i/>
        </w:rPr>
        <w:t xml:space="preserve">36</w:t>
      </w:r>
      <w:r>
        <w:t xml:space="preserve">(5), 1542–1556.</w:t>
      </w:r>
      <w:r>
        <w:t xml:space="preserve"> </w:t>
      </w:r>
      <w:hyperlink r:id="rId181">
        <w:r>
          <w:rPr>
            <w:rStyle w:val="Hyperlink"/>
          </w:rPr>
          <w:t xml:space="preserve">https://doi.org/gjqwrm</w:t>
        </w:r>
      </w:hyperlink>
    </w:p>
    <w:bookmarkEnd w:id="182"/>
    <w:bookmarkStart w:id="184" w:name="ref-ugarte2023"/>
    <w:p>
      <w:pPr>
        <w:pStyle w:val="Bibliography"/>
      </w:pPr>
      <w:r>
        <w:t xml:space="preserve">Ugarte, E., &amp; Hastings, P. D. (2023). Assessing unpredictability in caregiver</w:t>
      </w:r>
      <w:r>
        <w:t xml:space="preserve">child relationships: Insights from theoretical and empirical perspectives.</w:t>
      </w:r>
      <w:r>
        <w:t xml:space="preserve"> </w:t>
      </w:r>
      <w:r>
        <w:rPr>
          <w:iCs/>
          <w:i/>
        </w:rPr>
        <w:t xml:space="preserve">Development and Psychopathology</w:t>
      </w:r>
      <w:r>
        <w:t xml:space="preserve">, 1–20.</w:t>
      </w:r>
      <w:r>
        <w:t xml:space="preserve"> </w:t>
      </w:r>
      <w:hyperlink r:id="rId183">
        <w:r>
          <w:rPr>
            <w:rStyle w:val="Hyperlink"/>
          </w:rPr>
          <w:t xml:space="preserve">https://doi.org/gr8f8x</w:t>
        </w:r>
      </w:hyperlink>
    </w:p>
    <w:bookmarkEnd w:id="184"/>
    <w:bookmarkStart w:id="186"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85">
        <w:r>
          <w:rPr>
            <w:rStyle w:val="Hyperlink"/>
          </w:rPr>
          <w:t xml:space="preserve">https://doi.org/f8jcxn</w:t>
        </w:r>
      </w:hyperlink>
    </w:p>
    <w:bookmarkEnd w:id="186"/>
    <w:bookmarkStart w:id="188"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87">
        <w:r>
          <w:rPr>
            <w:rStyle w:val="Hyperlink"/>
          </w:rPr>
          <w:t xml:space="preserve">https://doi.org/10.21105/joss.01686</w:t>
        </w:r>
      </w:hyperlink>
    </w:p>
    <w:bookmarkEnd w:id="188"/>
    <w:bookmarkStart w:id="190"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89">
        <w:r>
          <w:rPr>
            <w:rStyle w:val="Hyperlink"/>
          </w:rPr>
          <w:t xml:space="preserve">https://CRAN.R-project.org/package=readxl</w:t>
        </w:r>
      </w:hyperlink>
    </w:p>
    <w:bookmarkEnd w:id="190"/>
    <w:bookmarkStart w:id="192"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91">
        <w:r>
          <w:rPr>
            <w:rStyle w:val="Hyperlink"/>
          </w:rPr>
          <w:t xml:space="preserve">https://CRAN.R-project.org/package=haven</w:t>
        </w:r>
      </w:hyperlink>
    </w:p>
    <w:bookmarkEnd w:id="192"/>
    <w:bookmarkStart w:id="194" w:name="ref-woodcock1990"/>
    <w:p>
      <w:pPr>
        <w:pStyle w:val="Bibliography"/>
      </w:pPr>
      <w:r>
        <w:t xml:space="preserve">Woodcock, R. W. (1990). Theoretical foundations of the</w:t>
      </w:r>
      <w:r>
        <w:t xml:space="preserve"> </w:t>
      </w:r>
      <w:r>
        <w:t xml:space="preserve">Wj-R</w:t>
      </w:r>
      <w:r>
        <w:t xml:space="preserve"> </w:t>
      </w:r>
      <w:r>
        <w:t xml:space="preserve">measures of cognitive ability.</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93">
        <w:r>
          <w:rPr>
            <w:rStyle w:val="Hyperlink"/>
          </w:rPr>
          <w:t xml:space="preserve">https://doi.org/ft7mjn</w:t>
        </w:r>
      </w:hyperlink>
    </w:p>
    <w:bookmarkEnd w:id="194"/>
    <w:bookmarkStart w:id="195"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95"/>
    <w:bookmarkStart w:id="197"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96">
        <w:r>
          <w:rPr>
            <w:rStyle w:val="Hyperlink"/>
          </w:rPr>
          <w:t xml:space="preserve">https://CRAN.R-project.org/package=ggsci</w:t>
        </w:r>
      </w:hyperlink>
    </w:p>
    <w:bookmarkEnd w:id="197"/>
    <w:bookmarkStart w:id="199"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98">
        <w:r>
          <w:rPr>
            <w:rStyle w:val="Hyperlink"/>
          </w:rPr>
          <w:t xml:space="preserve">https://doi.org/10.1111/cdev.13766</w:t>
        </w:r>
      </w:hyperlink>
    </w:p>
    <w:bookmarkEnd w:id="199"/>
    <w:bookmarkStart w:id="20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200">
        <w:r>
          <w:rPr>
            <w:rStyle w:val="Hyperlink"/>
          </w:rPr>
          <w:t xml:space="preserve">https://doi.org/10.1016/j.evolhumbehav.2020.08.006</w:t>
        </w:r>
      </w:hyperlink>
    </w:p>
    <w:bookmarkEnd w:id="201"/>
    <w:bookmarkStart w:id="203"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202">
        <w:r>
          <w:rPr>
            <w:rStyle w:val="Hyperlink"/>
          </w:rPr>
          <w:t xml:space="preserve">https://doi.org/10.1037/pspi0000124</w:t>
        </w:r>
      </w:hyperlink>
    </w:p>
    <w:bookmarkEnd w:id="203"/>
    <w:bookmarkStart w:id="205"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204">
        <w:r>
          <w:rPr>
            <w:rStyle w:val="Hyperlink"/>
          </w:rPr>
          <w:t xml:space="preserve">https://doi.org/gnsdkr</w:t>
        </w:r>
      </w:hyperlink>
    </w:p>
    <w:bookmarkEnd w:id="205"/>
    <w:bookmarkEnd w:id="206"/>
    <w:bookmarkEnd w:id="207"/>
    <w:sectPr w:rsidR="00D84E44" w:rsidRPr="00ED56B2" w:rsidSect="00971177">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CA41" w14:textId="77777777" w:rsidR="00B92FC2" w:rsidRDefault="00B92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3D0B" w14:textId="77777777" w:rsidR="00B92FC2" w:rsidRDefault="00B92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3D50" w14:textId="77777777" w:rsidR="00B92FC2" w:rsidRDefault="00B92FC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8CA378F" w:rsidR="00927188" w:rsidRPr="006275A3" w:rsidRDefault="00105A46" w:rsidP="00FC055A">
    <w:pPr>
      <w:pStyle w:val="Header"/>
      <w:ind w:right="360"/>
    </w:pPr>
    <w:r>
      <w:t xml:space="preserve">ADVERSITY AND RELATIVE </w:t>
    </w:r>
    <w:r>
      <w:t>PERFORM</w:t>
    </w:r>
    <w:r w:rsidR="00B92FC2">
      <w:t>A</w:t>
    </w:r>
    <w:r>
      <w:t>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jpg" /><Relationship Type="http://schemas.openxmlformats.org/officeDocument/2006/relationships/image" Id="rId31" Target="media/rId31.pdf" /><Relationship Type="http://schemas.openxmlformats.org/officeDocument/2006/relationships/image" Id="rId52" Target="media/rId52.pdf" /><Relationship Type="http://schemas.openxmlformats.org/officeDocument/2006/relationships/image" Id="rId57" Target="media/rId57.pdf" /><Relationship Type="http://schemas.openxmlformats.org/officeDocument/2006/relationships/image" Id="rId62" Target="media/rId62.pdf" /><Relationship Type="http://schemas.openxmlformats.org/officeDocument/2006/relationships/hyperlink" Id="rId126" Target="https://CRAN.R-project.org/package=flextable" TargetMode="External" /><Relationship Type="http://schemas.openxmlformats.org/officeDocument/2006/relationships/hyperlink" Id="rId196" Target="https://CRAN.R-project.org/package=ggsci" TargetMode="External" /><Relationship Type="http://schemas.openxmlformats.org/officeDocument/2006/relationships/hyperlink" Id="rId191"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61" Target="https://CRAN.R-project.org/package=patchwork" TargetMode="External" /><Relationship Type="http://schemas.openxmlformats.org/officeDocument/2006/relationships/hyperlink" Id="rId74" Target="https://CRAN.R-project.org/package=quarto" TargetMode="External" /><Relationship Type="http://schemas.openxmlformats.org/officeDocument/2006/relationships/hyperlink" Id="rId189" Target="https://CRAN.R-project.org/package=readxl" TargetMode="External" /><Relationship Type="http://schemas.openxmlformats.org/officeDocument/2006/relationships/hyperlink" Id="rId45" Target="https://anonymous.4open.science/r/seccyd-wj-subtests-BD3E/README.md" TargetMode="External" /><Relationship Type="http://schemas.openxmlformats.org/officeDocument/2006/relationships/hyperlink" Id="rId46" Target="https://anonymous.4open.science/r/seccyd-wj-subtests-BD3E/data/README.md" TargetMode="External" /><Relationship Type="http://schemas.openxmlformats.org/officeDocument/2006/relationships/hyperlink" Id="rId42" Target="https://anonymous.4open.science/r/seccyd-wj-subtests-BD3E/preregistration/README.md" TargetMode="External" /><Relationship Type="http://schemas.openxmlformats.org/officeDocument/2006/relationships/hyperlink" Id="rId43" Target="https://anonymous.4open.science/r/seccyd-wj-subtests-BD3E/preregistration/power-analysis/README.md" TargetMode="External" /><Relationship Type="http://schemas.openxmlformats.org/officeDocument/2006/relationships/hyperlink" Id="rId56" Target="https://anonymous.4open.science/r/seccyd-wj-subtests-BD3E/preregistration/update-1/README.md" TargetMode="External" /><Relationship Type="http://schemas.openxmlformats.org/officeDocument/2006/relationships/hyperlink" Id="rId36" Target="https://anonymous.4open.science/r/seccyd-wj-subtests-BD3E/scripts/1-compile-ivs-census.R" TargetMode="External" /><Relationship Type="http://schemas.openxmlformats.org/officeDocument/2006/relationships/hyperlink" Id="rId30" Target="https://anonymous.4open.science/r/seccyd-wj-subtests-BD3E/scripts/2-aggregate-dvs.R" TargetMode="External" /><Relationship Type="http://schemas.openxmlformats.org/officeDocument/2006/relationships/hyperlink" Id="rId35" Target="https://anonymous.4open.science/r/seccyd-wj-subtests-BD3E/scripts/2-merge-aggregate-ivs.R" TargetMode="External" /><Relationship Type="http://schemas.openxmlformats.org/officeDocument/2006/relationships/hyperlink" Id="rId51" Target="https://anonymous.4open.science/r/seccyd-wj-subtests-BD3E/scripts/3-primary-analysis.R" TargetMode="External" /><Relationship Type="http://schemas.openxmlformats.org/officeDocument/2006/relationships/hyperlink" Id="rId44" Target="https://anonymous.4open.science/r/seccyd-wj-subtests-BD3E/scripts/prereg-power-simulation.R" TargetMode="External" /><Relationship Type="http://schemas.openxmlformats.org/officeDocument/2006/relationships/hyperlink" Id="rId150" Target="https://doi.org/10.1016/j.cortex.2017.07.014" TargetMode="External" /><Relationship Type="http://schemas.openxmlformats.org/officeDocument/2006/relationships/hyperlink" Id="rId200" Target="https://doi.org/10.1016/j.evolhumbehav.2020.08.006" TargetMode="External" /><Relationship Type="http://schemas.openxmlformats.org/officeDocument/2006/relationships/hyperlink" Id="rId120" Target="https://doi.org/10.1016/j.tics.2020.03.007" TargetMode="External" /><Relationship Type="http://schemas.openxmlformats.org/officeDocument/2006/relationships/hyperlink" Id="rId98" Target="https://doi.org/10.1017/S0954579420000887" TargetMode="External" /><Relationship Type="http://schemas.openxmlformats.org/officeDocument/2006/relationships/hyperlink" Id="rId92" Target="https://doi.org/10.1017/s0954579421001887" TargetMode="External" /><Relationship Type="http://schemas.openxmlformats.org/officeDocument/2006/relationships/hyperlink" Id="rId122" Target="https://doi.org/10.1037/a0039274" TargetMode="External" /><Relationship Type="http://schemas.openxmlformats.org/officeDocument/2006/relationships/hyperlink" Id="rId154" Target="https://doi.org/10.1037/pspi0000028" TargetMode="External" /><Relationship Type="http://schemas.openxmlformats.org/officeDocument/2006/relationships/hyperlink" Id="rId202" Target="https://doi.org/10.1037/pspi0000124" TargetMode="External" /><Relationship Type="http://schemas.openxmlformats.org/officeDocument/2006/relationships/hyperlink" Id="rId169" Target="https://doi.org/10.1111/cdev.13538" TargetMode="External" /><Relationship Type="http://schemas.openxmlformats.org/officeDocument/2006/relationships/hyperlink" Id="rId198" Target="https://doi.org/10.1111/cdev.13766" TargetMode="External" /><Relationship Type="http://schemas.openxmlformats.org/officeDocument/2006/relationships/hyperlink" Id="rId124" Target="https://doi.org/10.1111/j.1750-8606.2011.00225.x" TargetMode="External" /><Relationship Type="http://schemas.openxmlformats.org/officeDocument/2006/relationships/hyperlink" Id="rId138" Target="https://doi.org/10.1177/2515245918770963" TargetMode="External" /><Relationship Type="http://schemas.openxmlformats.org/officeDocument/2006/relationships/hyperlink" Id="rId72" Target="https://doi.org/10.15626/MP.2020.2625" TargetMode="External" /><Relationship Type="http://schemas.openxmlformats.org/officeDocument/2006/relationships/hyperlink" Id="rId144" Target="https://doi.org/10.21105/joss.00772" TargetMode="External" /><Relationship Type="http://schemas.openxmlformats.org/officeDocument/2006/relationships/hyperlink" Id="rId187" Target="https://doi.org/10.21105/joss.01686" TargetMode="External" /><Relationship Type="http://schemas.openxmlformats.org/officeDocument/2006/relationships/hyperlink" Id="rId148" Target="https://doi.org/10.21105/joss.02445" TargetMode="External" /><Relationship Type="http://schemas.openxmlformats.org/officeDocument/2006/relationships/hyperlink" Id="rId156" Target="https://doi.org/10.26481/dis.20191115mm" TargetMode="External" /><Relationship Type="http://schemas.openxmlformats.org/officeDocument/2006/relationships/hyperlink" Id="rId146" Target="https://doi.org/10.5281/zenodo.1249215" TargetMode="External" /><Relationship Type="http://schemas.openxmlformats.org/officeDocument/2006/relationships/hyperlink" Id="rId88" Target="https://doi.org/10.5281/zenodo.2669586" TargetMode="External" /><Relationship Type="http://schemas.openxmlformats.org/officeDocument/2006/relationships/hyperlink" Id="rId132" Target="https://doi.org/10.5281/zenodo.3879620" TargetMode="External" /><Relationship Type="http://schemas.openxmlformats.org/officeDocument/2006/relationships/hyperlink" Id="rId128" Target="https://doi.org/b254c6" TargetMode="External" /><Relationship Type="http://schemas.openxmlformats.org/officeDocument/2006/relationships/hyperlink" Id="rId102" Target="https://doi.org/b35prn" TargetMode="External" /><Relationship Type="http://schemas.openxmlformats.org/officeDocument/2006/relationships/hyperlink" Id="rId86" Target="https://doi.org/b68cdk" TargetMode="External" /><Relationship Type="http://schemas.openxmlformats.org/officeDocument/2006/relationships/hyperlink" Id="rId81" Target="https://doi.org/b7r3m4" TargetMode="External" /><Relationship Type="http://schemas.openxmlformats.org/officeDocument/2006/relationships/hyperlink" Id="rId171" Target="https://doi.org/bhqn85" TargetMode="External" /><Relationship Type="http://schemas.openxmlformats.org/officeDocument/2006/relationships/hyperlink" Id="rId134" Target="https://doi.org/dsds7m" TargetMode="External" /><Relationship Type="http://schemas.openxmlformats.org/officeDocument/2006/relationships/hyperlink" Id="rId175" Target="https://doi.org/f3xfqp" TargetMode="External" /><Relationship Type="http://schemas.openxmlformats.org/officeDocument/2006/relationships/hyperlink" Id="rId110" Target="https://doi.org/f4mnf8" TargetMode="External" /><Relationship Type="http://schemas.openxmlformats.org/officeDocument/2006/relationships/hyperlink" Id="rId114" Target="https://doi.org/f5cxhb" TargetMode="External" /><Relationship Type="http://schemas.openxmlformats.org/officeDocument/2006/relationships/hyperlink" Id="rId179" Target="https://doi.org/f74hdp" TargetMode="External" /><Relationship Type="http://schemas.openxmlformats.org/officeDocument/2006/relationships/hyperlink" Id="rId185" Target="https://doi.org/f8jcxn" TargetMode="External" /><Relationship Type="http://schemas.openxmlformats.org/officeDocument/2006/relationships/hyperlink" Id="rId177" Target="https://doi.org/f8n843" TargetMode="External" /><Relationship Type="http://schemas.openxmlformats.org/officeDocument/2006/relationships/hyperlink" Id="rId140" Target="https://doi.org/f97kk7" TargetMode="External" /><Relationship Type="http://schemas.openxmlformats.org/officeDocument/2006/relationships/hyperlink" Id="rId193" Target="https://doi.org/ft7mjn" TargetMode="External" /><Relationship Type="http://schemas.openxmlformats.org/officeDocument/2006/relationships/hyperlink" Id="rId104"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889f" TargetMode="External" /><Relationship Type="http://schemas.openxmlformats.org/officeDocument/2006/relationships/hyperlink" Id="rId100" Target="https://doi.org/gdtj9h" TargetMode="External" /><Relationship Type="http://schemas.openxmlformats.org/officeDocument/2006/relationships/hyperlink" Id="rId142" Target="https://doi.org/gfmd6w" TargetMode="External" /><Relationship Type="http://schemas.openxmlformats.org/officeDocument/2006/relationships/hyperlink" Id="rId136" Target="https://doi.org/gfvh58" TargetMode="External" /><Relationship Type="http://schemas.openxmlformats.org/officeDocument/2006/relationships/hyperlink" Id="rId112" Target="https://doi.org/ggb8qd" TargetMode="External" /><Relationship Type="http://schemas.openxmlformats.org/officeDocument/2006/relationships/hyperlink" Id="rId116" Target="https://doi.org/ggf5d6" TargetMode="External" /><Relationship Type="http://schemas.openxmlformats.org/officeDocument/2006/relationships/hyperlink" Id="rId173" Target="https://doi.org/ghp4k7" TargetMode="External" /><Relationship Type="http://schemas.openxmlformats.org/officeDocument/2006/relationships/hyperlink" Id="rId152" Target="https://doi.org/gj59n7" TargetMode="External" /><Relationship Type="http://schemas.openxmlformats.org/officeDocument/2006/relationships/hyperlink" Id="rId106" Target="https://doi.org/gj7gh7" TargetMode="External" /><Relationship Type="http://schemas.openxmlformats.org/officeDocument/2006/relationships/hyperlink" Id="rId165" Target="https://doi.org/gjh5cc" TargetMode="External" /><Relationship Type="http://schemas.openxmlformats.org/officeDocument/2006/relationships/hyperlink" Id="rId118" Target="https://doi.org/gjqwb2" TargetMode="External" /><Relationship Type="http://schemas.openxmlformats.org/officeDocument/2006/relationships/hyperlink" Id="rId90" Target="https://doi.org/gjqwq6" TargetMode="External" /><Relationship Type="http://schemas.openxmlformats.org/officeDocument/2006/relationships/hyperlink" Id="rId181" Target="https://doi.org/gjqwrm" TargetMode="External" /><Relationship Type="http://schemas.openxmlformats.org/officeDocument/2006/relationships/hyperlink" Id="rId130" Target="https://doi.org/gjqzzj" TargetMode="External" /><Relationship Type="http://schemas.openxmlformats.org/officeDocument/2006/relationships/hyperlink" Id="rId83" Target="https://doi.org/gk5dzv" TargetMode="External" /><Relationship Type="http://schemas.openxmlformats.org/officeDocument/2006/relationships/hyperlink" Id="rId108" Target="https://doi.org/gnbxdn" TargetMode="External" /><Relationship Type="http://schemas.openxmlformats.org/officeDocument/2006/relationships/hyperlink" Id="rId204" Target="https://doi.org/gnsdkr" TargetMode="External" /><Relationship Type="http://schemas.openxmlformats.org/officeDocument/2006/relationships/hyperlink" Id="rId96" Target="https://doi.org/gp5b3p" TargetMode="External" /><Relationship Type="http://schemas.openxmlformats.org/officeDocument/2006/relationships/hyperlink" Id="rId159" Target="https://doi.org/gphn59" TargetMode="External" /><Relationship Type="http://schemas.openxmlformats.org/officeDocument/2006/relationships/hyperlink" Id="rId167" Target="https://doi.org/gphn6c" TargetMode="External" /><Relationship Type="http://schemas.openxmlformats.org/officeDocument/2006/relationships/hyperlink" Id="rId183" Target="https://doi.org/gr8f8x" TargetMode="External" /><Relationship Type="http://schemas.openxmlformats.org/officeDocument/2006/relationships/hyperlink" Id="rId28" Target="https://www.icpsr.umich.edu/web/ICPSR/series/00233" TargetMode="External" /><Relationship Type="http://schemas.openxmlformats.org/officeDocument/2006/relationships/hyperlink" Id="rId48" Target="https://www.icpsr.umich.edu/web/ICPSR/studies/21940" TargetMode="External" /><Relationship Type="http://schemas.openxmlformats.org/officeDocument/2006/relationships/hyperlink" Id="rId47" Target="https://www.icpsr.umich.edu/web/pages/" TargetMode="External" /></Relationships>
</file>

<file path=word/_rels/footnotes.xml.rels><?xml version="1.0" encoding="UTF-8"?><Relationships xmlns="http://schemas.openxmlformats.org/package/2006/relationships"><Relationship Type="http://schemas.openxmlformats.org/officeDocument/2006/relationships/hyperlink" Id="rId126" Target="https://CRAN.R-project.org/package=flextable" TargetMode="External" /><Relationship Type="http://schemas.openxmlformats.org/officeDocument/2006/relationships/hyperlink" Id="rId196" Target="https://CRAN.R-project.org/package=ggsci" TargetMode="External" /><Relationship Type="http://schemas.openxmlformats.org/officeDocument/2006/relationships/hyperlink" Id="rId191" Target="https://CRAN.R-project.org/package=haven" TargetMode="External" /><Relationship Type="http://schemas.openxmlformats.org/officeDocument/2006/relationships/hyperlink" Id="rId77" Target="https://CRAN.R-project.org/package=marginaleffects" TargetMode="External" /><Relationship Type="http://schemas.openxmlformats.org/officeDocument/2006/relationships/hyperlink" Id="rId161" Target="https://CRAN.R-project.org/package=patchwork" TargetMode="External" /><Relationship Type="http://schemas.openxmlformats.org/officeDocument/2006/relationships/hyperlink" Id="rId74" Target="https://CRAN.R-project.org/package=quarto" TargetMode="External" /><Relationship Type="http://schemas.openxmlformats.org/officeDocument/2006/relationships/hyperlink" Id="rId189" Target="https://CRAN.R-project.org/package=readxl" TargetMode="External" /><Relationship Type="http://schemas.openxmlformats.org/officeDocument/2006/relationships/hyperlink" Id="rId45" Target="https://anonymous.4open.science/r/seccyd-wj-subtests-BD3E/README.md" TargetMode="External" /><Relationship Type="http://schemas.openxmlformats.org/officeDocument/2006/relationships/hyperlink" Id="rId46" Target="https://anonymous.4open.science/r/seccyd-wj-subtests-BD3E/data/README.md" TargetMode="External" /><Relationship Type="http://schemas.openxmlformats.org/officeDocument/2006/relationships/hyperlink" Id="rId42" Target="https://anonymous.4open.science/r/seccyd-wj-subtests-BD3E/preregistration/README.md" TargetMode="External" /><Relationship Type="http://schemas.openxmlformats.org/officeDocument/2006/relationships/hyperlink" Id="rId43" Target="https://anonymous.4open.science/r/seccyd-wj-subtests-BD3E/preregistration/power-analysis/README.md" TargetMode="External" /><Relationship Type="http://schemas.openxmlformats.org/officeDocument/2006/relationships/hyperlink" Id="rId56" Target="https://anonymous.4open.science/r/seccyd-wj-subtests-BD3E/preregistration/update-1/README.md" TargetMode="External" /><Relationship Type="http://schemas.openxmlformats.org/officeDocument/2006/relationships/hyperlink" Id="rId36" Target="https://anonymous.4open.science/r/seccyd-wj-subtests-BD3E/scripts/1-compile-ivs-census.R" TargetMode="External" /><Relationship Type="http://schemas.openxmlformats.org/officeDocument/2006/relationships/hyperlink" Id="rId30" Target="https://anonymous.4open.science/r/seccyd-wj-subtests-BD3E/scripts/2-aggregate-dvs.R" TargetMode="External" /><Relationship Type="http://schemas.openxmlformats.org/officeDocument/2006/relationships/hyperlink" Id="rId35" Target="https://anonymous.4open.science/r/seccyd-wj-subtests-BD3E/scripts/2-merge-aggregate-ivs.R" TargetMode="External" /><Relationship Type="http://schemas.openxmlformats.org/officeDocument/2006/relationships/hyperlink" Id="rId51" Target="https://anonymous.4open.science/r/seccyd-wj-subtests-BD3E/scripts/3-primary-analysis.R" TargetMode="External" /><Relationship Type="http://schemas.openxmlformats.org/officeDocument/2006/relationships/hyperlink" Id="rId44" Target="https://anonymous.4open.science/r/seccyd-wj-subtests-BD3E/scripts/prereg-power-simulation.R" TargetMode="External" /><Relationship Type="http://schemas.openxmlformats.org/officeDocument/2006/relationships/hyperlink" Id="rId150" Target="https://doi.org/10.1016/j.cortex.2017.07.014" TargetMode="External" /><Relationship Type="http://schemas.openxmlformats.org/officeDocument/2006/relationships/hyperlink" Id="rId200" Target="https://doi.org/10.1016/j.evolhumbehav.2020.08.006" TargetMode="External" /><Relationship Type="http://schemas.openxmlformats.org/officeDocument/2006/relationships/hyperlink" Id="rId120" Target="https://doi.org/10.1016/j.tics.2020.03.007" TargetMode="External" /><Relationship Type="http://schemas.openxmlformats.org/officeDocument/2006/relationships/hyperlink" Id="rId98" Target="https://doi.org/10.1017/S0954579420000887" TargetMode="External" /><Relationship Type="http://schemas.openxmlformats.org/officeDocument/2006/relationships/hyperlink" Id="rId92" Target="https://doi.org/10.1017/s0954579421001887" TargetMode="External" /><Relationship Type="http://schemas.openxmlformats.org/officeDocument/2006/relationships/hyperlink" Id="rId122" Target="https://doi.org/10.1037/a0039274" TargetMode="External" /><Relationship Type="http://schemas.openxmlformats.org/officeDocument/2006/relationships/hyperlink" Id="rId154" Target="https://doi.org/10.1037/pspi0000028" TargetMode="External" /><Relationship Type="http://schemas.openxmlformats.org/officeDocument/2006/relationships/hyperlink" Id="rId202" Target="https://doi.org/10.1037/pspi0000124" TargetMode="External" /><Relationship Type="http://schemas.openxmlformats.org/officeDocument/2006/relationships/hyperlink" Id="rId169" Target="https://doi.org/10.1111/cdev.13538" TargetMode="External" /><Relationship Type="http://schemas.openxmlformats.org/officeDocument/2006/relationships/hyperlink" Id="rId198" Target="https://doi.org/10.1111/cdev.13766" TargetMode="External" /><Relationship Type="http://schemas.openxmlformats.org/officeDocument/2006/relationships/hyperlink" Id="rId124" Target="https://doi.org/10.1111/j.1750-8606.2011.00225.x" TargetMode="External" /><Relationship Type="http://schemas.openxmlformats.org/officeDocument/2006/relationships/hyperlink" Id="rId138" Target="https://doi.org/10.1177/2515245918770963" TargetMode="External" /><Relationship Type="http://schemas.openxmlformats.org/officeDocument/2006/relationships/hyperlink" Id="rId72" Target="https://doi.org/10.15626/MP.2020.2625" TargetMode="External" /><Relationship Type="http://schemas.openxmlformats.org/officeDocument/2006/relationships/hyperlink" Id="rId144" Target="https://doi.org/10.21105/joss.00772" TargetMode="External" /><Relationship Type="http://schemas.openxmlformats.org/officeDocument/2006/relationships/hyperlink" Id="rId187" Target="https://doi.org/10.21105/joss.01686" TargetMode="External" /><Relationship Type="http://schemas.openxmlformats.org/officeDocument/2006/relationships/hyperlink" Id="rId148" Target="https://doi.org/10.21105/joss.02445" TargetMode="External" /><Relationship Type="http://schemas.openxmlformats.org/officeDocument/2006/relationships/hyperlink" Id="rId156" Target="https://doi.org/10.26481/dis.20191115mm" TargetMode="External" /><Relationship Type="http://schemas.openxmlformats.org/officeDocument/2006/relationships/hyperlink" Id="rId146" Target="https://doi.org/10.5281/zenodo.1249215" TargetMode="External" /><Relationship Type="http://schemas.openxmlformats.org/officeDocument/2006/relationships/hyperlink" Id="rId88" Target="https://doi.org/10.5281/zenodo.2669586" TargetMode="External" /><Relationship Type="http://schemas.openxmlformats.org/officeDocument/2006/relationships/hyperlink" Id="rId132" Target="https://doi.org/10.5281/zenodo.3879620" TargetMode="External" /><Relationship Type="http://schemas.openxmlformats.org/officeDocument/2006/relationships/hyperlink" Id="rId128" Target="https://doi.org/b254c6" TargetMode="External" /><Relationship Type="http://schemas.openxmlformats.org/officeDocument/2006/relationships/hyperlink" Id="rId102" Target="https://doi.org/b35prn" TargetMode="External" /><Relationship Type="http://schemas.openxmlformats.org/officeDocument/2006/relationships/hyperlink" Id="rId86" Target="https://doi.org/b68cdk" TargetMode="External" /><Relationship Type="http://schemas.openxmlformats.org/officeDocument/2006/relationships/hyperlink" Id="rId81" Target="https://doi.org/b7r3m4" TargetMode="External" /><Relationship Type="http://schemas.openxmlformats.org/officeDocument/2006/relationships/hyperlink" Id="rId171" Target="https://doi.org/bhqn85" TargetMode="External" /><Relationship Type="http://schemas.openxmlformats.org/officeDocument/2006/relationships/hyperlink" Id="rId134" Target="https://doi.org/dsds7m" TargetMode="External" /><Relationship Type="http://schemas.openxmlformats.org/officeDocument/2006/relationships/hyperlink" Id="rId175" Target="https://doi.org/f3xfqp" TargetMode="External" /><Relationship Type="http://schemas.openxmlformats.org/officeDocument/2006/relationships/hyperlink" Id="rId110" Target="https://doi.org/f4mnf8" TargetMode="External" /><Relationship Type="http://schemas.openxmlformats.org/officeDocument/2006/relationships/hyperlink" Id="rId114" Target="https://doi.org/f5cxhb" TargetMode="External" /><Relationship Type="http://schemas.openxmlformats.org/officeDocument/2006/relationships/hyperlink" Id="rId179" Target="https://doi.org/f74hdp" TargetMode="External" /><Relationship Type="http://schemas.openxmlformats.org/officeDocument/2006/relationships/hyperlink" Id="rId185" Target="https://doi.org/f8jcxn" TargetMode="External" /><Relationship Type="http://schemas.openxmlformats.org/officeDocument/2006/relationships/hyperlink" Id="rId177" Target="https://doi.org/f8n843" TargetMode="External" /><Relationship Type="http://schemas.openxmlformats.org/officeDocument/2006/relationships/hyperlink" Id="rId140" Target="https://doi.org/f97kk7" TargetMode="External" /><Relationship Type="http://schemas.openxmlformats.org/officeDocument/2006/relationships/hyperlink" Id="rId193" Target="https://doi.org/ft7mjn" TargetMode="External" /><Relationship Type="http://schemas.openxmlformats.org/officeDocument/2006/relationships/hyperlink" Id="rId104" Target="https://doi.org/fv2dn8" TargetMode="External" /><Relationship Type="http://schemas.openxmlformats.org/officeDocument/2006/relationships/hyperlink" Id="rId79" Target="https://doi.org/gcrnkw" TargetMode="External" /><Relationship Type="http://schemas.openxmlformats.org/officeDocument/2006/relationships/hyperlink" Id="rId94" Target="https://doi.org/gd889f" TargetMode="External" /><Relationship Type="http://schemas.openxmlformats.org/officeDocument/2006/relationships/hyperlink" Id="rId100" Target="https://doi.org/gdtj9h" TargetMode="External" /><Relationship Type="http://schemas.openxmlformats.org/officeDocument/2006/relationships/hyperlink" Id="rId142" Target="https://doi.org/gfmd6w" TargetMode="External" /><Relationship Type="http://schemas.openxmlformats.org/officeDocument/2006/relationships/hyperlink" Id="rId136" Target="https://doi.org/gfvh58" TargetMode="External" /><Relationship Type="http://schemas.openxmlformats.org/officeDocument/2006/relationships/hyperlink" Id="rId112" Target="https://doi.org/ggb8qd" TargetMode="External" /><Relationship Type="http://schemas.openxmlformats.org/officeDocument/2006/relationships/hyperlink" Id="rId116" Target="https://doi.org/ggf5d6" TargetMode="External" /><Relationship Type="http://schemas.openxmlformats.org/officeDocument/2006/relationships/hyperlink" Id="rId173" Target="https://doi.org/ghp4k7" TargetMode="External" /><Relationship Type="http://schemas.openxmlformats.org/officeDocument/2006/relationships/hyperlink" Id="rId152" Target="https://doi.org/gj59n7" TargetMode="External" /><Relationship Type="http://schemas.openxmlformats.org/officeDocument/2006/relationships/hyperlink" Id="rId106" Target="https://doi.org/gj7gh7" TargetMode="External" /><Relationship Type="http://schemas.openxmlformats.org/officeDocument/2006/relationships/hyperlink" Id="rId165" Target="https://doi.org/gjh5cc" TargetMode="External" /><Relationship Type="http://schemas.openxmlformats.org/officeDocument/2006/relationships/hyperlink" Id="rId118" Target="https://doi.org/gjqwb2" TargetMode="External" /><Relationship Type="http://schemas.openxmlformats.org/officeDocument/2006/relationships/hyperlink" Id="rId90" Target="https://doi.org/gjqwq6" TargetMode="External" /><Relationship Type="http://schemas.openxmlformats.org/officeDocument/2006/relationships/hyperlink" Id="rId181" Target="https://doi.org/gjqwrm" TargetMode="External" /><Relationship Type="http://schemas.openxmlformats.org/officeDocument/2006/relationships/hyperlink" Id="rId130" Target="https://doi.org/gjqzzj" TargetMode="External" /><Relationship Type="http://schemas.openxmlformats.org/officeDocument/2006/relationships/hyperlink" Id="rId83" Target="https://doi.org/gk5dzv" TargetMode="External" /><Relationship Type="http://schemas.openxmlformats.org/officeDocument/2006/relationships/hyperlink" Id="rId108" Target="https://doi.org/gnbxdn" TargetMode="External" /><Relationship Type="http://schemas.openxmlformats.org/officeDocument/2006/relationships/hyperlink" Id="rId204" Target="https://doi.org/gnsdkr" TargetMode="External" /><Relationship Type="http://schemas.openxmlformats.org/officeDocument/2006/relationships/hyperlink" Id="rId96" Target="https://doi.org/gp5b3p" TargetMode="External" /><Relationship Type="http://schemas.openxmlformats.org/officeDocument/2006/relationships/hyperlink" Id="rId159" Target="https://doi.org/gphn59" TargetMode="External" /><Relationship Type="http://schemas.openxmlformats.org/officeDocument/2006/relationships/hyperlink" Id="rId167" Target="https://doi.org/gphn6c" TargetMode="External" /><Relationship Type="http://schemas.openxmlformats.org/officeDocument/2006/relationships/hyperlink" Id="rId183" Target="https://doi.org/gr8f8x" TargetMode="External" /><Relationship Type="http://schemas.openxmlformats.org/officeDocument/2006/relationships/hyperlink" Id="rId28" Target="https://www.icpsr.umich.edu/web/ICPSR/series/00233" TargetMode="External" /><Relationship Type="http://schemas.openxmlformats.org/officeDocument/2006/relationships/hyperlink" Id="rId48" Target="https://www.icpsr.umich.edu/web/ICPSR/studies/21940" TargetMode="External" /><Relationship Type="http://schemas.openxmlformats.org/officeDocument/2006/relationships/hyperlink" Id="rId47" Target="https://www.icpsr.umich.edu/web/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2023-05-23T09:01:38Z</dcterms:created>
  <dcterms:modified xsi:type="dcterms:W3CDTF">2023-05-23T09:01:38Z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adaptation-based approaches have uncovered a few specific abilities enhanced by exposure to particular forms of adversity. Yet, in order for a field to grow, we must not dig too deep, too soon. In this paper, we complement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test them,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NICHD Study of Early Child Care and Youth Development (SECCYD) to investigate whether and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propose that principled exploration with clear criteria can help break new theoretical and empirical ground, re-map old territory, and advance theory development. Our approach, therefore,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nocite">
    <vt:lpwstr>@2005</vt:lpwstr>
  </property>
  <property fmtid="{D5CDD505-2E9C-101B-9397-08002B2CF9AE}" pid="14" name="toc-title">
    <vt:lpwstr>Table of contents</vt:lpwstr>
  </property>
</Properties>
</file>