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Override PartName="/word/media/rId6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w:t>
      </w:r>
      <w:r>
        <w:t xml:space="preserve"> </w:t>
      </w:r>
      <w:r>
        <w:t xml:space="preserve">‘</w:t>
      </w:r>
      <w:r>
        <w:t xml:space="preserve">intact</w:t>
      </w:r>
      <w:r>
        <w:t xml:space="preserve">’</w:t>
      </w:r>
      <w:r>
        <w:t xml:space="preserve"> </w:t>
      </w:r>
      <w:r>
        <w:t xml:space="preserve">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w:t>
      </w:r>
    </w:p>
    <w:p>
      <w:r>
        <w:br w:type="page"/>
      </w:r>
    </w:p>
    <w:bookmarkEnd w:id="20"/>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 development reduces cognitive performance, a claim founded on decades of empirical findings</w:t>
      </w:r>
      <w:r>
        <w:t xml:space="preserve"> </w:t>
      </w:r>
      <w:r>
        <w:t xml:space="preserve">(Duncan et al., 2017; Farah et al., 2006; Hackman et al., 2010; McLaughlin et al., 2019; Raby et al., 2015)</w:t>
      </w:r>
      <w:r>
        <w:t xml:space="preserve">. In recent years, however, adaptation-based frameworks, rooted in the idea that adversity might enhance certain abilities, have complemented this work—and it is gaining traction</w:t>
      </w:r>
      <w:r>
        <w:t xml:space="preserve"> </w:t>
      </w:r>
      <w:r>
        <w:t xml:space="preserve">(Ellis et al., 2017; Ellis et al., 2020; Frankenhuis, Young, et al., 2020; Frankenhuis &amp; de Weerth, 2013; Frankenhuis &amp; Nettle, 2020)</w:t>
      </w:r>
      <w:r>
        <w:t xml:space="preserve">. Since its inception, the goal of adaptation-based frameworks has been to inspire a more well-rounded view of adversity and its influence on abilities—one that incorporates both the struggles and strengths of people from disadvantaged backgrounds</w:t>
      </w:r>
      <w:r>
        <w:t xml:space="preserve"> </w:t>
      </w:r>
      <w:r>
        <w:t xml:space="preserve">(Frankenhuis &amp; de Weerth, 2013)</w:t>
      </w:r>
      <w:r>
        <w:t xml:space="preserve">.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To uncover this map, researchers have used confirmatory study designs, which has gleaned useful insights. Yet, to cultivate growth in an emerging research program—where there is little known and much to learn—we must not dig too deep, too fast. Without complimentary approaches, exclusive use 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 principled exploration. To guide our exploration, we leverage on two basic insights from adaptation-based research: 1) enhanced performance manifests within individuals and 2) reduced and enhanced performance can co-occur. The first insignt implies we need designs and models that can tease apart both within- and between-person peformance differences. The second suggests that, to map out more of the advristy-ability landscape, we must examine many more abilities measured within the same person. Doing so will allow us to capture performance profiles that comprise three conceptual data patterns: reduced, intact, and enhanced performance. Past research has focused on reduced and enhanced performance on tests of single abilities. However, we know little about intact abilities, or cases where performance is unrelated to adversity exposure. Thus, our goal is to document adversity-shaped cognitive profiles that include reduced,</w:t>
      </w:r>
      <w:r>
        <w:t xml:space="preserve"> </w:t>
      </w:r>
      <w:r>
        <w:t xml:space="preserve">‘</w:t>
      </w:r>
      <w:r>
        <w:t xml:space="preserve">intact</w:t>
      </w:r>
      <w:r>
        <w:t xml:space="preserve">’</w:t>
      </w:r>
      <w:r>
        <w:t xml:space="preserve"> </w:t>
      </w:r>
      <w:r>
        <w:t xml:space="preserve">abilities, 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several essential features. First, it assumes development shapes the individual, and their abilities, to fit the local environment</w:t>
      </w:r>
      <w:r>
        <w:t xml:space="preserve"> </w:t>
      </w:r>
      <w:r>
        <w:t xml:space="preserve">(Frankenhuis, Young, et al., 2020)</w:t>
      </w:r>
      <w:r>
        <w:t xml:space="preserve">. Second, because environments differ in the challenges they pose (resource-scarcity versus violence exposure), development shapes abilities according to specific challenges. Thus, one’s abilities are thought to match the challenges of one’s lived experience. These features are useful guideposts for confirmatory hypothesis generation. Using them as building blocks, it is easy to construct an intuitive bridge between an ability and an environmental challenge. For example, a researcher might identify a specific challenge posed by a dimension of adversity (e.g., threats to safety in high-crime neighborhoods) and an ability needed to meet the challenge (e.g., enhanced threat detection).</w:t>
      </w:r>
    </w:p>
    <w:p>
      <w:pPr>
        <w:pStyle w:val="BodyText"/>
      </w:pPr>
      <w:r>
        <w:t xml:space="preserve">This approach is appealing because it forces researchers to be specific and logically tie together challenges and abilities. It has also been successful in discovering a handful of interesting adversity-enhanced abilities, especially in harsh and unpredictable environments. For example, past work has proposed that constantly changing environments (i.e., unpredictable environments) might shape the ability to track and respond to changing information. Using this logic, research build an intuitive bridge between changing environments and two abilities–attention-shifting and working memory updating—and some empirical data are consistent with this logic</w:t>
      </w:r>
      <w:r>
        <w:t xml:space="preserve"> </w:t>
      </w:r>
      <w:r>
        <w:t xml:space="preserve">(Fields et al., 2021; Mittal et al., 2015; Nweze et al., 2021; Young et al., 2018)</w:t>
      </w:r>
      <w:r>
        <w:t xml:space="preserve">. However, there are two limitations to this approach. First, previous studies are difficult to compare because they use different measures and designs. Second, the logic behind confirmatory hypotheses is easily flipped. For example, exposure to unpredictable environments is thought to reduce inhibition, or the ability to resist distractions. If threats and opportunities arise, it is important to quickly respond, rather than ignore them to focus on a long-term goal. But we can assert the exact opposite. For example, inhibition might be enhanced by unpredictable environments because it helps to focus on what is important when there are constant distractions.</w:t>
      </w:r>
    </w:p>
    <w:p>
      <w:pPr>
        <w:pStyle w:val="BodyText"/>
      </w:pPr>
      <w:r>
        <w:t xml:space="preserve">Adaptation-based research has also focused on testing content, or the notion that performance should improve when the testing content matches the lived experience of people exposed to adversity. For example, studies have examined relational memory, attention shifting, and working memory task performance using more ecologically relevant testing content (e.g., social dominance, real-world, and socioemotional stimuli) compared to neutral or abstract content. In some cases, ecologically relevant content appeared to equalize performance for people exposed to adversity, but this depends on the specific adversity measure and task</w:t>
      </w:r>
      <w:r>
        <w:t xml:space="preserve"> </w:t>
      </w:r>
      <w:r>
        <w:t xml:space="preserve">(Frankenhuis, de Vries, et al., 2020; Rifkin-Graboi et al., 2021; Young et al., 2022)</w:t>
      </w:r>
      <w:r>
        <w:t xml:space="preserve">. Yet, in other studies, conditions thought to be well-matched to the lived experience of those exposed to adversity actually lower performance. For example, youth from poverty tended to score lower on math items about social relations, money, and food—items thought to be 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 two general insights. First, although it is possible for adversity to enhance performance between individuals (e.g., low versus high adversity exposure), empirical findings suggest effects mostly occur within individuals</w:t>
      </w:r>
      <w:r>
        <w:t xml:space="preserve"> </w:t>
      </w:r>
      <w:r>
        <w:t xml:space="preserve">(Fields et al., 2021; Frankenhuis, de Vries, et al., 2020; Young et al., 2022)</w:t>
      </w:r>
      <w:r>
        <w:t xml:space="preserve">. Second, enhanced performance appears to be highly context specific—enhancements depend on testing content, context, and ability type</w:t>
      </w:r>
      <w:r>
        <w:t xml:space="preserve"> </w:t>
      </w:r>
      <w:r>
        <w:t xml:space="preserve">(Fields et al., 2021; Frankenhuis, de Vries, et al., 2020; Mittal et al., 2015; Nweze et al., 2021; Young et al., 2018; Young et al., 2022)</w:t>
      </w:r>
      <w:r>
        <w:t xml:space="preserve">. Yet, adaptation-based studies have looked for abilities in an isolated and piecemeal fashion, in part, because confirmatory designs tend to narrow a study’s scope. This means we know little about enhanced 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 guideposts, but one should use shovels, not scalpels, when breaking new ground. Emerging research programs have yet to lay basic groundwork for testing theories, such as auxiliary assumptions or boundary conditions</w:t>
      </w:r>
      <w:r>
        <w:t xml:space="preserve"> </w:t>
      </w:r>
      <w:r>
        <w:t xml:space="preserve">(Scheel et al., 2021)</w:t>
      </w:r>
      <w:r>
        <w:t xml:space="preserve">. Our aim is to complement adaptation-based, confirmatory research with principled exploration</w:t>
      </w:r>
      <w:r>
        <w:t xml:space="preserve"> </w:t>
      </w:r>
      <w:r>
        <w:t xml:space="preserve">(Flournoy et al., 2020; Rozin, 2001)</w:t>
      </w:r>
      <w:r>
        <w:t xml:space="preserve">. We see two benefits of this approach. The first is to re-examine established patterns with a new lens. For example, both deficit- and adaptation-based perspectives assume that adversity should 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 subtests, and may show unique patterns that diverge from widely used composite scores. The second is to feed theory with useful description. One reason why we know little about broad sets of abilities is that adaptive logic is yet to be developed for some abilities. However, the lack of such logic this does not imply the presence or absence of a functional link. A complementary approach is to explore, describe, and follow up associations between adversity and abilities to aid theory development. Therefore, we return to the map of cognitive abilities that might be shaped by adversity and ask</w:t>
      </w:r>
      <w:r>
        <w:t xml:space="preserve"> </w:t>
      </w:r>
      <w:r>
        <w:t xml:space="preserve">“</w:t>
      </w:r>
      <w:r>
        <w:t xml:space="preserve">what territory needs exploration and which areas may need re-mapping?</w:t>
      </w:r>
      <w:r>
        <w:t xml:space="preserve">”</w:t>
      </w:r>
    </w:p>
    <w:p>
      <w:pPr>
        <w:pStyle w:val="BodyText"/>
      </w:pPr>
      <w:r>
        <w:t xml:space="preserve">To carefully examine and interpret data in a principled exploration, it is helpful to develop inferential criteria. For example, rather than using adaptive-logic to predict which abilities are enhanced or reduced, we can ask what criteria are needed for evaluating and interpreting different data patterns? In addition, research typically focuses on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 exposed to adversity. We also know little about the drivers of reduced performance on broad and generic measures of ability and achievement. For example, deficit approaches have collapsed many abilities into composites and find that adversity exposure reduces performance. However, one possibility is that a smaller set of specific abilities are driving effects. In total, there is still much to learn about the map of adversity shape cognitive abilities. Principled exploration can complement confirmatory research in drawing this map, 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 performance on a widely-used cognitive achievement battery using longitudinal, prospective data from the Study of Early Childcare and Youth Development (SECCYD). Drawing on the general insights of adaptation-based research, we employ a within-person performance design to explore performance across 10 abilities. This design allows us to assess how exposure to each measure of adversity is associated with relative performance differences across many abilities (see Figure 1). In other words, we can compare specific abilities (e.g., short-term memory performance) to overall performance (within-person average performance on all tests) to get a clear picture of how enhanced and reduced performance manifest in parallel within an individual.</w:t>
      </w:r>
    </w:p>
    <w:p>
      <w:pPr>
        <w:pStyle w:val="BodyText"/>
      </w:pPr>
      <w:r>
        <w:t xml:space="preserve">We focus on adversity measures that tap two constructs: environmental harshness and unpredictability. We focus on these constructs because 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classic and unexplored measures that capture both. Classic measures include family transitions (paternal, residential, and occupational changes) and income-to-needs (mean and variability). Unexplored measures include neighborhood disadvantage (mean and variability). We leverage data from the 1990 Census about the broader ecological context, which has been used to 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 expectations change according to the conceptual framework. For example, from a traditional deficit perspective, we should expect negative overall effects of adversity. Performance on subtests should closely match the overall effect. In contrast, from an adaptation-based perspective, we expect an overall negative effect but performance on some subtests is either less reduced, intact, or even enhanced.</w:t>
      </w:r>
    </w:p>
    <w:p>
      <w:pPr>
        <w:pStyle w:val="BodyText"/>
      </w:pPr>
      <w:r>
        <w:t xml:space="preserve">Our second set of criteria are statistical. Our modeling strategy allows us to quantify performance as a function of adversity in two ways. First, we can test whether the effect of adversity on each subtest is different from zero using a simple slopes test. A positive and negative effect suggests enhanced and reduced performance, respectively. Second, we compare subset performance (simple slope) against overall performance (main effect of adversity across all tests), which is measured by the interaction between subtest category and adversity. This interaction term indicates whether performance is significantly more negative, less negative, or even positive compared to overall performance. For both types of effects, we can determine if they are practically equivalent to either zero (simple effect) or overall performance (main effect). Subtest performance is intact when the effect of adversity on a subtest is practically equivalent to zero. Using these criteria, we position ourselves to identify the drivers 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 of 1364 families met all the prescreening criteria, namely that mothers: (a) were age 18 or older, (b) did not plan to move, (c) had a newborn without any known disabilities (and could leave the hospital within one week), (d) had no history of substance abuse, (e) could speak English, and (f) lived within 1 hour driving distance from the research lab and were in a relatively safe neighborhood. More information about recruitment and selection procedures is available from the study [</w:t>
      </w:r>
      <w:r>
        <w:t xml:space="preserve">Network (2005)</w:t>
      </w:r>
      <w:r>
        <w:t xml:space="preserve">; see https://www.icpsr.umich.edu/web/ICPSR/series/00233]. The current analyses included participants with non-missing data on most predictors 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 test battery to examine performance across 10 subtests</w:t>
      </w:r>
      <w:r>
        <w:t xml:space="preserve"> </w:t>
      </w:r>
      <w:r>
        <w:t xml:space="preserve">(Woodcock et al., 1990; Woodcock, 1990)</w:t>
      </w:r>
      <w:r>
        <w:t xml:space="preserve">. The SECCYD administered the WJ five times over the 54 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 The WJ cognitive test includes the Memory for Names, Memory for Sentences, Verbal Analogies, Incomplete Words, and Picture Vocabulary subtests (see below for descriptions). The WJ achievement battery includes Letter-Word Identification, Passage Completion, Calculations, Applied Problems, and Word Attack subtests (see below for descriptions).</w:t>
      </w:r>
    </w:p>
    <w:p>
      <w:pPr>
        <w:pStyle w:val="BodyText"/>
      </w:pPr>
      <w:r>
        <w:t xml:space="preserve">For all tests, we analyzed standard scores, which are equivalent to IQ 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 puts all tests on the same scale to facilitate comparison (see Figure 2). For each subtest, we averaged standard scores over time to create one score per subtest, per participant. However, the specific set of subtests administered at each assessment varied (see Figure 2). For example, the Verbal Analogies test was measured at grade three and age 15 whereas Passage completion was measured at grades 3, 5, and age 15 (see Table 1). Thus, to create overall scores for each subtest, we averaged over all timepoints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81400" cy="6667500"/>
                  <wp:effectExtent b="0" l="0" r="0" t="0"/>
                  <wp:docPr descr="" title="" id="31" name="Picture"/>
                  <a:graphic>
                    <a:graphicData uri="http://schemas.openxmlformats.org/drawingml/2006/picture">
                      <pic:pic>
                        <pic:nvPicPr>
                          <pic:cNvPr descr="seccyd_manuscript_files/figure-docx/Figure2-1.pdf" id="32" name="Picture"/>
                          <pic:cNvPicPr>
                            <a:picLocks noChangeArrowheads="1" noChangeAspect="1"/>
                          </pic:cNvPicPr>
                        </pic:nvPicPr>
                        <pic:blipFill>
                          <a:blip r:embed="rId30"/>
                          <a:stretch>
                            <a:fillRect/>
                          </a:stretch>
                        </pic:blipFill>
                        <pic:spPr bwMode="auto">
                          <a:xfrm>
                            <a:off x="0" y="0"/>
                            <a:ext cx="35814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p>
        </w:tc>
      </w:tr>
    </w:tbl>
    <w:p>
      <w:pPr>
        <w:pStyle w:val="BodyText"/>
      </w:pPr>
      <w:r>
        <w:rPr>
          <w:bCs/>
          <w:b/>
        </w:rPr>
        <w:t xml:space="preserve">Picture Vocabulary.</w:t>
      </w:r>
      <w:r>
        <w:t xml:space="preserve"> </w:t>
      </w:r>
      <w:r>
        <w:t xml:space="preserve">This subtest measures verbal comprehension and crystallized knowledge. The test contains 58 items requiring participants to view and name familiar and unfamiliar objects. The test was administered five times at 54 months, grades 1, 3, 5, and at 15 years. Higher scores indicate more verbal comprehension and more crystallized knowledge.</w:t>
      </w:r>
    </w:p>
    <w:p>
      <w:pPr>
        <w:pStyle w:val="BodyText"/>
      </w:pPr>
      <w:r>
        <w:rPr>
          <w:bCs/>
          <w:b/>
        </w:rPr>
        <w:t xml:space="preserve">Verbal Analogies.</w:t>
      </w:r>
      <w:r>
        <w:t xml:space="preserve"> </w:t>
      </w:r>
      <w:r>
        <w:t xml:space="preserve">This subtest measures the ability to reason about analogies between relatively simple words. Although the words remain simple, relations between words increase in complexity of over the test items. The test contains 35 items and was assessed twice at grades 3 and 5. Higher scores indicate more reasoning and more verbal/crystalized knowledge.</w:t>
      </w:r>
    </w:p>
    <w:p>
      <w:pPr>
        <w:pStyle w:val="BodyText"/>
      </w:pPr>
      <w:r>
        <w:rPr>
          <w:bCs/>
          <w:b/>
        </w:rPr>
        <w:t xml:space="preserve">Passage Comprehension.</w:t>
      </w:r>
      <w:r>
        <w:t xml:space="preserve"> </w:t>
      </w:r>
      <w:r>
        <w:t xml:space="preserve">This subtest test measures the ability to read a short passage and name an appropriate key word that is missing. The test contains 43 items and was administered three times at grades 3, 5, and at age 15. Higher scores indicate more vocabulary, comprehension, and reading skill.</w:t>
      </w:r>
    </w:p>
    <w:p>
      <w:pPr>
        <w:pStyle w:val="BodyText"/>
      </w:pPr>
      <w:r>
        <w:rPr>
          <w:bCs/>
          <w:b/>
        </w:rPr>
        <w:t xml:space="preserve">Applied Problems.</w:t>
      </w:r>
      <w:r>
        <w:t xml:space="preserve"> </w:t>
      </w:r>
      <w:r>
        <w:t xml:space="preserve">This subtest contains a set of practical math problems. Participants must read and identify a strategy for solving the problem and execute simple arithmetic calculations. The test contains 60 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 math and problem-solving skill.</w:t>
      </w:r>
    </w:p>
    <w:p>
      <w:pPr>
        <w:pStyle w:val="BodyText"/>
      </w:pPr>
      <w:r>
        <w:rPr>
          <w:bCs/>
          <w:b/>
        </w:rPr>
        <w:t xml:space="preserve">Calculations.</w:t>
      </w:r>
      <w:r>
        <w:t xml:space="preserve"> </w:t>
      </w:r>
      <w:r>
        <w:t xml:space="preserve">This subtest required participants to solve traditional math problems containing addition, subtraction, multiplication, division, and different combinations of each. The test also includes some geometry and trigonometry problems. Some items require logarithmic operations and calculus. The test contains 58 items 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 scores indicate more mathematical/quantitative skill.</w:t>
      </w:r>
    </w:p>
    <w:p>
      <w:pPr>
        <w:pStyle w:val="BodyText"/>
      </w:pPr>
      <w:r>
        <w:rPr>
          <w:bCs/>
          <w:b/>
        </w:rPr>
        <w:t xml:space="preserve">Memory for Names.</w:t>
      </w:r>
      <w:r>
        <w:t xml:space="preserve"> </w:t>
      </w:r>
      <w:r>
        <w:t xml:space="preserve">This subtest is an auditory-visual association test. It requires participants to learn a set of</w:t>
      </w:r>
      <w:r>
        <w:t xml:space="preserve"> </w:t>
      </w:r>
      <w:r>
        <w:t xml:space="preserve">‘</w:t>
      </w:r>
      <w:r>
        <w:t xml:space="preserve">space creatures</w:t>
      </w:r>
      <w:r>
        <w:t xml:space="preserve">’</w:t>
      </w:r>
      <w:r>
        <w:t xml:space="preserve"> </w:t>
      </w:r>
      <w:r>
        <w:t xml:space="preserve">and their names. After learning a set of creature-name pairs, participants must identify which in a set of nine creatures were just introduced and those previously in past sets. The test difficulty is controlled by (decreasing) increasing the create-name pairs presented in each set. The 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visual-auditory association and long-term memory skill.</w:t>
      </w:r>
    </w:p>
    <w:p>
      <w:pPr>
        <w:pStyle w:val="BodyText"/>
      </w:pPr>
      <w:r>
        <w:rPr>
          <w:bCs/>
          <w:b/>
        </w:rPr>
        <w:t xml:space="preserve">Incomplete Words.</w:t>
      </w:r>
      <w:r>
        <w:t xml:space="preserve"> </w:t>
      </w:r>
      <w:r>
        <w:t xml:space="preserve">This subtest measures the ability to listen to words containing missing phonemes and complete the word. The test contains 40 items and was administered at the 54 month and 1</w:t>
      </w:r>
      <w:r>
        <w:rPr>
          <w:vertAlign w:val="superscript"/>
        </w:rPr>
        <w:t xml:space="preserve">st</w:t>
      </w:r>
      <w:r>
        <w:t xml:space="preserve"> </w:t>
      </w:r>
      <w:r>
        <w:t xml:space="preserve">grade assessments. Higher scores indicate more auditory processing skill.</w:t>
      </w:r>
    </w:p>
    <w:p>
      <w:pPr>
        <w:pStyle w:val="BodyText"/>
      </w:pPr>
      <w:r>
        <w:rPr>
          <w:bCs/>
          <w:b/>
        </w:rPr>
        <w:t xml:space="preserve">Memory for Sentences.</w:t>
      </w:r>
      <w:r>
        <w:t xml:space="preserve"> </w:t>
      </w:r>
      <w:r>
        <w:t xml:space="preserve">This subtest measures the ability to listen to and remember words, phrases, and sentences. The words, phrases, and sentences are played on an audio tape and participants must recall as many as possible. The test contains 32 items and was administered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 short-term memory skill.</w:t>
      </w:r>
    </w:p>
    <w:p>
      <w:pPr>
        <w:pStyle w:val="BodyText"/>
      </w:pPr>
      <w:r>
        <w:rPr>
          <w:bCs/>
          <w:b/>
        </w:rPr>
        <w:t xml:space="preserve">Letter-word Identification.</w:t>
      </w:r>
      <w:r>
        <w:t xml:space="preserve"> </w:t>
      </w:r>
      <w:r>
        <w:t xml:space="preserve">This subtest measures reading and pronunciation ability. Participants must initially read letters and then words, which gradually increase in difficulty. The test contains 57 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 unfamiliar words. Participants must read aloud phonetically logical but nonsense or infrequent words. It contains 30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auditory processing and linguistic structural analysis knowledge and skill.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2e131d2-f0a8-4ef2-b79f-98c69e6ebbdb"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2e131d2-f0a8-4ef2-b79f-98c69e6ebbdb"/>
      <w:r>
        <w:rPr>
          <w:rFonts/>
          <w:b w:val="true"/>
        </w:rPr>
        <w:t xml:space="preserve">: </w:t>
      </w:r>
      <w:r>
        <w:t xml:space="preserve">Bivariate correlations and descriptive statistics for WJ subtests.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 previous studies using data from the SECCYD, we used income-to-needs ratio scores from 1, 6, 15, 24, 36, and 54-month assessments</w:t>
      </w:r>
      <w:r>
        <w:t xml:space="preserve"> </w:t>
      </w:r>
      <w:r>
        <w:t xml:space="preserve">(Belsky et al., 2012; Hartman et al., 2018; Li et al., 2018; Sung et al., 2016; Zhang et al., 2022)</w:t>
      </w:r>
      <w:r>
        <w:t xml:space="preserve">. We calculated a simple average of all income-to-needs scores across 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 economic and ecological context in a similar way to previous analyses of neighborhood-level economic conditions in the SECCYD</w:t>
      </w:r>
      <w:r>
        <w:t xml:space="preserve"> </w:t>
      </w:r>
      <w:r>
        <w:t xml:space="preserve">(Bleil, Spieker, et al., 2021; Bleil, Appelhans, et al., 2021)</w:t>
      </w:r>
      <w:r>
        <w:t xml:space="preserve">. Specifically, addresses were tracked for each participant over time. Each family address start and stop dates were recorded, geocoded, and linked to the 1990 decennial Census blocks. These blocks are the smallest Census-tracked geographical unit. For each Census block, sociodemographic data were extracted from the Census databases to measure neighborhood-level economic conditions for each participant. We extracted 5 variables: 1) percent of people living under the poverty line, 2) median household income, 3) Gini coefficients of income inequality based on income frequency data, 4) percent of unemployed individuals over 16 in the workforce, and the percent of occupied houses that were being rented. These neighborhood variables were standardized and then averaged to create a neighborhood poverty score for each home a participant lived in. Next, we averaged these neighborhood scores over time (up until the 54-month assessment). Thus, if a participant lived in two homes between birth and the 54-month assessment, neighborhood-level variables would be standardized and averaged within the first and second Census block, and then averaged between them. These scores served as neighborhood-level socioeconomic poverty scores where higher scores indicate higher rates of poverty, income-inequality, unemployment, and 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 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 used two approaches. The first is track and count family transitions, including changes in paternal figures living in the home, parental job transitions, and residential changes</w:t>
      </w:r>
      <w:r>
        <w:t xml:space="preserve"> </w:t>
      </w:r>
      <w:r>
        <w:t xml:space="preserve">(Belsky et al., 2012; Hartman et al., 2018)</w:t>
      </w:r>
      <w:r>
        <w:t xml:space="preserve">. The second approach is to quantify variability in repeated measures of harshness indicators (e.g., computing variance in income-to-needs across time). For example, Li and colleagues</w:t>
      </w:r>
      <w:r>
        <w:t xml:space="preserve"> </w:t>
      </w:r>
      <w:r>
        <w:t xml:space="preserve">(2018)</w:t>
      </w:r>
      <w:r>
        <w:t xml:space="preserve"> </w:t>
      </w:r>
      <w:r>
        <w:t xml:space="preserve">fit a linear model to each participants’ income-to-needs scores over time. Then, they computed the residual variance around participant-level linear trends in income-to-needs to create an income variability score. In the current study, we compute unpredictability 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a family transitions, we computed the number of paternal figure changes (father figures moving in and out of the home), mother and father (figure) job changes, and residential changes across 17 assessments from 1 to 54 months</w:t>
      </w:r>
      <w:r>
        <w:t xml:space="preserve"> </w:t>
      </w:r>
      <w:r>
        <w:t xml:space="preserve">(Belsky et al., 2012; Hartman et al., 2018)</w:t>
      </w:r>
      <w:r>
        <w:t xml:space="preserve">. After computing scores across time, we standardized each variable and averaged 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 For, income-to-needs scores, we computed a simple standard deviation of all income-to-needs scores for each participant from the 1, 6, 15, 24, 36, and 54-month assessments (see</w:t>
      </w:r>
      <w:r>
        <w:t xml:space="preserve"> </w:t>
      </w:r>
      <w:hyperlink r:id="rId34">
        <w:r>
          <w:rPr>
            <w:rStyle w:val="Hyperlink"/>
          </w:rPr>
          <w:t xml:space="preserve">https://tinyurl.com/seccyd-wj-agg-income</w:t>
        </w:r>
      </w:hyperlink>
      <w:r>
        <w:t xml:space="preserve"> </w:t>
      </w:r>
      <w:r>
        <w:t xml:space="preserve">for code). For neighborhood-level poverty variability, we computed the standard deviation of neighborhood socioeconomic harshness scores (see Indicators of Harshness). If participants had only lived in one Census block from 1 to 54 months, their neighborhood socioeconomic poverty variability score 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 analyses of SECCYD data: 1) maternal education, 2) sex assigned at birth (1 = female), and 3) the race/ethnicity of each child coded as White/non-Hispanic = 0, otherwise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ac9445d-d9c2-44ac-9dd6-5770f1666448"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c9445d-d9c2-44ac-9dd6-5770f1666448"/>
      <w:r>
        <w:rPr>
          <w:rFonts/>
          <w:b w:val="true"/>
        </w:rPr>
        <w:t xml:space="preserve">: </w:t>
      </w:r>
      <w:r>
        <w:t xml:space="preserve">Bivariate correlations and descriptive statistics for adversity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814"/>
        <w:gridCol w:w="814"/>
        <w:gridCol w:w="814"/>
        <w:gridCol w:w="797"/>
        <w:gridCol w:w="614"/>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Neighborhood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Neighborhood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w:t>
            </w:r>
          </w:p>
        </w:tc>
      </w:tr>
    </w:tbl>
    <w:bookmarkEnd w:id="40"/>
    <w:bookmarkEnd w:id="41"/>
    <w:bookmarkEnd w:id="42"/>
    <w:bookmarkStart w:id="71"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 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 a simulation approach to conduct power analyses. Although we simulated adversity scores, we leveraged actual WJ test scores from SECCYD data. Simulations showed that, with a sample size of (N =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 this project are tracked on GitHub (see</w:t>
      </w:r>
      <w:r>
        <w:t xml:space="preserve"> </w:t>
      </w:r>
      <w:hyperlink r:id="rId47">
        <w:r>
          <w:rPr>
            <w:rStyle w:val="Hyperlink"/>
          </w:rPr>
          <w:t xml:space="preserve">https://tinyurl.com/seccyd-wj</w:t>
        </w:r>
      </w:hyperlink>
      <w:r>
        <w:t xml:space="preserve">), including data needed to reproduce all results (see</w:t>
      </w:r>
      <w:r>
        <w:t xml:space="preserve"> </w:t>
      </w:r>
      <w:hyperlink r:id="rId48">
        <w:r>
          <w:rPr>
            <w:rStyle w:val="Hyperlink"/>
          </w:rPr>
          <w:t xml:space="preserve">https://tinyurl.com/seccyd-wj-data</w:t>
        </w:r>
      </w:hyperlink>
      <w:r>
        <w:t xml:space="preserve">). Raw data (data provided by SECCYD) is only available via ICPSR (</w:t>
      </w:r>
      <w:hyperlink r:id="rId49">
        <w:r>
          <w:rPr>
            <w:rStyle w:val="Hyperlink"/>
          </w:rPr>
          <w:t xml:space="preserve">https://www.icpsr.umich.edu</w:t>
        </w:r>
      </w:hyperlink>
      <w:r>
        <w:t xml:space="preserve">). However, documentation for the study is free to download (see</w:t>
      </w:r>
      <w:r>
        <w:t xml:space="preserve"> </w:t>
      </w:r>
      <w:hyperlink r:id="rId50">
        <w:r>
          <w:rPr>
            <w:rStyle w:val="Hyperlink"/>
          </w:rPr>
          <w:t xml:space="preserve">https://www.icpsr.umich.edu/web/ICPSR/studies/21940</w:t>
        </w:r>
      </w:hyperlink>
      <w:r>
        <w:t xml:space="preserve">), which contains lists of raw datasets and variables. For those who have access to raw SECCYD data, we provide a table of raw datasets and variables used in 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 used the haven and readxl R packages</w:t>
      </w:r>
      <w:r>
        <w:t xml:space="preserve"> </w:t>
      </w:r>
      <w:r>
        <w:t xml:space="preserve">(Wickham et al., 2023; Wickham &amp; Bryan, 2023)</w:t>
      </w:r>
      <w:r>
        <w:t xml:space="preserve">. For data processing, visualizations, and table creation, we used the tidyverse, sjlabelled, ggdist, ggsci, and the patchwork R packages</w:t>
      </w:r>
      <w:r>
        <w:t xml:space="preserve"> </w:t>
      </w:r>
      <w:r>
        <w:t xml:space="preserve">(Gohel &amp; Skintzos, 2023; Kay, 2023; Lüdecke, 2022; Pedersen, 2022; Wickham et al., 2019; Xiao, 2023)</w:t>
      </w:r>
      <w:r>
        <w:t xml:space="preserve">. For analyses, including mixed models, simple slopes, and equivalence tests, we used 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 relates to WJ performance. For our primary analyses, we ran one model per adversity variable. Each model contained sex assigned at birth, race/ethnicity, and maternal education as covariates. Adversity and covariates were standardiazed or recoded to center variables at 0.</w:t>
      </w:r>
    </w:p>
    <w:p>
      <w:pPr>
        <w:pStyle w:val="BodyText"/>
      </w:pPr>
      <w:r>
        <w:t xml:space="preserve">To analyze and compare WJ subtest performance with overall WJ performance, we restructured the data so that each participant was represented by 10 rows, one for each WJ subtest score. Then, we created a sum coded contrast variable for WJ subtests with 10 levels (one for each subtest). This type of contrast sets the model interecpt to the grand mean (e.g., the mean of all subtest scores). To analyze the effects of adverstiy on test performance, we entered adversity as a main effect and the interaction between adversity and the contrast-coded subtest variable.</w:t>
      </w:r>
    </w:p>
    <w:p>
      <w:pPr>
        <w:pStyle w:val="BodyText"/>
      </w:pPr>
      <w:r>
        <w:t xml:space="preserve">A model with this structure will contain a main effect for each covariate, a main effect of adversity, and an interaction term for each subtest (i.e., 10 interaction terms). The main effect of adversity reflects the association between adversity and overall WJ performance (e.g., within-person average of all subtests; see Figure 1). The interaction terms reflect the association between adversity and subtest performance (see Figure 1). However, interactions reflect the difference between the effect of adversity on overall performance and the effect of adversity on subtest performance (see Figure 1). Thus, interaction terms measure whether adversity is associated with subtest performance in a different way than overall test performance.</w:t>
      </w:r>
    </w:p>
    <w:p>
      <w:pPr>
        <w:pStyle w:val="BodyText"/>
      </w:pPr>
      <w:r>
        <w:t xml:space="preserve">Using this modeling strategy, we are interested in three types of effect sizes: 1) the main effect of each adversity measure (tested in separate models); 2) the simple effect of adversity for each subtest; and 3) the interaction effect between an adversity measure and subtest. We do not have specific point or range predictions for the effect size types above. However, we view standardized regression coefficients (i.e.,</w:t>
      </w:r>
      <w:r>
        <w:t xml:space="preserve"> </w:t>
      </w:r>
      <m:oMath>
        <m:r>
          <m:t>β</m:t>
        </m:r>
        <m:r>
          <m:t> </m:t>
        </m:r>
        <m:r>
          <m:rPr>
            <m:sty m:val="p"/>
          </m:rPr>
          <m:t>′</m:t>
        </m:r>
        <m:r>
          <m:t>s</m:t>
        </m:r>
      </m:oMath>
      <w:r>
        <w:t xml:space="preserve">) .10 (or higher) and -.10 (or lower) meaningful. For main effects, coefficients outside this range indicate that overall performance is meaningfully positve or negative across levels of adversity. For interactions, effect sizes outside these bounds indicate that adversity and subtest performance associations are meaningfully more negative or more positive than overall performance. For simple effects, effects outside these bounds indicate that the effect of adversity on a specific subtest is meaningfully different from zero. We are also interested in null effects. Specifically, we use equivalence testing to determine if a given effect is practically equivalent to a Range of Practical Significance (ROPE). We chose a ROPE 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 converted our ROPE to the WJ standard score scale by multiplying the standard deviation of standard WJ scores (</w:t>
      </w:r>
      <w:r>
        <w:rPr>
          <w:iCs/>
          <w:i/>
        </w:rPr>
        <w:t xml:space="preserve">SD</w:t>
      </w:r>
      <w:r>
        <w:t xml:space="preserve"> </w:t>
      </w:r>
      <w:r>
        <w:t xml:space="preserve">= 15) by .1. This means our ROPE was -1.5 to 1.5 for unstandardized coefficients.</w:t>
      </w:r>
    </w:p>
    <w:p>
      <w:pPr>
        <w:pStyle w:val="BodyText"/>
      </w:pPr>
      <w:r>
        <w:t xml:space="preserve">To guide interpretation, we apply a set of inferential criteria for categorizing data patterns. We are interested in three data patterns: 1) enhanced performance, 2) reduced performance, and 3) inact performance. We infer</w:t>
      </w:r>
      <w:r>
        <w:t xml:space="preserve"> </w:t>
      </w:r>
      <w:r>
        <w:t xml:space="preserve">‘</w:t>
      </w:r>
      <w:r>
        <w:t xml:space="preserve">enhanced performance</w:t>
      </w:r>
      <w:r>
        <w:t xml:space="preserve">’</w:t>
      </w:r>
      <w:r>
        <w:t xml:space="preserve"> </w:t>
      </w:r>
      <w:r>
        <w:t xml:space="preserve">when main and simple effects are meaningfully (outside the ROPE) positive and statistically different from zero. We infer</w:t>
      </w:r>
      <w:r>
        <w:t xml:space="preserve"> </w:t>
      </w:r>
      <w:r>
        <w:t xml:space="preserve">‘</w:t>
      </w:r>
      <w:r>
        <w:t xml:space="preserve">reduced performance</w:t>
      </w:r>
      <w:r>
        <w:t xml:space="preserve">’</w:t>
      </w:r>
      <w:r>
        <w:t xml:space="preserve"> </w:t>
      </w:r>
      <w:r>
        <w:t xml:space="preserve">when main and simple effects are meaningfully (outside the ROPE) negative and statistically different from zero. We use equivalence tests to interpret patterns of</w:t>
      </w:r>
      <w:r>
        <w:t xml:space="preserve"> </w:t>
      </w:r>
      <w:r>
        <w:t xml:space="preserve">‘</w:t>
      </w:r>
      <w:r>
        <w:t xml:space="preserve">intact performance</w:t>
      </w:r>
      <w:r>
        <w:t xml:space="preserve">’</w:t>
      </w:r>
      <w:r>
        <w:t xml:space="preserve">. We infer intact performance when a main or simple effect (and its confidence bounds) is practically equivalent to zero (e.g., falls inside the ROPE).</w:t>
      </w:r>
    </w:p>
    <w:p>
      <w:pPr>
        <w:pStyle w:val="BodyText"/>
      </w:pPr>
      <w:r>
        <w:t xml:space="preserve">We use the same criteria for interaction terms with one difference. Because interaction terms test the difference between main and simple effects, they quantify relative performance patterns. For</w:t>
      </w:r>
      <w:r>
        <w:t xml:space="preserve"> </w:t>
      </w:r>
      <w:r>
        <w:t xml:space="preserve">‘</w:t>
      </w:r>
      <w:r>
        <w:t xml:space="preserve">enhanced relative performance</w:t>
      </w:r>
      <w:r>
        <w:t xml:space="preserve">’</w:t>
      </w:r>
      <w:r>
        <w:t xml:space="preserve">, interactions terms must be meaningfully positive (outside the ROPE) and significant. For</w:t>
      </w:r>
      <w:r>
        <w:t xml:space="preserve"> </w:t>
      </w:r>
      <w:r>
        <w:t xml:space="preserve">‘</w:t>
      </w:r>
      <w:r>
        <w:t xml:space="preserve">reduced relative performance</w:t>
      </w:r>
      <w:r>
        <w:t xml:space="preserve">’</w:t>
      </w:r>
      <w:r>
        <w:t xml:space="preserve">, an interaction term must be meaningfully negative (outside the ROPE) and significant. Interaction terms that are practically equivalent to zero reflect subest performance that closely resembles main effects on overall perforamnce.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 size and direction of the main effect. We are particularly interested in cases where a main effect is negative and interaction terms are positive. This may reflect</w:t>
      </w:r>
      <w:r>
        <w:t xml:space="preserve"> </w:t>
      </w:r>
      <w:r>
        <w:t xml:space="preserve">‘</w:t>
      </w:r>
      <w:r>
        <w:t xml:space="preserve">enhanced relative performance</w:t>
      </w:r>
      <w:r>
        <w:t xml:space="preserve">’</w:t>
      </w:r>
      <w:r>
        <w:t xml:space="preserve"> </w:t>
      </w:r>
      <w:r>
        <w:t xml:space="preserve">(e.g., meangingful and significant postive interactions), or</w:t>
      </w:r>
      <w:r>
        <w:t xml:space="preserve"> </w:t>
      </w:r>
      <w:r>
        <w:t xml:space="preserve">‘</w:t>
      </w:r>
      <w:r>
        <w:t xml:space="preserve">less reduced</w:t>
      </w:r>
      <w:r>
        <w:t xml:space="preserve">’</w:t>
      </w:r>
      <w:r>
        <w:t xml:space="preserve"> </w:t>
      </w:r>
      <w:r>
        <w:t xml:space="preserve">performance on a particular subtest in the context of an overall reduced 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 unpredictability were associated with WJ overall and subtest performance. We ran one mixed model per indicator for a total of five primary analyses (two for harshness and threee for unpredictability).</w:t>
      </w:r>
    </w:p>
    <w:p>
      <w:pPr>
        <w:pStyle w:val="BodyText"/>
      </w:pPr>
      <w:r>
        <w:t xml:space="preserve">All analyses controlled for the main effects of maternal education, race/ethinicty, and sex assigned at birth. Across all models, there were main effects for both maternal education and race/ethnicity. Lower maternal education and having a non-White racial/ethnic background was associated with lower WJ overall performance. No model contained effects for sex assigned at birth. Below we describe the effects of our primary analysis predictors (see Supplement Table 1). Primary analysis code can 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 effect of family poverty on overall compared with subtest WJ performance. There was a main effect of income-to-needs such that a higher family poverty (lower income-to-needs) was associated with lower overall WJ performance. Equivalence tests show that this overall main effect was meaningfully negative (outside the ROPE, see Figure 3a).</w:t>
      </w:r>
    </w:p>
    <w:p>
      <w:pPr>
        <w:pStyle w:val="BodyText"/>
      </w:pPr>
      <w:r>
        <w:t xml:space="preserve">Interaction effects between family poverty and subtests revealed a more nuanced landscape of associations. The association between family poverty and performance on Passage Completion, Calculations, Verbal Analogies, Letter-Word, Short-Term Memory, and Unfamiliar Words subtests did not differ from the overall main effect (see Figure 3). However, the association between family poverty and performance on the Picture Vocabulary subtest was significantly and meaningfully more negative than overall main effect (see Figure 3). Interestingly, the association between family poverty and performance on the Auditory Processing, Unfamiliar Words, and Auditory-Visual Associaitons subtests were significantly more postive than the overall main effect (see Figure 3). However, equivalence tests suggest that the family poverty and Unfamiliar Words performance association was inside the ROPE, and thus practically equivalent to the main effect.</w:t>
      </w:r>
    </w:p>
    <w:p>
      <w:pPr>
        <w:pStyle w:val="BodyText"/>
      </w:pPr>
      <w:r>
        <w:t xml:space="preserve">Our simple effects analysis tested whether the associations between family poverty and subtest performance was statistically different from zero and whether they were practically equivalent to the ROPE (see Figure 3). Analyses revlealed that the association between family poverty and each of the subtests where significantly and meaningfuylly negative, except for the Auditory Processing, Unfamiliar Words, and Auditory-Visual Associaitons subtests (see Figure 3). For these tests, the association between family poverty and test performance was not statistically different from zero and practically equivalent to the ROPE (see FIgure 3).</w:t>
      </w:r>
    </w:p>
    <w:p>
      <w:pPr>
        <w:pStyle w:val="BodyText"/>
      </w:pPr>
      <w:r>
        <w:t xml:space="preserve">Based on our inferential criteria, the main effect of family poverty suggests that higher family poverty was associated with reduced overall performance. For the Picture Vocabulary subtest, the family poverty-performance association was significantly and meaningfully more negative than the overall pattern, suggesting performance on this test was particularly reduced for high poverty families. However, three subtests showed relative enhancemet to the overall pattern of family poverty: Auditory Processing, Unfamiliar Words, and Auditory-Visual Associaitons subtests. Yet, only the associations between family poverty and the Auditory Processing and Auditory Visual Associations subtest performance were outside the ROPE. In addition, no family poverty-subtest performance association was consistent with pure enhancement. Instead, simple effects revealed that the family poverty-performance associations between the Auditory Processing, Unfamiliar Words, and Auditory-Visual Associaitons were inside the ROPE, suggesting higher family poverty was associated with intact performance on these tests.</w:t>
      </w:r>
    </w:p>
    <w:p>
      <w:pPr>
        <w:pStyle w:val="BodyText"/>
      </w:pPr>
      <w:r>
        <w:rPr>
          <w:bCs/>
          <w:b/>
        </w:rPr>
        <w:t xml:space="preserve">Neighborhood Poverty (Mean)</w:t>
      </w:r>
      <w:r>
        <w:t xml:space="preserve">. There was also a main effect of neighborhood poverty such that a living in a high poverty neighborhood was associated with lower overall WJ performance (see Figure 3). Equivalence tests show that this overall main effect was outside the ROPE.</w:t>
      </w:r>
    </w:p>
    <w:p>
      <w:pPr>
        <w:pStyle w:val="BodyText"/>
      </w:pPr>
      <w:r>
        <w:t xml:space="preserve">Interaction effects between neighborhood poverty and subtest were varied. Associations between neighborhood poverty and subtest performance on Passage Completion, Calculations, Letter-Word, and Short-Term Memory did not statistically differ from the overall main effect (see Figure 3). However, neighborhood poverty and subtest performance associations for the Picture Vocabulary, Verbal Analogies, and Applied Problems subtests were significantly more negative than the main effect (see Figure 3). However, equivalence tests showed that only the assocation between neighbhorhood poverty and Verbal Analogies subtest performance was meaningfully more negative than the main effect. Similar to the family poverty analysis, neighborhood poverty was associated with significantly more positive performance for the Auditory Processing and Auditory-Visual Associaitons compared to the overall main effect. Equivalence tests revealed that both associations were also meaningfully more positive, suggesting that performance on these tests were relatively enhanced (compared to the main effect) for participants living in high poverty neighborhoods (see Figure 3).</w:t>
      </w:r>
    </w:p>
    <w:p>
      <w:pPr>
        <w:pStyle w:val="BodyText"/>
      </w:pPr>
      <w:r>
        <w:t xml:space="preserve">Simple effects revealed that higher neighborhood poverty was associated with statistically and meaningfully negative for all subtests except for the Auditory Processing and Auditory-Visual Associaitons subtests. Again, for these two subtests, performance among those living in high poverty neighborhoods was not statistically or meaningfully different from zero.</w:t>
      </w:r>
    </w:p>
    <w:p>
      <w:pPr>
        <w:pStyle w:val="BodyText"/>
      </w:pPr>
      <w:r>
        <w:t xml:space="preserve">According to our inferential criteria, results suggest that the main effect of neighbohood poverty is consistent with reduced overall patter of performance. For the Verbal Analogies subtest, high neighborhood poverty was associated with relatively reduced performance compared with the main effect. However, high neighborhood poverty and performance associations for the Auditory Processing and Auditory-Visual Associaitons subtests were consistent with relative enhancement. Similar to the family poverty results, no subtest showed pure enhancement. Instead, simple effects revealed mostly reduced performance. For the Auditory Processing and Auditory-Visual Associations subtests, simple effects suggest that higher neighborhood poverty was associated with an intact pattern of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55" name="Picture"/>
                  <a:graphic>
                    <a:graphicData uri="http://schemas.openxmlformats.org/drawingml/2006/picture">
                      <pic:pic>
                        <pic:nvPicPr>
                          <pic:cNvPr descr="seccyd_manuscript_files/figure-docx/Figure3-1.pdf" id="56" name="Picture"/>
                          <pic:cNvPicPr>
                            <a:picLocks noChangeArrowheads="1" noChangeAspect="1"/>
                          </pic:cNvPicPr>
                        </pic:nvPicPr>
                        <pic:blipFill>
                          <a:blip r:embed="rId54"/>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 main effect on overall WJ performance. The main effect also fell inside the ROPE range, suggesting that overall performance was not associated with exposure to more family transitions (see Figure 4).</w:t>
      </w:r>
    </w:p>
    <w:p>
      <w:pPr>
        <w:pStyle w:val="BodyText"/>
      </w:pPr>
      <w:r>
        <w:t xml:space="preserve">Three interaction terms were statistically significant: Calculations (more negative), Auditory Processing (more positive), and Audio-Visual Associations (more postive). However, only the association between family transitions and performance on the Calculations was meaningfully different from the main effect (see Figure 4).</w:t>
      </w:r>
    </w:p>
    <w:p>
      <w:pPr>
        <w:pStyle w:val="BodyText"/>
      </w:pPr>
      <w:r>
        <w:t xml:space="preserve">Simple effects showed that exposure to family transitions was not associated subtest performance, except the Calculations and Applied Problems subtests. For Calculations, exposure to more family transitions was associated with significantly and meaningfully lower performance. For Applied Problems, more family transitions was associated with meaninfully lower performance, but this differrence was not statistically different from zero (i.e., the association was not significant but was outside the ROPE).</w:t>
      </w:r>
    </w:p>
    <w:p>
      <w:pPr>
        <w:pStyle w:val="BodyText"/>
      </w:pPr>
      <w:r>
        <w:t xml:space="preserve">Our inerential criteria suggest that exposure to family transitions was associated with intact overall WJ performance. Simple effects suggest that performance on most subtests was also mostly intact among those exposed to family transitions. However, for the Calculations subtet, more family transitions was related to reduced pattern of performance.</w:t>
      </w:r>
    </w:p>
    <w:p>
      <w:pPr>
        <w:pStyle w:val="BodyText"/>
      </w:pPr>
      <w:r>
        <w:rPr>
          <w:bCs/>
          <w:b/>
        </w:rPr>
        <w:t xml:space="preserve">Family Poverty Variability (income-to-needs variability).</w:t>
      </w:r>
      <w:r>
        <w:t xml:space="preserve"> </w:t>
      </w:r>
      <w:r>
        <w:t xml:space="preserve">Models unpacking the effect of family poverty variablity on WJ overall and subtest performance raised questions. Specifically, the direction of all effects were opposite to analyses using family poverty average scores. That is, performance on subtests that was reduced by high mean family poverty mean were enhanced by high variability in family poverty. We belieive such effects are driven by the fact that family poverty mean and variability scores are strongly related (see Table 2), which has been reported before elsewhere</w:t>
      </w:r>
      <w:r>
        <w:t xml:space="preserve"> </w:t>
      </w:r>
      <w:r>
        <w:t xml:space="preserve">(Li et al., 2018)</w:t>
      </w:r>
      <w:r>
        <w:t xml:space="preserve">. That is, families experiencing more poverty tended to experience less income-to-needs variability. Put differently, richer families were more likely to experience income fluctuations.</w:t>
      </w:r>
    </w:p>
    <w:p>
      <w:pPr>
        <w:pStyle w:val="BodyText"/>
      </w:pPr>
      <w:r>
        <w:t xml:space="preserve">We believe this raises questions about using income-to-needs variability as an indicator of unpredictability. In most empirical cases, higher levels harshness are associated with higher levels of unpredictability. One possibility is that the way variability scores are computed over repeated measures of income matters. Thus, to unpack this issue, we conducted a set of secondary analyses that use different methods for computing variability over income-to-needs scores. We report analyses using different methods for quantifying variability in our Secondary Analyses (see</w:t>
      </w:r>
      <w:r>
        <w:t xml:space="preserve"> </w:t>
      </w:r>
      <w:hyperlink r:id="rId58">
        <w:r>
          <w:rPr>
            <w:rStyle w:val="Hyperlink"/>
          </w:rPr>
          <w:t xml:space="preserve">https://tinyurl.com/seccyd-wj-update1</w:t>
        </w:r>
      </w:hyperlink>
      <w:r>
        <w:t xml:space="preserve"> </w:t>
      </w:r>
      <w:r>
        <w:t xml:space="preserve">for the update to our analysis plan).</w:t>
      </w:r>
    </w:p>
    <w:p>
      <w:pPr>
        <w:pStyle w:val="BodyText"/>
      </w:pPr>
      <w:r>
        <w:rPr>
          <w:bCs/>
          <w:b/>
        </w:rPr>
        <w:t xml:space="preserve">Neighborhood Poverty Variability</w:t>
      </w:r>
      <w:r>
        <w:t xml:space="preserve">. In contrast to family poverty variablity, more neighbhorhood poverty variability was related to higher average neighbhorhood poverty. That is, families living in poor neighborhoods (more harsh) were more likely to experience variablity in neighborhood poverty (unpredictability) from one to 54 months. Additionally, the association between average and variablity scores were moderate rather than strong (see Table 2).</w:t>
      </w:r>
    </w:p>
    <w:p>
      <w:pPr>
        <w:pStyle w:val="BodyText"/>
      </w:pPr>
      <w:r>
        <w:t xml:space="preserve">There was no main effect of neighborhood poverty variablity on overall WJ scores (see FIgure 4). There was only one interaction with subtest performance. High neighborhood poverty variability was associated with higher Audio-Visual Associations performance compared to overall performance. However, this effect was inside the ROPE, suggesting it was not meaningfully different from the overall effect. In addition, simple effects showed that high neighborhood poverty variablity was not associated with performance on any subtest and all simple effects were inside the ROPE.</w:t>
      </w:r>
    </w:p>
    <w:p>
      <w:pPr>
        <w:pStyle w:val="BodyText"/>
      </w:pPr>
      <w:r>
        <w:t xml:space="preserve">Based on our inferential criteria, high neighborhood poverty variability was associated with intact performance for overall and individual 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60" name="Picture"/>
                  <a:graphic>
                    <a:graphicData uri="http://schemas.openxmlformats.org/drawingml/2006/picture">
                      <pic:pic>
                        <pic:nvPicPr>
                          <pic:cNvPr descr="seccyd_manuscript_files/figure-docx/Figure4-1.pdf" id="61" name="Picture"/>
                          <pic:cNvPicPr>
                            <a:picLocks noChangeArrowheads="1" noChangeAspect="1"/>
                          </pic:cNvPicPr>
                        </pic:nvPicPr>
                        <pic:blipFill>
                          <a:blip r:embed="rId59"/>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p>
        </w:tc>
      </w:tr>
    </w:tbl>
    <w:bookmarkEnd w:id="62"/>
    <w:bookmarkEnd w:id="63"/>
    <w:bookmarkStart w:id="70" w:name="secondary-analyses"/>
    <w:p>
      <w:pPr>
        <w:pStyle w:val="Heading2"/>
      </w:pPr>
      <w:r>
        <w:t xml:space="preserve">Secondary Analyses</w:t>
      </w:r>
    </w:p>
    <w:bookmarkStart w:id="64" w:name="family-poverty---standard-deviation."/>
    <w:p>
      <w:pPr>
        <w:pStyle w:val="Heading3"/>
      </w:pPr>
      <w:r>
        <w:t xml:space="preserve">Family Poverty - Standard Deviation.</w:t>
      </w:r>
    </w:p>
    <w:bookmarkEnd w:id="64"/>
    <w:bookmarkStart w:id="65" w:name="family-poverty---residual-variance."/>
    <w:p>
      <w:pPr>
        <w:pStyle w:val="Heading3"/>
      </w:pPr>
      <w:r>
        <w:t xml:space="preserve">Family Poverty - Residual Variance.</w:t>
      </w:r>
    </w:p>
    <w:bookmarkEnd w:id="65"/>
    <w:bookmarkStart w:id="69" w:name="family-poverty---average-percent-change."/>
    <w:p>
      <w:pPr>
        <w:pStyle w:val="Heading3"/>
      </w:pPr>
      <w:r>
        <w:t xml:space="preserve">Family Poverty - Average Percent Change.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6117316"/>
                  <wp:effectExtent b="0" l="0" r="0" t="0"/>
                  <wp:docPr descr="" title="" id="67" name="Picture"/>
                  <a:graphic>
                    <a:graphicData uri="http://schemas.openxmlformats.org/drawingml/2006/picture">
                      <pic:pic>
                        <pic:nvPicPr>
                          <pic:cNvPr descr="seccyd_manuscript_files/figure-docx/Figure5-1.pdf" id="68" name="Picture"/>
                          <pic:cNvPicPr>
                            <a:picLocks noChangeArrowheads="1" noChangeAspect="1"/>
                          </pic:cNvPicPr>
                        </pic:nvPicPr>
                        <pic:blipFill>
                          <a:blip r:embed="rId66"/>
                          <a:stretch>
                            <a:fillRect/>
                          </a:stretch>
                        </pic:blipFill>
                        <pic:spPr bwMode="auto">
                          <a:xfrm>
                            <a:off x="0" y="0"/>
                            <a:ext cx="5943600" cy="611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p>
        </w:tc>
      </w:tr>
    </w:tbl>
    <w:bookmarkEnd w:id="69"/>
    <w:bookmarkEnd w:id="70"/>
    <w:bookmarkEnd w:id="71"/>
    <w:bookmarkStart w:id="72" w:name="discussion"/>
    <w:p>
      <w:pPr>
        <w:pStyle w:val="Heading1"/>
      </w:pPr>
      <w:r>
        <w:t xml:space="preserve">Discussion</w:t>
      </w:r>
    </w:p>
    <w:p>
      <w:r>
        <w:br w:type="page"/>
      </w:r>
    </w:p>
    <w:bookmarkEnd w:id="72"/>
    <w:bookmarkStart w:id="181" w:name="references"/>
    <w:p>
      <w:pPr>
        <w:pStyle w:val="Heading1"/>
      </w:pPr>
      <w:r>
        <w:t xml:space="preserve">References</w:t>
      </w:r>
    </w:p>
    <w:bookmarkStart w:id="180" w:name="refs"/>
    <w:bookmarkStart w:id="74"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3">
        <w:r>
          <w:rPr>
            <w:rStyle w:val="Hyperlink"/>
          </w:rPr>
          <w:t xml:space="preserve">https://doi.org/10.15626/MP.2020.2625</w:t>
        </w:r>
      </w:hyperlink>
    </w:p>
    <w:bookmarkEnd w:id="74"/>
    <w:bookmarkStart w:id="76"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5">
        <w:r>
          <w:rPr>
            <w:rStyle w:val="Hyperlink"/>
          </w:rPr>
          <w:t xml:space="preserve">https://CRAN.R-project.org/package=quarto</w:t>
        </w:r>
      </w:hyperlink>
    </w:p>
    <w:bookmarkEnd w:id="76"/>
    <w:bookmarkStart w:id="78"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7">
        <w:r>
          <w:rPr>
            <w:rStyle w:val="Hyperlink"/>
          </w:rPr>
          <w:t xml:space="preserve">https://CRAN.R-project.org/package=marginaleffects</w:t>
        </w:r>
      </w:hyperlink>
    </w:p>
    <w:bookmarkEnd w:id="78"/>
    <w:bookmarkStart w:id="8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9">
        <w:r>
          <w:rPr>
            <w:rStyle w:val="Hyperlink"/>
          </w:rPr>
          <w:t xml:space="preserve">https://doi.org/gcrnkw</w:t>
        </w:r>
      </w:hyperlink>
    </w:p>
    <w:bookmarkEnd w:id="80"/>
    <w:bookmarkStart w:id="82"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1">
        <w:r>
          <w:rPr>
            <w:rStyle w:val="Hyperlink"/>
          </w:rPr>
          <w:t xml:space="preserve">https://doi.org/b7r3m4</w:t>
        </w:r>
      </w:hyperlink>
    </w:p>
    <w:bookmarkEnd w:id="82"/>
    <w:bookmarkStart w:id="84"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3">
        <w:r>
          <w:rPr>
            <w:rStyle w:val="Hyperlink"/>
          </w:rPr>
          <w:t xml:space="preserve">https://doi.org/gk5dzv</w:t>
        </w:r>
      </w:hyperlink>
    </w:p>
    <w:bookmarkEnd w:id="84"/>
    <w:bookmarkStart w:id="85"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5"/>
    <w:bookmarkStart w:id="87"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6">
        <w:r>
          <w:rPr>
            <w:rStyle w:val="Hyperlink"/>
          </w:rPr>
          <w:t xml:space="preserve">https://doi.org/10.5281/zenodo.2669586</w:t>
        </w:r>
      </w:hyperlink>
    </w:p>
    <w:bookmarkEnd w:id="87"/>
    <w:bookmarkStart w:id="89"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8">
        <w:r>
          <w:rPr>
            <w:rStyle w:val="Hyperlink"/>
          </w:rPr>
          <w:t xml:space="preserve">https://doi.org/10.1146/annurev-psych-010416-044224</w:t>
        </w:r>
      </w:hyperlink>
    </w:p>
    <w:bookmarkEnd w:id="89"/>
    <w:bookmarkStart w:id="91"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90">
        <w:r>
          <w:rPr>
            <w:rStyle w:val="Hyperlink"/>
          </w:rPr>
          <w:t xml:space="preserve">https://doi.org/10.1257/aer.20201661</w:t>
        </w:r>
      </w:hyperlink>
    </w:p>
    <w:bookmarkEnd w:id="91"/>
    <w:bookmarkStart w:id="93"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92">
        <w:r>
          <w:rPr>
            <w:rStyle w:val="Hyperlink"/>
          </w:rPr>
          <w:t xml:space="preserve">https://doi.org/gjqwbs</w:t>
        </w:r>
      </w:hyperlink>
    </w:p>
    <w:bookmarkEnd w:id="93"/>
    <w:bookmarkStart w:id="95"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4">
        <w:r>
          <w:rPr>
            <w:rStyle w:val="Hyperlink"/>
          </w:rPr>
          <w:t xml:space="preserve">https://doi.org/gdtj9h</w:t>
        </w:r>
      </w:hyperlink>
    </w:p>
    <w:bookmarkEnd w:id="95"/>
    <w:bookmarkStart w:id="97"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6">
        <w:r>
          <w:rPr>
            <w:rStyle w:val="Hyperlink"/>
          </w:rPr>
          <w:t xml:space="preserve">https://doi.org/fv2dn8</w:t>
        </w:r>
      </w:hyperlink>
    </w:p>
    <w:bookmarkEnd w:id="97"/>
    <w:bookmarkStart w:id="99"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8">
        <w:r>
          <w:rPr>
            <w:rStyle w:val="Hyperlink"/>
          </w:rPr>
          <w:t xml:space="preserve">https://doi.org/gj7gh7</w:t>
        </w:r>
      </w:hyperlink>
    </w:p>
    <w:bookmarkEnd w:id="99"/>
    <w:bookmarkStart w:id="101"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0">
        <w:r>
          <w:rPr>
            <w:rStyle w:val="Hyperlink"/>
          </w:rPr>
          <w:t xml:space="preserve">https://doi.org/gnbxdn</w:t>
        </w:r>
      </w:hyperlink>
    </w:p>
    <w:bookmarkEnd w:id="101"/>
    <w:bookmarkStart w:id="103"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2">
        <w:r>
          <w:rPr>
            <w:rStyle w:val="Hyperlink"/>
          </w:rPr>
          <w:t xml:space="preserve">https://doi.org/ggb8qd</w:t>
        </w:r>
      </w:hyperlink>
    </w:p>
    <w:bookmarkEnd w:id="103"/>
    <w:bookmarkStart w:id="105"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4">
        <w:r>
          <w:rPr>
            <w:rStyle w:val="Hyperlink"/>
          </w:rPr>
          <w:t xml:space="preserve">https://doi.org/f5cxhb</w:t>
        </w:r>
      </w:hyperlink>
    </w:p>
    <w:bookmarkEnd w:id="105"/>
    <w:bookmarkStart w:id="107"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6">
        <w:r>
          <w:rPr>
            <w:rStyle w:val="Hyperlink"/>
          </w:rPr>
          <w:t xml:space="preserve">https://doi.org/ggf5d6</w:t>
        </w:r>
      </w:hyperlink>
    </w:p>
    <w:bookmarkEnd w:id="107"/>
    <w:bookmarkStart w:id="109"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8">
        <w:r>
          <w:rPr>
            <w:rStyle w:val="Hyperlink"/>
          </w:rPr>
          <w:t xml:space="preserve">https://doi.org/10.1016/j.tics.2020.03.007</w:t>
        </w:r>
      </w:hyperlink>
    </w:p>
    <w:bookmarkEnd w:id="109"/>
    <w:bookmarkStart w:id="111"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0">
        <w:r>
          <w:rPr>
            <w:rStyle w:val="Hyperlink"/>
          </w:rPr>
          <w:t xml:space="preserve">https://CRAN.R-project.org/package=flextable</w:t>
        </w:r>
      </w:hyperlink>
    </w:p>
    <w:bookmarkEnd w:id="111"/>
    <w:bookmarkStart w:id="113"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12">
        <w:r>
          <w:rPr>
            <w:rStyle w:val="Hyperlink"/>
          </w:rPr>
          <w:t xml:space="preserve">https://doi.org/b254c6</w:t>
        </w:r>
      </w:hyperlink>
    </w:p>
    <w:bookmarkEnd w:id="113"/>
    <w:bookmarkStart w:id="115"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4">
        <w:r>
          <w:rPr>
            <w:rStyle w:val="Hyperlink"/>
          </w:rPr>
          <w:t xml:space="preserve">https://doi.org/gjqzzj</w:t>
        </w:r>
      </w:hyperlink>
    </w:p>
    <w:bookmarkEnd w:id="115"/>
    <w:bookmarkStart w:id="117"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6">
        <w:r>
          <w:rPr>
            <w:rStyle w:val="Hyperlink"/>
          </w:rPr>
          <w:t xml:space="preserve">https://doi.org/10.5281/zenodo.3879620</w:t>
        </w:r>
      </w:hyperlink>
    </w:p>
    <w:bookmarkEnd w:id="117"/>
    <w:bookmarkStart w:id="119"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18">
        <w:r>
          <w:rPr>
            <w:rStyle w:val="Hyperlink"/>
          </w:rPr>
          <w:t xml:space="preserve">https://doi.org/gfvh58</w:t>
        </w:r>
      </w:hyperlink>
    </w:p>
    <w:bookmarkEnd w:id="119"/>
    <w:bookmarkStart w:id="121"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0">
        <w:r>
          <w:rPr>
            <w:rStyle w:val="Hyperlink"/>
          </w:rPr>
          <w:t xml:space="preserve">https://doi.org/10.1177/2515245918770963</w:t>
        </w:r>
      </w:hyperlink>
    </w:p>
    <w:bookmarkEnd w:id="121"/>
    <w:bookmarkStart w:id="123"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2">
        <w:r>
          <w:rPr>
            <w:rStyle w:val="Hyperlink"/>
          </w:rPr>
          <w:t xml:space="preserve">https://doi.org/gfmd6w</w:t>
        </w:r>
      </w:hyperlink>
    </w:p>
    <w:bookmarkEnd w:id="123"/>
    <w:bookmarkStart w:id="125"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4">
        <w:r>
          <w:rPr>
            <w:rStyle w:val="Hyperlink"/>
          </w:rPr>
          <w:t xml:space="preserve">https://doi.org/10.21105/joss.00772</w:t>
        </w:r>
      </w:hyperlink>
    </w:p>
    <w:bookmarkEnd w:id="125"/>
    <w:bookmarkStart w:id="127"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6">
        <w:r>
          <w:rPr>
            <w:rStyle w:val="Hyperlink"/>
          </w:rPr>
          <w:t xml:space="preserve">https://doi.org/10.5281/zenodo.1249215</w:t>
        </w:r>
      </w:hyperlink>
    </w:p>
    <w:bookmarkEnd w:id="127"/>
    <w:bookmarkStart w:id="129"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28">
        <w:r>
          <w:rPr>
            <w:rStyle w:val="Hyperlink"/>
          </w:rPr>
          <w:t xml:space="preserve">https://doi.org/10.21105/joss.02445</w:t>
        </w:r>
      </w:hyperlink>
    </w:p>
    <w:bookmarkEnd w:id="129"/>
    <w:bookmarkStart w:id="131"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0">
        <w:r>
          <w:rPr>
            <w:rStyle w:val="Hyperlink"/>
          </w:rPr>
          <w:t xml:space="preserve">https://doi.org/10.1016/j.cortex.2017.07.014</w:t>
        </w:r>
      </w:hyperlink>
    </w:p>
    <w:bookmarkEnd w:id="131"/>
    <w:bookmarkStart w:id="133"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32">
        <w:r>
          <w:rPr>
            <w:rStyle w:val="Hyperlink"/>
          </w:rPr>
          <w:t xml:space="preserve">https://doi.org/gj59n7</w:t>
        </w:r>
      </w:hyperlink>
    </w:p>
    <w:bookmarkEnd w:id="133"/>
    <w:bookmarkStart w:id="135"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4">
        <w:r>
          <w:rPr>
            <w:rStyle w:val="Hyperlink"/>
          </w:rPr>
          <w:t xml:space="preserve">https://doi.org/10.1037/pspi0000028</w:t>
        </w:r>
      </w:hyperlink>
    </w:p>
    <w:bookmarkEnd w:id="135"/>
    <w:bookmarkStart w:id="137"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6">
        <w:r>
          <w:rPr>
            <w:rStyle w:val="Hyperlink"/>
          </w:rPr>
          <w:t xml:space="preserve">https://doi.org/10.26481/dis.20191115mm</w:t>
        </w:r>
      </w:hyperlink>
    </w:p>
    <w:bookmarkEnd w:id="137"/>
    <w:bookmarkStart w:id="138"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38"/>
    <w:bookmarkStart w:id="140"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39">
        <w:r>
          <w:rPr>
            <w:rStyle w:val="Hyperlink"/>
          </w:rPr>
          <w:t xml:space="preserve">https://doi.org/gphn59</w:t>
        </w:r>
      </w:hyperlink>
    </w:p>
    <w:bookmarkEnd w:id="140"/>
    <w:bookmarkStart w:id="142"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1">
        <w:r>
          <w:rPr>
            <w:rStyle w:val="Hyperlink"/>
          </w:rPr>
          <w:t xml:space="preserve">https://CRAN.R-project.org/package=patchwork</w:t>
        </w:r>
      </w:hyperlink>
    </w:p>
    <w:bookmarkEnd w:id="142"/>
    <w:bookmarkStart w:id="144"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3">
        <w:r>
          <w:rPr>
            <w:rStyle w:val="Hyperlink"/>
          </w:rPr>
          <w:t xml:space="preserve">http://www.posit.co/</w:t>
        </w:r>
      </w:hyperlink>
    </w:p>
    <w:bookmarkEnd w:id="144"/>
    <w:bookmarkStart w:id="146"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5">
        <w:r>
          <w:rPr>
            <w:rStyle w:val="Hyperlink"/>
          </w:rPr>
          <w:t xml:space="preserve">https://www.R-project.org/</w:t>
        </w:r>
      </w:hyperlink>
    </w:p>
    <w:bookmarkEnd w:id="146"/>
    <w:bookmarkStart w:id="148"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7">
        <w:r>
          <w:rPr>
            <w:rStyle w:val="Hyperlink"/>
          </w:rPr>
          <w:t xml:space="preserve">https://doi.org/gjh5cc</w:t>
        </w:r>
      </w:hyperlink>
    </w:p>
    <w:bookmarkEnd w:id="148"/>
    <w:bookmarkStart w:id="150"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49">
        <w:r>
          <w:rPr>
            <w:rStyle w:val="Hyperlink"/>
          </w:rPr>
          <w:t xml:space="preserve">https://doi.org/gphn6c</w:t>
        </w:r>
      </w:hyperlink>
    </w:p>
    <w:bookmarkEnd w:id="150"/>
    <w:bookmarkStart w:id="152"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1">
        <w:r>
          <w:rPr>
            <w:rStyle w:val="Hyperlink"/>
          </w:rPr>
          <w:t xml:space="preserve">https://doi.org/10.1111/cdev.13538</w:t>
        </w:r>
      </w:hyperlink>
    </w:p>
    <w:bookmarkEnd w:id="152"/>
    <w:bookmarkStart w:id="154"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3">
        <w:r>
          <w:rPr>
            <w:rStyle w:val="Hyperlink"/>
          </w:rPr>
          <w:t xml:space="preserve">https://doi.org/bhqn85</w:t>
        </w:r>
      </w:hyperlink>
    </w:p>
    <w:bookmarkEnd w:id="154"/>
    <w:bookmarkStart w:id="156"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5">
        <w:r>
          <w:rPr>
            <w:rStyle w:val="Hyperlink"/>
          </w:rPr>
          <w:t xml:space="preserve">https://doi.org/ghp4k7</w:t>
        </w:r>
      </w:hyperlink>
    </w:p>
    <w:bookmarkEnd w:id="156"/>
    <w:bookmarkStart w:id="15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57">
        <w:r>
          <w:rPr>
            <w:rStyle w:val="Hyperlink"/>
          </w:rPr>
          <w:t xml:space="preserve">https://doi.org/f8n843</w:t>
        </w:r>
      </w:hyperlink>
    </w:p>
    <w:bookmarkEnd w:id="158"/>
    <w:bookmarkStart w:id="160"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9">
        <w:r>
          <w:rPr>
            <w:rStyle w:val="Hyperlink"/>
          </w:rPr>
          <w:t xml:space="preserve">https://doi.org/f8jcxn</w:t>
        </w:r>
      </w:hyperlink>
    </w:p>
    <w:bookmarkEnd w:id="160"/>
    <w:bookmarkStart w:id="162"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61">
        <w:r>
          <w:rPr>
            <w:rStyle w:val="Hyperlink"/>
          </w:rPr>
          <w:t xml:space="preserve">https://doi.org/10.21105/joss.01686</w:t>
        </w:r>
      </w:hyperlink>
    </w:p>
    <w:bookmarkEnd w:id="162"/>
    <w:bookmarkStart w:id="164"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3">
        <w:r>
          <w:rPr>
            <w:rStyle w:val="Hyperlink"/>
          </w:rPr>
          <w:t xml:space="preserve">https://CRAN.R-project.org/package=readxl</w:t>
        </w:r>
      </w:hyperlink>
    </w:p>
    <w:bookmarkEnd w:id="164"/>
    <w:bookmarkStart w:id="166"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65">
        <w:r>
          <w:rPr>
            <w:rStyle w:val="Hyperlink"/>
          </w:rPr>
          <w:t xml:space="preserve">https://CRAN.R-project.org/package=haven</w:t>
        </w:r>
      </w:hyperlink>
    </w:p>
    <w:bookmarkEnd w:id="166"/>
    <w:bookmarkStart w:id="168"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67">
        <w:r>
          <w:rPr>
            <w:rStyle w:val="Hyperlink"/>
          </w:rPr>
          <w:t xml:space="preserve">https://doi.org/ft7mjn</w:t>
        </w:r>
      </w:hyperlink>
    </w:p>
    <w:bookmarkEnd w:id="168"/>
    <w:bookmarkStart w:id="169"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69"/>
    <w:bookmarkStart w:id="171"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70">
        <w:r>
          <w:rPr>
            <w:rStyle w:val="Hyperlink"/>
          </w:rPr>
          <w:t xml:space="preserve">https://CRAN.R-project.org/package=ggsci</w:t>
        </w:r>
      </w:hyperlink>
    </w:p>
    <w:bookmarkEnd w:id="171"/>
    <w:bookmarkStart w:id="173"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72">
        <w:r>
          <w:rPr>
            <w:rStyle w:val="Hyperlink"/>
          </w:rPr>
          <w:t xml:space="preserve">https://doi.org/10.1111/cdev.13766</w:t>
        </w:r>
      </w:hyperlink>
    </w:p>
    <w:bookmarkEnd w:id="173"/>
    <w:bookmarkStart w:id="175"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74">
        <w:r>
          <w:rPr>
            <w:rStyle w:val="Hyperlink"/>
          </w:rPr>
          <w:t xml:space="preserve">https://doi.org/10.1016/j.evolhumbehav.2020.08.006</w:t>
        </w:r>
      </w:hyperlink>
    </w:p>
    <w:bookmarkEnd w:id="175"/>
    <w:bookmarkStart w:id="177"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76">
        <w:r>
          <w:rPr>
            <w:rStyle w:val="Hyperlink"/>
          </w:rPr>
          <w:t xml:space="preserve">https://doi.org/10.1037/pspi0000124</w:t>
        </w:r>
      </w:hyperlink>
    </w:p>
    <w:bookmarkEnd w:id="177"/>
    <w:bookmarkStart w:id="179"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78">
        <w:r>
          <w:rPr>
            <w:rStyle w:val="Hyperlink"/>
          </w:rPr>
          <w:t xml:space="preserve">https://doi.org/gnsdkr</w:t>
        </w:r>
      </w:hyperlink>
    </w:p>
    <w:bookmarkEnd w:id="179"/>
    <w:bookmarkEnd w:id="180"/>
    <w:bookmarkEnd w:id="181"/>
    <w:sectPr w:rsidR="002C3FC2" w:rsidRPr="00EE11AD"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6" Target="media/rId66.pdf" /><Relationship Type="http://schemas.openxmlformats.org/officeDocument/2006/relationships/hyperlink" Id="rId143" Target="http://www.posit.co/" TargetMode="External" /><Relationship Type="http://schemas.openxmlformats.org/officeDocument/2006/relationships/hyperlink" Id="rId110" Target="https://CRAN.R-project.org/package=flextable" TargetMode="External" /><Relationship Type="http://schemas.openxmlformats.org/officeDocument/2006/relationships/hyperlink" Id="rId170" Target="https://CRAN.R-project.org/package=ggsci" TargetMode="External" /><Relationship Type="http://schemas.openxmlformats.org/officeDocument/2006/relationships/hyperlink" Id="rId165"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41" Target="https://CRAN.R-project.org/package=patchwork" TargetMode="External" /><Relationship Type="http://schemas.openxmlformats.org/officeDocument/2006/relationships/hyperlink" Id="rId75" Target="https://CRAN.R-project.org/package=quarto" TargetMode="External" /><Relationship Type="http://schemas.openxmlformats.org/officeDocument/2006/relationships/hyperlink" Id="rId163" Target="https://CRAN.R-project.org/package=readxl" TargetMode="External" /><Relationship Type="http://schemas.openxmlformats.org/officeDocument/2006/relationships/hyperlink" Id="rId130" Target="https://doi.org/10.1016/j.cortex.2017.07.014" TargetMode="External" /><Relationship Type="http://schemas.openxmlformats.org/officeDocument/2006/relationships/hyperlink" Id="rId174" Target="https://doi.org/10.1016/j.evolhumbehav.2020.08.006" TargetMode="External" /><Relationship Type="http://schemas.openxmlformats.org/officeDocument/2006/relationships/hyperlink" Id="rId108" Target="https://doi.org/10.1016/j.tics.2020.03.007" TargetMode="External" /><Relationship Type="http://schemas.openxmlformats.org/officeDocument/2006/relationships/hyperlink" Id="rId134" Target="https://doi.org/10.1037/pspi0000028" TargetMode="External" /><Relationship Type="http://schemas.openxmlformats.org/officeDocument/2006/relationships/hyperlink" Id="rId176" Target="https://doi.org/10.1037/pspi0000124" TargetMode="External" /><Relationship Type="http://schemas.openxmlformats.org/officeDocument/2006/relationships/hyperlink" Id="rId151" Target="https://doi.org/10.1111/cdev.13538" TargetMode="External" /><Relationship Type="http://schemas.openxmlformats.org/officeDocument/2006/relationships/hyperlink" Id="rId172" Target="https://doi.org/10.1111/cdev.13766" TargetMode="External" /><Relationship Type="http://schemas.openxmlformats.org/officeDocument/2006/relationships/hyperlink" Id="rId88" Target="https://doi.org/10.1146/annurev-psych-010416-044224" TargetMode="External" /><Relationship Type="http://schemas.openxmlformats.org/officeDocument/2006/relationships/hyperlink" Id="rId120" Target="https://doi.org/10.1177/2515245918770963" TargetMode="External" /><Relationship Type="http://schemas.openxmlformats.org/officeDocument/2006/relationships/hyperlink" Id="rId90" Target="https://doi.org/10.1257/aer.20201661" TargetMode="External" /><Relationship Type="http://schemas.openxmlformats.org/officeDocument/2006/relationships/hyperlink" Id="rId73" Target="https://doi.org/10.15626/MP.2020.2625" TargetMode="External" /><Relationship Type="http://schemas.openxmlformats.org/officeDocument/2006/relationships/hyperlink" Id="rId124" Target="https://doi.org/10.21105/joss.00772" TargetMode="External" /><Relationship Type="http://schemas.openxmlformats.org/officeDocument/2006/relationships/hyperlink" Id="rId161" Target="https://doi.org/10.21105/joss.01686" TargetMode="External" /><Relationship Type="http://schemas.openxmlformats.org/officeDocument/2006/relationships/hyperlink" Id="rId128" Target="https://doi.org/10.21105/joss.02445" TargetMode="External" /><Relationship Type="http://schemas.openxmlformats.org/officeDocument/2006/relationships/hyperlink" Id="rId136" Target="https://doi.org/10.26481/dis.20191115mm" TargetMode="External" /><Relationship Type="http://schemas.openxmlformats.org/officeDocument/2006/relationships/hyperlink" Id="rId126"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16" Target="https://doi.org/10.5281/zenodo.3879620" TargetMode="External" /><Relationship Type="http://schemas.openxmlformats.org/officeDocument/2006/relationships/hyperlink" Id="rId112" Target="https://doi.org/b254c6" TargetMode="External" /><Relationship Type="http://schemas.openxmlformats.org/officeDocument/2006/relationships/hyperlink" Id="rId81" Target="https://doi.org/b7r3m4" TargetMode="External" /><Relationship Type="http://schemas.openxmlformats.org/officeDocument/2006/relationships/hyperlink" Id="rId153" Target="https://doi.org/bhqn85" TargetMode="External" /><Relationship Type="http://schemas.openxmlformats.org/officeDocument/2006/relationships/hyperlink" Id="rId104" Target="https://doi.org/f5cxhb" TargetMode="External" /><Relationship Type="http://schemas.openxmlformats.org/officeDocument/2006/relationships/hyperlink" Id="rId159" Target="https://doi.org/f8jcxn" TargetMode="External" /><Relationship Type="http://schemas.openxmlformats.org/officeDocument/2006/relationships/hyperlink" Id="rId157" Target="https://doi.org/f8n843" TargetMode="External" /><Relationship Type="http://schemas.openxmlformats.org/officeDocument/2006/relationships/hyperlink" Id="rId167" Target="https://doi.org/ft7mjn" TargetMode="External" /><Relationship Type="http://schemas.openxmlformats.org/officeDocument/2006/relationships/hyperlink" Id="rId96"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tj9h" TargetMode="External" /><Relationship Type="http://schemas.openxmlformats.org/officeDocument/2006/relationships/hyperlink" Id="rId122" Target="https://doi.org/gfmd6w" TargetMode="External" /><Relationship Type="http://schemas.openxmlformats.org/officeDocument/2006/relationships/hyperlink" Id="rId118" Target="https://doi.org/gfvh58" TargetMode="External" /><Relationship Type="http://schemas.openxmlformats.org/officeDocument/2006/relationships/hyperlink" Id="rId102" Target="https://doi.org/ggb8qd" TargetMode="External" /><Relationship Type="http://schemas.openxmlformats.org/officeDocument/2006/relationships/hyperlink" Id="rId106" Target="https://doi.org/ggf5d6" TargetMode="External" /><Relationship Type="http://schemas.openxmlformats.org/officeDocument/2006/relationships/hyperlink" Id="rId155" Target="https://doi.org/ghp4k7" TargetMode="External" /><Relationship Type="http://schemas.openxmlformats.org/officeDocument/2006/relationships/hyperlink" Id="rId132" Target="https://doi.org/gj59n7" TargetMode="External" /><Relationship Type="http://schemas.openxmlformats.org/officeDocument/2006/relationships/hyperlink" Id="rId98" Target="https://doi.org/gj7gh7" TargetMode="External" /><Relationship Type="http://schemas.openxmlformats.org/officeDocument/2006/relationships/hyperlink" Id="rId147" Target="https://doi.org/gjh5cc" TargetMode="External" /><Relationship Type="http://schemas.openxmlformats.org/officeDocument/2006/relationships/hyperlink" Id="rId92" Target="https://doi.org/gjqwbs" TargetMode="External" /><Relationship Type="http://schemas.openxmlformats.org/officeDocument/2006/relationships/hyperlink" Id="rId114" Target="https://doi.org/gjqzzj" TargetMode="External" /><Relationship Type="http://schemas.openxmlformats.org/officeDocument/2006/relationships/hyperlink" Id="rId83" Target="https://doi.org/gk5dzv" TargetMode="External" /><Relationship Type="http://schemas.openxmlformats.org/officeDocument/2006/relationships/hyperlink" Id="rId100" Target="https://doi.org/gnbxdn" TargetMode="External" /><Relationship Type="http://schemas.openxmlformats.org/officeDocument/2006/relationships/hyperlink" Id="rId178" Target="https://doi.org/gnsdkr" TargetMode="External" /><Relationship Type="http://schemas.openxmlformats.org/officeDocument/2006/relationships/hyperlink" Id="rId139" Target="https://doi.org/gphn59" TargetMode="External" /><Relationship Type="http://schemas.openxmlformats.org/officeDocument/2006/relationships/hyperlink" Id="rId149"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5"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3" Target="http://www.posit.co/" TargetMode="External" /><Relationship Type="http://schemas.openxmlformats.org/officeDocument/2006/relationships/hyperlink" Id="rId110" Target="https://CRAN.R-project.org/package=flextable" TargetMode="External" /><Relationship Type="http://schemas.openxmlformats.org/officeDocument/2006/relationships/hyperlink" Id="rId170" Target="https://CRAN.R-project.org/package=ggsci" TargetMode="External" /><Relationship Type="http://schemas.openxmlformats.org/officeDocument/2006/relationships/hyperlink" Id="rId165"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41" Target="https://CRAN.R-project.org/package=patchwork" TargetMode="External" /><Relationship Type="http://schemas.openxmlformats.org/officeDocument/2006/relationships/hyperlink" Id="rId75" Target="https://CRAN.R-project.org/package=quarto" TargetMode="External" /><Relationship Type="http://schemas.openxmlformats.org/officeDocument/2006/relationships/hyperlink" Id="rId163" Target="https://CRAN.R-project.org/package=readxl" TargetMode="External" /><Relationship Type="http://schemas.openxmlformats.org/officeDocument/2006/relationships/hyperlink" Id="rId130" Target="https://doi.org/10.1016/j.cortex.2017.07.014" TargetMode="External" /><Relationship Type="http://schemas.openxmlformats.org/officeDocument/2006/relationships/hyperlink" Id="rId174" Target="https://doi.org/10.1016/j.evolhumbehav.2020.08.006" TargetMode="External" /><Relationship Type="http://schemas.openxmlformats.org/officeDocument/2006/relationships/hyperlink" Id="rId108" Target="https://doi.org/10.1016/j.tics.2020.03.007" TargetMode="External" /><Relationship Type="http://schemas.openxmlformats.org/officeDocument/2006/relationships/hyperlink" Id="rId134" Target="https://doi.org/10.1037/pspi0000028" TargetMode="External" /><Relationship Type="http://schemas.openxmlformats.org/officeDocument/2006/relationships/hyperlink" Id="rId176" Target="https://doi.org/10.1037/pspi0000124" TargetMode="External" /><Relationship Type="http://schemas.openxmlformats.org/officeDocument/2006/relationships/hyperlink" Id="rId151" Target="https://doi.org/10.1111/cdev.13538" TargetMode="External" /><Relationship Type="http://schemas.openxmlformats.org/officeDocument/2006/relationships/hyperlink" Id="rId172" Target="https://doi.org/10.1111/cdev.13766" TargetMode="External" /><Relationship Type="http://schemas.openxmlformats.org/officeDocument/2006/relationships/hyperlink" Id="rId88" Target="https://doi.org/10.1146/annurev-psych-010416-044224" TargetMode="External" /><Relationship Type="http://schemas.openxmlformats.org/officeDocument/2006/relationships/hyperlink" Id="rId120" Target="https://doi.org/10.1177/2515245918770963" TargetMode="External" /><Relationship Type="http://schemas.openxmlformats.org/officeDocument/2006/relationships/hyperlink" Id="rId90" Target="https://doi.org/10.1257/aer.20201661" TargetMode="External" /><Relationship Type="http://schemas.openxmlformats.org/officeDocument/2006/relationships/hyperlink" Id="rId73" Target="https://doi.org/10.15626/MP.2020.2625" TargetMode="External" /><Relationship Type="http://schemas.openxmlformats.org/officeDocument/2006/relationships/hyperlink" Id="rId124" Target="https://doi.org/10.21105/joss.00772" TargetMode="External" /><Relationship Type="http://schemas.openxmlformats.org/officeDocument/2006/relationships/hyperlink" Id="rId161" Target="https://doi.org/10.21105/joss.01686" TargetMode="External" /><Relationship Type="http://schemas.openxmlformats.org/officeDocument/2006/relationships/hyperlink" Id="rId128" Target="https://doi.org/10.21105/joss.02445" TargetMode="External" /><Relationship Type="http://schemas.openxmlformats.org/officeDocument/2006/relationships/hyperlink" Id="rId136" Target="https://doi.org/10.26481/dis.20191115mm" TargetMode="External" /><Relationship Type="http://schemas.openxmlformats.org/officeDocument/2006/relationships/hyperlink" Id="rId126"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16" Target="https://doi.org/10.5281/zenodo.3879620" TargetMode="External" /><Relationship Type="http://schemas.openxmlformats.org/officeDocument/2006/relationships/hyperlink" Id="rId112" Target="https://doi.org/b254c6" TargetMode="External" /><Relationship Type="http://schemas.openxmlformats.org/officeDocument/2006/relationships/hyperlink" Id="rId81" Target="https://doi.org/b7r3m4" TargetMode="External" /><Relationship Type="http://schemas.openxmlformats.org/officeDocument/2006/relationships/hyperlink" Id="rId153" Target="https://doi.org/bhqn85" TargetMode="External" /><Relationship Type="http://schemas.openxmlformats.org/officeDocument/2006/relationships/hyperlink" Id="rId104" Target="https://doi.org/f5cxhb" TargetMode="External" /><Relationship Type="http://schemas.openxmlformats.org/officeDocument/2006/relationships/hyperlink" Id="rId159" Target="https://doi.org/f8jcxn" TargetMode="External" /><Relationship Type="http://schemas.openxmlformats.org/officeDocument/2006/relationships/hyperlink" Id="rId157" Target="https://doi.org/f8n843" TargetMode="External" /><Relationship Type="http://schemas.openxmlformats.org/officeDocument/2006/relationships/hyperlink" Id="rId167" Target="https://doi.org/ft7mjn" TargetMode="External" /><Relationship Type="http://schemas.openxmlformats.org/officeDocument/2006/relationships/hyperlink" Id="rId96"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tj9h" TargetMode="External" /><Relationship Type="http://schemas.openxmlformats.org/officeDocument/2006/relationships/hyperlink" Id="rId122" Target="https://doi.org/gfmd6w" TargetMode="External" /><Relationship Type="http://schemas.openxmlformats.org/officeDocument/2006/relationships/hyperlink" Id="rId118" Target="https://doi.org/gfvh58" TargetMode="External" /><Relationship Type="http://schemas.openxmlformats.org/officeDocument/2006/relationships/hyperlink" Id="rId102" Target="https://doi.org/ggb8qd" TargetMode="External" /><Relationship Type="http://schemas.openxmlformats.org/officeDocument/2006/relationships/hyperlink" Id="rId106" Target="https://doi.org/ggf5d6" TargetMode="External" /><Relationship Type="http://schemas.openxmlformats.org/officeDocument/2006/relationships/hyperlink" Id="rId155" Target="https://doi.org/ghp4k7" TargetMode="External" /><Relationship Type="http://schemas.openxmlformats.org/officeDocument/2006/relationships/hyperlink" Id="rId132" Target="https://doi.org/gj59n7" TargetMode="External" /><Relationship Type="http://schemas.openxmlformats.org/officeDocument/2006/relationships/hyperlink" Id="rId98" Target="https://doi.org/gj7gh7" TargetMode="External" /><Relationship Type="http://schemas.openxmlformats.org/officeDocument/2006/relationships/hyperlink" Id="rId147" Target="https://doi.org/gjh5cc" TargetMode="External" /><Relationship Type="http://schemas.openxmlformats.org/officeDocument/2006/relationships/hyperlink" Id="rId92" Target="https://doi.org/gjqwbs" TargetMode="External" /><Relationship Type="http://schemas.openxmlformats.org/officeDocument/2006/relationships/hyperlink" Id="rId114" Target="https://doi.org/gjqzzj" TargetMode="External" /><Relationship Type="http://schemas.openxmlformats.org/officeDocument/2006/relationships/hyperlink" Id="rId83" Target="https://doi.org/gk5dzv" TargetMode="External" /><Relationship Type="http://schemas.openxmlformats.org/officeDocument/2006/relationships/hyperlink" Id="rId100" Target="https://doi.org/gnbxdn" TargetMode="External" /><Relationship Type="http://schemas.openxmlformats.org/officeDocument/2006/relationships/hyperlink" Id="rId178" Target="https://doi.org/gnsdkr" TargetMode="External" /><Relationship Type="http://schemas.openxmlformats.org/officeDocument/2006/relationships/hyperlink" Id="rId139" Target="https://doi.org/gphn59" TargetMode="External" /><Relationship Type="http://schemas.openxmlformats.org/officeDocument/2006/relationships/hyperlink" Id="rId149"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5"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2023-05-01T15:02:26Z</dcterms:created>
  <dcterms:modified xsi:type="dcterms:W3CDTF">2023-05-01T15:02:26Z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