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p>
    <w:p>
      <w:pPr>
        <w:pStyle w:val="FirstParagraph"/>
      </w:pPr>
      <w:r>
        <w:rPr>
          <w:iCs/>
          <w:i/>
        </w:rPr>
        <w:t xml:space="preserve">Last updated on Friday, March 10, 2023 at 06:46 PM</w:t>
      </w:r>
    </w:p>
    <w:bookmarkStart w:id="20" w:name="overview"/>
    <w:p>
      <w:pPr>
        <w:pStyle w:val="Heading2"/>
      </w:pPr>
      <w:r>
        <w:t xml:space="preserve">Overview</w:t>
      </w:r>
    </w:p>
    <w:p>
      <w:pPr>
        <w:pStyle w:val="FirstParagraph"/>
      </w:pPr>
      <w:r>
        <w:t xml:space="preserve">This preregistration document is based on</w:t>
      </w:r>
      <w:r>
        <w:t xml:space="preserve"> </w:t>
      </w:r>
      <w:r>
        <w:t xml:space="preserve">(</w:t>
      </w:r>
      <w:hyperlink w:anchor="ref-akker2021">
        <w:r>
          <w:rPr>
            <w:rStyle w:val="Hyperlink"/>
          </w:rPr>
          <w:t xml:space="preserve">Akker et al., 2021</w:t>
        </w:r>
      </w:hyperlink>
      <w:r>
        <w:t xml:space="preserve">)</w:t>
      </w:r>
      <w:r>
        <w:t xml:space="preserve"> </w:t>
      </w:r>
      <w:r>
        <w:t xml:space="preserve">for secondary data analyses. There are six parts, which you can jump to following the links below:</w:t>
      </w:r>
    </w:p>
    <w:p>
      <w:pPr>
        <w:numPr>
          <w:ilvl w:val="0"/>
          <w:numId w:val="1001"/>
        </w:numPr>
        <w:pStyle w:val="Compact"/>
      </w:pPr>
      <w:hyperlink w:anchor="part-1---study-information">
        <w:r>
          <w:rPr>
            <w:rStyle w:val="Hyperlink"/>
          </w:rPr>
          <w:t xml:space="preserve">Part 1 - Study information</w:t>
        </w:r>
      </w:hyperlink>
    </w:p>
    <w:p>
      <w:pPr>
        <w:numPr>
          <w:ilvl w:val="0"/>
          <w:numId w:val="1001"/>
        </w:numPr>
        <w:pStyle w:val="Compact"/>
      </w:pPr>
      <w:hyperlink w:anchor="part-2---data-description">
        <w:r>
          <w:rPr>
            <w:rStyle w:val="Hyperlink"/>
          </w:rPr>
          <w:t xml:space="preserve">Part 2 - Data Description</w:t>
        </w:r>
      </w:hyperlink>
    </w:p>
    <w:p>
      <w:pPr>
        <w:numPr>
          <w:ilvl w:val="0"/>
          <w:numId w:val="1001"/>
        </w:numPr>
        <w:pStyle w:val="Compact"/>
      </w:pPr>
      <w:hyperlink w:anchor="part-3---variables">
        <w:r>
          <w:rPr>
            <w:rStyle w:val="Hyperlink"/>
          </w:rPr>
          <w:t xml:space="preserve">Part 3 - Variables</w:t>
        </w:r>
      </w:hyperlink>
    </w:p>
    <w:p>
      <w:pPr>
        <w:numPr>
          <w:ilvl w:val="0"/>
          <w:numId w:val="1001"/>
        </w:numPr>
        <w:pStyle w:val="Compact"/>
      </w:pPr>
      <w:hyperlink w:anchor="part-4---knowledge-of-data">
        <w:r>
          <w:rPr>
            <w:rStyle w:val="Hyperlink"/>
          </w:rPr>
          <w:t xml:space="preserve">Part 4 - Knowledge of Data</w:t>
        </w:r>
      </w:hyperlink>
    </w:p>
    <w:p>
      <w:pPr>
        <w:numPr>
          <w:ilvl w:val="0"/>
          <w:numId w:val="1001"/>
        </w:numPr>
        <w:pStyle w:val="Compact"/>
      </w:pPr>
      <w:hyperlink w:anchor="part-5---analyses">
        <w:r>
          <w:rPr>
            <w:rStyle w:val="Hyperlink"/>
          </w:rPr>
          <w:t xml:space="preserve">Part 5 - Analyses</w:t>
        </w:r>
      </w:hyperlink>
    </w:p>
    <w:p>
      <w:pPr>
        <w:numPr>
          <w:ilvl w:val="0"/>
          <w:numId w:val="1001"/>
        </w:numPr>
        <w:pStyle w:val="Compact"/>
      </w:pPr>
      <w:hyperlink w:anchor="part-6---statement-of-integrity">
        <w:r>
          <w:rPr>
            <w:rStyle w:val="Hyperlink"/>
          </w:rPr>
          <w:t xml:space="preserve">Part 6 - Statement of Integrity</w:t>
        </w:r>
      </w:hyperlink>
    </w:p>
    <w:bookmarkEnd w:id="20"/>
    <w:bookmarkStart w:id="36" w:name="part-1---study-information"/>
    <w:p>
      <w:pPr>
        <w:pStyle w:val="Heading2"/>
      </w:pPr>
      <w:r>
        <w:t xml:space="preserve">Part 1 - Study Information</w:t>
      </w:r>
    </w:p>
    <w:bookmarkStart w:id="21" w:name="q1-title"/>
    <w:p>
      <w:pPr>
        <w:pStyle w:val="Heading3"/>
      </w:pPr>
      <w:r>
        <w:t xml:space="preserve">Q1: Title</w:t>
      </w:r>
    </w:p>
    <w:p>
      <w:pPr>
        <w:pStyle w:val="FirstParagraph"/>
      </w:pPr>
      <w:r>
        <w:t xml:space="preserve">“</w:t>
      </w:r>
      <w:r>
        <w:t xml:space="preserve">Within-person cognitive performance across abilities among adversity-exposed people in the SECCYD</w:t>
      </w:r>
      <w:r>
        <w:t xml:space="preserve">”</w:t>
      </w:r>
    </w:p>
    <w:bookmarkEnd w:id="21"/>
    <w:bookmarkStart w:id="33" w:name="q2-authors"/>
    <w:p>
      <w:pPr>
        <w:pStyle w:val="Heading3"/>
      </w:pPr>
      <w:r>
        <w:t xml:space="preserve">Q2: Authors</w:t>
      </w:r>
    </w:p>
    <w:p>
      <w:pPr>
        <w:numPr>
          <w:ilvl w:val="0"/>
          <w:numId w:val="1002"/>
        </w:numPr>
        <w:pStyle w:val="Compact"/>
      </w:pPr>
      <w:hyperlink r:id="rId22">
        <w:r>
          <w:rPr>
            <w:rStyle w:val="Hyperlink"/>
          </w:rPr>
          <w:t xml:space="preserve">Ethan S. Young</w:t>
        </w:r>
      </w:hyperlink>
      <w:r>
        <w:t xml:space="preserve">1</w:t>
      </w:r>
      <w:r>
        <w:t xml:space="preserve"> </w:t>
      </w:r>
      <w:hyperlink r:id="rId23"/>
    </w:p>
    <w:p>
      <w:pPr>
        <w:numPr>
          <w:ilvl w:val="0"/>
          <w:numId w:val="1002"/>
        </w:numPr>
        <w:pStyle w:val="Compact"/>
      </w:pPr>
      <w:hyperlink r:id="rId24">
        <w:r>
          <w:rPr>
            <w:rStyle w:val="Hyperlink"/>
          </w:rPr>
          <w:t xml:space="preserve">Stefan Vermeent</w:t>
        </w:r>
      </w:hyperlink>
      <w:r>
        <w:t xml:space="preserve">1, 2</w:t>
      </w:r>
      <w:hyperlink r:id="rId25"/>
    </w:p>
    <w:p>
      <w:pPr>
        <w:numPr>
          <w:ilvl w:val="0"/>
          <w:numId w:val="1002"/>
        </w:numPr>
        <w:pStyle w:val="Compact"/>
      </w:pPr>
      <w:hyperlink r:id="rId26">
        <w:r>
          <w:rPr>
            <w:rStyle w:val="Hyperlink"/>
          </w:rPr>
          <w:t xml:space="preserve">Willem E. Frankenhuis</w:t>
        </w:r>
      </w:hyperlink>
      <w:r>
        <w:t xml:space="preserve">1, 2</w:t>
      </w:r>
    </w:p>
    <w:p>
      <w:pPr>
        <w:numPr>
          <w:ilvl w:val="0"/>
          <w:numId w:val="1002"/>
        </w:numPr>
        <w:pStyle w:val="Compact"/>
      </w:pPr>
      <w:hyperlink r:id="rId27">
        <w:r>
          <w:rPr>
            <w:rStyle w:val="Hyperlink"/>
          </w:rPr>
          <w:t xml:space="preserve">Marissa Nivison</w:t>
        </w:r>
      </w:hyperlink>
      <w:r>
        <w:t xml:space="preserve">3</w:t>
      </w:r>
      <w:r>
        <w:t xml:space="preserve"> </w:t>
      </w:r>
      <w:hyperlink r:id="rId28"/>
    </w:p>
    <w:p>
      <w:pPr>
        <w:numPr>
          <w:ilvl w:val="0"/>
          <w:numId w:val="1002"/>
        </w:numPr>
        <w:pStyle w:val="Compact"/>
      </w:pPr>
      <w:hyperlink r:id="rId29">
        <w:r>
          <w:rPr>
            <w:rStyle w:val="Hyperlink"/>
          </w:rPr>
          <w:t xml:space="preserve">Jeffry A.Simpson</w:t>
        </w:r>
      </w:hyperlink>
      <w:r>
        <w:t xml:space="preserve">3</w:t>
      </w:r>
      <w:r>
        <w:t xml:space="preserve"> </w:t>
      </w:r>
      <w:hyperlink r:id="rId30"/>
    </w:p>
    <w:p>
      <w:pPr>
        <w:numPr>
          <w:ilvl w:val="0"/>
          <w:numId w:val="1002"/>
        </w:numPr>
        <w:pStyle w:val="Compact"/>
      </w:pPr>
      <w:hyperlink r:id="rId31">
        <w:r>
          <w:rPr>
            <w:rStyle w:val="Hyperlink"/>
          </w:rPr>
          <w:t xml:space="preserve">Glenn I. Roisman</w:t>
        </w:r>
      </w:hyperlink>
      <w:r>
        <w:t xml:space="preserve">3</w:t>
      </w:r>
      <w:r>
        <w:t xml:space="preserve"> </w:t>
      </w:r>
      <w:hyperlink r:id="rId32"/>
    </w:p>
    <w:p>
      <w:pPr>
        <w:pStyle w:val="FirstParagraph"/>
      </w:pPr>
      <w:r>
        <w:t xml:space="preserve">1</w:t>
      </w:r>
      <w:r>
        <w:t xml:space="preserve">Utrecht University</w:t>
      </w:r>
    </w:p>
    <w:p>
      <w:pPr>
        <w:pStyle w:val="BodyText"/>
      </w:pPr>
      <w:r>
        <w:t xml:space="preserve">2</w:t>
      </w:r>
      <w:r>
        <w:t xml:space="preserve">Max Planck Institute for the Study of Crime, Security and Law</w:t>
      </w:r>
    </w:p>
    <w:p>
      <w:pPr>
        <w:pStyle w:val="BodyText"/>
      </w:pPr>
      <w:r>
        <w:t xml:space="preserve">3</w:t>
      </w:r>
      <w:r>
        <w:t xml:space="preserve">University of Minnesota</w:t>
      </w:r>
    </w:p>
    <w:bookmarkEnd w:id="33"/>
    <w:bookmarkStart w:id="34" w:name="q3-research-questions"/>
    <w:p>
      <w:pPr>
        <w:pStyle w:val="Heading3"/>
      </w:pPr>
      <w:r>
        <w:t xml:space="preserve">Q3: Research Questions</w:t>
      </w:r>
    </w:p>
    <w:p>
      <w:pPr>
        <w:pStyle w:val="FirstParagraph"/>
      </w:pPr>
      <w:r>
        <w:t xml:space="preserve">*Note that some research questions/hypotheses use causal language. Although we are most interested in these causal questions, the data are observational. We retain the causal language here but will use non-causal language when relating any statistical test to these questions/hypotheses.</w:t>
      </w:r>
    </w:p>
    <w:p>
      <w:pPr>
        <w:pStyle w:val="BodyText"/>
      </w:pPr>
      <w:r>
        <w:rPr>
          <w:bCs/>
          <w:b/>
        </w:rPr>
        <w:t xml:space="preserve">R1:</w:t>
      </w:r>
      <w:r>
        <w:t xml:space="preserve"> </w:t>
      </w:r>
      <w:r>
        <w:t xml:space="preserve">How does adversity relate to overall performance compared to subtest performance on large cognitive test batteries? In other words, how does adversity relate to broad testing scores compared with more narrow subtest scores?</w:t>
      </w:r>
    </w:p>
    <w:p>
      <w:pPr>
        <w:pStyle w:val="BodyText"/>
      </w:pPr>
      <w:r>
        <w:rPr>
          <w:bCs/>
          <w:b/>
        </w:rPr>
        <w:t xml:space="preserve">R2:</w:t>
      </w:r>
      <w:r>
        <w:t xml:space="preserve"> </w:t>
      </w:r>
      <w:r>
        <w:t xml:space="preserve">How do impairment and enhancements in cognitive performance manifest across many cognitive domains?</w:t>
      </w:r>
    </w:p>
    <w:p>
      <w:pPr>
        <w:pStyle w:val="BodyText"/>
      </w:pPr>
      <w:r>
        <w:rPr>
          <w:bCs/>
          <w:b/>
        </w:rPr>
        <w:t xml:space="preserve">R3:</w:t>
      </w:r>
      <w:r>
        <w:t xml:space="preserve"> </w:t>
      </w:r>
      <w:r>
        <w:t xml:space="preserve">Do different adversity dimensions have similar or different patterns of effects across broad and narrow cognitive performance measures?</w:t>
      </w:r>
    </w:p>
    <w:p>
      <w:pPr>
        <w:pStyle w:val="BodyText"/>
      </w:pPr>
      <w:r>
        <w:rPr>
          <w:bCs/>
          <w:b/>
        </w:rPr>
        <w:t xml:space="preserve">R4:</w:t>
      </w:r>
      <w:r>
        <w:t xml:space="preserve"> </w:t>
      </w:r>
      <w:r>
        <w:t xml:space="preserve">Are the effects of adversity test-specific or test-general?</w:t>
      </w:r>
    </w:p>
    <w:p>
      <w:pPr>
        <w:pStyle w:val="BodyText"/>
      </w:pPr>
      <w:r>
        <w:t xml:space="preserve">(Not sure that I want to keep R4 yet)</w:t>
      </w:r>
    </w:p>
    <w:bookmarkEnd w:id="34"/>
    <w:bookmarkStart w:id="35" w:name="q4-hypotheses"/>
    <w:p>
      <w:pPr>
        <w:pStyle w:val="Heading3"/>
      </w:pPr>
      <w:r>
        <w:t xml:space="preserve">Q4: Hypotheses</w:t>
      </w:r>
    </w:p>
    <w:p>
      <w:pPr>
        <w:pStyle w:val="FirstParagraph"/>
      </w:pPr>
      <w:r>
        <w:rPr>
          <w:bCs/>
          <w:b/>
        </w:rPr>
        <w:t xml:space="preserve">H1:</w:t>
      </w:r>
      <w:r>
        <w:t xml:space="preserve"> </w:t>
      </w:r>
      <w:r>
        <w:t xml:space="preserve">We expect harshness and/or unpredictability to be associated with a lower overall within-person Woodcock Johnson (WJ) cognitive ability score (sum coded within-person intercept) .</w:t>
      </w:r>
    </w:p>
    <w:p>
      <w:pPr>
        <w:pStyle w:val="BodyText"/>
      </w:pPr>
      <w:r>
        <w:rPr>
          <w:bCs/>
          <w:b/>
        </w:rPr>
        <w:t xml:space="preserve">H2:</w:t>
      </w:r>
      <w:r>
        <w:t xml:space="preserve"> </w:t>
      </w:r>
      <w:r>
        <w:t xml:space="preserve">Compared with overall WJ scores, the effect of harshness and/or unpredictability will vary; some sub-tests will show lowered performance whereas others remain</w:t>
      </w:r>
      <w:r>
        <w:t xml:space="preserve"> </w:t>
      </w:r>
      <w:r>
        <w:t xml:space="preserve">‘</w:t>
      </w:r>
      <w:r>
        <w:t xml:space="preserve">intact</w:t>
      </w:r>
      <w:r>
        <w:t xml:space="preserve">’</w:t>
      </w:r>
      <w:r>
        <w:t xml:space="preserve">.</w:t>
      </w:r>
    </w:p>
    <w:p>
      <w:pPr>
        <w:pStyle w:val="BodyText"/>
      </w:pPr>
      <w:r>
        <w:rPr>
          <w:bCs/>
          <w:b/>
        </w:rPr>
        <w:t xml:space="preserve">H3:</w:t>
      </w:r>
      <w:r>
        <w:t xml:space="preserve"> </w:t>
      </w:r>
      <w:r>
        <w:t xml:space="preserve">If any sub-tests remain intact (or enhanced), they will be tests that depend less on formal crystallized knowledge and reading ability (i.e., short term memory, auditory processing, fluid intelligence).</w:t>
      </w:r>
    </w:p>
    <w:bookmarkEnd w:id="35"/>
    <w:bookmarkEnd w:id="36"/>
    <w:bookmarkStart w:id="54" w:name="part-2---data-description"/>
    <w:p>
      <w:pPr>
        <w:pStyle w:val="Heading2"/>
      </w:pPr>
      <w:r>
        <w:t xml:space="preserve">Part 2 - Data Description</w:t>
      </w:r>
    </w:p>
    <w:bookmarkStart w:id="42" w:name="q5-dataset"/>
    <w:p>
      <w:pPr>
        <w:pStyle w:val="Heading3"/>
      </w:pPr>
      <w:r>
        <w:t xml:space="preserve">Q5: Dataset</w:t>
      </w:r>
    </w:p>
    <w:p>
      <w:pPr>
        <w:pStyle w:val="FirstParagraph"/>
      </w:pPr>
      <w:r>
        <w:t xml:space="preserve">We will use data from the National Institute of Child Health and Development (NICHD) Study of Early Childcare and Youth Development</w:t>
      </w:r>
      <w:r>
        <w:t xml:space="preserve"> </w:t>
      </w:r>
      <w:r>
        <w:t xml:space="preserve">(</w:t>
      </w:r>
      <w:hyperlink r:id="rId37">
        <w:r>
          <w:rPr>
            <w:rStyle w:val="Hyperlink"/>
          </w:rPr>
          <w:t xml:space="preserve">SECCYD</w:t>
        </w:r>
      </w:hyperlink>
      <w:r>
        <w:t xml:space="preserve">,</w:t>
      </w:r>
      <w:r>
        <w:t xml:space="preserve"> </w:t>
      </w:r>
      <w:hyperlink w:anchor="Xc7c4e0c9d0e2771cb119bb9b72213bbaf258b7d">
        <w:r>
          <w:rPr>
            <w:rStyle w:val="Hyperlink"/>
          </w:rPr>
          <w:t xml:space="preserve">Network, 2005</w:t>
        </w:r>
      </w:hyperlink>
      <w:r>
        <w:t xml:space="preserve">)</w:t>
      </w:r>
      <w:r>
        <w:t xml:space="preserve">. The SECCYD was conducted in four waves across multiple sites and designed to be nationally representative, prospective, longitudinal study. The broad research goals of the study was to investigate the relation between childcare and development from infancy through adolescence and into early adulthood. Families were recruited for the NICHD SECCYD in 1991. A total of 1364 families met all the prescreening criteria. Below are detailed descriptions of each study phase:</w:t>
      </w:r>
    </w:p>
    <w:p>
      <w:pPr>
        <w:numPr>
          <w:ilvl w:val="0"/>
          <w:numId w:val="1003"/>
        </w:numPr>
        <w:pStyle w:val="Compact"/>
      </w:pPr>
      <w:hyperlink r:id="rId38">
        <w:r>
          <w:rPr>
            <w:rStyle w:val="Hyperlink"/>
          </w:rPr>
          <w:t xml:space="preserve">Phase 1 (1991-1994)</w:t>
        </w:r>
      </w:hyperlink>
    </w:p>
    <w:p>
      <w:pPr>
        <w:numPr>
          <w:ilvl w:val="0"/>
          <w:numId w:val="1003"/>
        </w:numPr>
        <w:pStyle w:val="Compact"/>
      </w:pPr>
      <w:hyperlink r:id="rId39">
        <w:r>
          <w:rPr>
            <w:rStyle w:val="Hyperlink"/>
          </w:rPr>
          <w:t xml:space="preserve">Phase 2 (1995-1999)</w:t>
        </w:r>
      </w:hyperlink>
    </w:p>
    <w:p>
      <w:pPr>
        <w:numPr>
          <w:ilvl w:val="0"/>
          <w:numId w:val="1003"/>
        </w:numPr>
        <w:pStyle w:val="Compact"/>
      </w:pPr>
      <w:hyperlink r:id="rId40">
        <w:r>
          <w:rPr>
            <w:rStyle w:val="Hyperlink"/>
          </w:rPr>
          <w:t xml:space="preserve">Phase 3 (2000-2004)</w:t>
        </w:r>
      </w:hyperlink>
    </w:p>
    <w:p>
      <w:pPr>
        <w:numPr>
          <w:ilvl w:val="0"/>
          <w:numId w:val="1003"/>
        </w:numPr>
        <w:pStyle w:val="Compact"/>
      </w:pPr>
      <w:hyperlink r:id="rId41">
        <w:r>
          <w:rPr>
            <w:rStyle w:val="Hyperlink"/>
          </w:rPr>
          <w:t xml:space="preserve">Phase 4 (2005-2007)</w:t>
        </w:r>
      </w:hyperlink>
    </w:p>
    <w:bookmarkEnd w:id="42"/>
    <w:bookmarkStart w:id="44" w:name="q6-public-availability"/>
    <w:p>
      <w:pPr>
        <w:pStyle w:val="Heading3"/>
      </w:pPr>
      <w:r>
        <w:t xml:space="preserve">Q6: Public Availability</w:t>
      </w:r>
    </w:p>
    <w:p>
      <w:pPr>
        <w:pStyle w:val="FirstParagraph"/>
      </w:pPr>
      <w:r>
        <w:t xml:space="preserve">Data are publicly available. However, users must make an account with ISCPR (see</w:t>
      </w:r>
      <w:r>
        <w:t xml:space="preserve"> </w:t>
      </w:r>
      <w:hyperlink r:id="rId43">
        <w:r>
          <w:rPr>
            <w:rStyle w:val="Hyperlink"/>
          </w:rPr>
          <w:t xml:space="preserve">here</w:t>
        </w:r>
      </w:hyperlink>
      <w:r>
        <w:t xml:space="preserve">) anmd must sign a data use agreement. Users must also provide details about how data will be used (e.g., project description) and information (e.g., IRB approval). For each study phase, see more information about data access under</w:t>
      </w:r>
      <w:r>
        <w:t xml:space="preserve"> </w:t>
      </w:r>
      <w:r>
        <w:t xml:space="preserve">“</w:t>
      </w:r>
      <w:r>
        <w:t xml:space="preserve">Access Restricted Data</w:t>
      </w:r>
      <w:r>
        <w:t xml:space="preserve">”</w:t>
      </w:r>
      <w:r>
        <w:t xml:space="preserve"> </w:t>
      </w:r>
      <w:r>
        <w:t xml:space="preserve">tab.</w:t>
      </w:r>
    </w:p>
    <w:bookmarkEnd w:id="44"/>
    <w:bookmarkStart w:id="45" w:name="q7-data-access"/>
    <w:p>
      <w:pPr>
        <w:pStyle w:val="Heading3"/>
      </w:pPr>
      <w:r>
        <w:t xml:space="preserve">Q7: Data Access</w:t>
      </w:r>
    </w:p>
    <w:p>
      <w:pPr>
        <w:pStyle w:val="FirstParagraph"/>
      </w:pPr>
      <w:r>
        <w:t xml:space="preserve">Data can be accessed through the following links.</w:t>
      </w:r>
    </w:p>
    <w:p>
      <w:pPr>
        <w:numPr>
          <w:ilvl w:val="0"/>
          <w:numId w:val="1004"/>
        </w:numPr>
        <w:pStyle w:val="Compact"/>
      </w:pPr>
      <w:hyperlink r:id="rId38">
        <w:r>
          <w:rPr>
            <w:rStyle w:val="Hyperlink"/>
          </w:rPr>
          <w:t xml:space="preserve">Phase 1 (1991-1994)</w:t>
        </w:r>
      </w:hyperlink>
      <w:r>
        <w:t xml:space="preserve">, doi: https://doi.org/10.3886/ICPSR21940.v6</w:t>
      </w:r>
    </w:p>
    <w:p>
      <w:pPr>
        <w:numPr>
          <w:ilvl w:val="0"/>
          <w:numId w:val="1004"/>
        </w:numPr>
        <w:pStyle w:val="Compact"/>
      </w:pPr>
      <w:hyperlink r:id="rId39">
        <w:r>
          <w:rPr>
            <w:rStyle w:val="Hyperlink"/>
          </w:rPr>
          <w:t xml:space="preserve">Phase 2 (1995-1999)</w:t>
        </w:r>
      </w:hyperlink>
      <w:r>
        <w:t xml:space="preserve">, doi: https://doi.org/10.3886/ICPSR21941.v5</w:t>
      </w:r>
    </w:p>
    <w:p>
      <w:pPr>
        <w:numPr>
          <w:ilvl w:val="0"/>
          <w:numId w:val="1004"/>
        </w:numPr>
        <w:pStyle w:val="Compact"/>
      </w:pPr>
      <w:hyperlink r:id="rId40">
        <w:r>
          <w:rPr>
            <w:rStyle w:val="Hyperlink"/>
          </w:rPr>
          <w:t xml:space="preserve">Phase 3 (2000-2004)</w:t>
        </w:r>
      </w:hyperlink>
      <w:r>
        <w:t xml:space="preserve">, doi: https://doi.org/10.3886/ICPSR21942.v6</w:t>
      </w:r>
    </w:p>
    <w:p>
      <w:pPr>
        <w:numPr>
          <w:ilvl w:val="0"/>
          <w:numId w:val="1004"/>
        </w:numPr>
        <w:pStyle w:val="Compact"/>
      </w:pPr>
      <w:hyperlink r:id="rId41">
        <w:r>
          <w:rPr>
            <w:rStyle w:val="Hyperlink"/>
          </w:rPr>
          <w:t xml:space="preserve">Phase 4 (2005-2007)</w:t>
        </w:r>
      </w:hyperlink>
      <w:r>
        <w:t xml:space="preserve">, doi: https://doi.org/10.3886/ICPSR22361.v5</w:t>
      </w:r>
    </w:p>
    <w:bookmarkEnd w:id="45"/>
    <w:bookmarkStart w:id="46" w:name="q8-date-of-download"/>
    <w:p>
      <w:pPr>
        <w:pStyle w:val="Heading3"/>
      </w:pPr>
      <w:r>
        <w:t xml:space="preserve">Q8: Date of Download</w:t>
      </w:r>
    </w:p>
    <w:p>
      <w:pPr>
        <w:numPr>
          <w:ilvl w:val="0"/>
          <w:numId w:val="1005"/>
        </w:numPr>
        <w:pStyle w:val="Compact"/>
      </w:pPr>
      <w:r>
        <w:t xml:space="preserve">Ethan Young (lead author and data analyst)</w:t>
      </w:r>
    </w:p>
    <w:p>
      <w:pPr>
        <w:numPr>
          <w:ilvl w:val="1"/>
          <w:numId w:val="1006"/>
        </w:numPr>
        <w:pStyle w:val="Compact"/>
      </w:pPr>
      <w:r>
        <w:t xml:space="preserve">Accessed data for the dependent variables on February 3rd, 2022</w:t>
      </w:r>
    </w:p>
    <w:p>
      <w:pPr>
        <w:numPr>
          <w:ilvl w:val="1"/>
          <w:numId w:val="1006"/>
        </w:numPr>
        <w:pStyle w:val="Compact"/>
      </w:pPr>
      <w:r>
        <w:t xml:space="preserve">Accessed data for the independent variables on March 2nd, 2023</w:t>
      </w:r>
    </w:p>
    <w:p>
      <w:pPr>
        <w:numPr>
          <w:ilvl w:val="0"/>
          <w:numId w:val="1005"/>
        </w:numPr>
        <w:pStyle w:val="Compact"/>
      </w:pPr>
      <w:r>
        <w:t xml:space="preserve">Stefan Vermeent will not access the data</w:t>
      </w:r>
    </w:p>
    <w:p>
      <w:pPr>
        <w:numPr>
          <w:ilvl w:val="0"/>
          <w:numId w:val="1005"/>
        </w:numPr>
        <w:pStyle w:val="Compact"/>
      </w:pPr>
      <w:r>
        <w:t xml:space="preserve">Willem Frankenhuis will not access the data</w:t>
      </w:r>
    </w:p>
    <w:p>
      <w:pPr>
        <w:numPr>
          <w:ilvl w:val="0"/>
          <w:numId w:val="1005"/>
        </w:numPr>
        <w:pStyle w:val="Compact"/>
      </w:pPr>
      <w:r>
        <w:t xml:space="preserve">Marissa Nivison has access to the full dataset</w:t>
      </w:r>
    </w:p>
    <w:p>
      <w:pPr>
        <w:numPr>
          <w:ilvl w:val="0"/>
          <w:numId w:val="1005"/>
        </w:numPr>
        <w:pStyle w:val="Compact"/>
      </w:pPr>
      <w:r>
        <w:t xml:space="preserve">Jeffry Simpson will not access the data</w:t>
      </w:r>
    </w:p>
    <w:p>
      <w:pPr>
        <w:numPr>
          <w:ilvl w:val="0"/>
          <w:numId w:val="1005"/>
        </w:numPr>
        <w:pStyle w:val="Compact"/>
      </w:pPr>
      <w:r>
        <w:t xml:space="preserve">Glenn Roisman has access to the full data set</w:t>
      </w:r>
    </w:p>
    <w:bookmarkEnd w:id="46"/>
    <w:bookmarkStart w:id="47" w:name="q9-data-collection"/>
    <w:p>
      <w:pPr>
        <w:pStyle w:val="Heading3"/>
      </w:pPr>
      <w:r>
        <w:t xml:space="preserve">Q9: Data Collection</w:t>
      </w:r>
    </w:p>
    <w:p>
      <w:pPr>
        <w:pStyle w:val="FirstParagraph"/>
      </w:pPr>
      <w:r>
        <w:t xml:space="preserve">Detailed information about recruitment, selection procedures, measures, and study methodology can be found</w:t>
      </w:r>
      <w:r>
        <w:t xml:space="preserve"> </w:t>
      </w:r>
      <w:hyperlink r:id="rId37">
        <w:r>
          <w:rPr>
            <w:rStyle w:val="Hyperlink"/>
          </w:rPr>
          <w:t xml:space="preserve">online</w:t>
        </w:r>
      </w:hyperlink>
      <w:r>
        <w:t xml:space="preserve">.</w:t>
      </w:r>
    </w:p>
    <w:bookmarkEnd w:id="47"/>
    <w:bookmarkStart w:id="53" w:name="q10-codebooks"/>
    <w:p>
      <w:pPr>
        <w:pStyle w:val="Heading3"/>
      </w:pPr>
      <w:r>
        <w:t xml:space="preserve">Q10: Codebooks</w:t>
      </w:r>
    </w:p>
    <w:p>
      <w:pPr>
        <w:pStyle w:val="FirstParagraph"/>
      </w:pPr>
      <w:r>
        <w:t xml:space="preserve">Detailed codebooks for each study wave can be downloaded at the following links:</w:t>
      </w:r>
    </w:p>
    <w:p>
      <w:pPr>
        <w:numPr>
          <w:ilvl w:val="0"/>
          <w:numId w:val="1007"/>
        </w:numPr>
        <w:pStyle w:val="Compact"/>
      </w:pPr>
      <w:hyperlink r:id="rId48">
        <w:r>
          <w:rPr>
            <w:rStyle w:val="Hyperlink"/>
          </w:rPr>
          <w:t xml:space="preserve">Phase 1 (1991-1994)</w:t>
        </w:r>
      </w:hyperlink>
    </w:p>
    <w:p>
      <w:pPr>
        <w:numPr>
          <w:ilvl w:val="0"/>
          <w:numId w:val="1007"/>
        </w:numPr>
        <w:pStyle w:val="Compact"/>
      </w:pPr>
      <w:hyperlink r:id="rId49">
        <w:r>
          <w:rPr>
            <w:rStyle w:val="Hyperlink"/>
          </w:rPr>
          <w:t xml:space="preserve">Phase 2 (1995-1999)</w:t>
        </w:r>
      </w:hyperlink>
    </w:p>
    <w:p>
      <w:pPr>
        <w:numPr>
          <w:ilvl w:val="0"/>
          <w:numId w:val="1007"/>
        </w:numPr>
        <w:pStyle w:val="Compact"/>
      </w:pPr>
      <w:hyperlink r:id="rId50">
        <w:r>
          <w:rPr>
            <w:rStyle w:val="Hyperlink"/>
          </w:rPr>
          <w:t xml:space="preserve">Phase 3 (2000-2004)</w:t>
        </w:r>
      </w:hyperlink>
    </w:p>
    <w:p>
      <w:pPr>
        <w:numPr>
          <w:ilvl w:val="0"/>
          <w:numId w:val="1007"/>
        </w:numPr>
        <w:pStyle w:val="Compact"/>
      </w:pPr>
      <w:hyperlink r:id="rId51">
        <w:r>
          <w:rPr>
            <w:rStyle w:val="Hyperlink"/>
          </w:rPr>
          <w:t xml:space="preserve">Phase 4 (2000-2004)</w:t>
        </w:r>
      </w:hyperlink>
    </w:p>
    <w:p>
      <w:pPr>
        <w:pStyle w:val="FirstParagraph"/>
      </w:pPr>
      <w:r>
        <w:t xml:space="preserve">Once variables for this study are selected, accessed, and ready for pre-processing/analysis, codebooks will be available</w:t>
      </w:r>
      <w:r>
        <w:t xml:space="preserve"> </w:t>
      </w:r>
      <w:hyperlink r:id="rId52">
        <w:r>
          <w:rPr>
            <w:rStyle w:val="Hyperlink"/>
          </w:rPr>
          <w:t xml:space="preserve">here</w:t>
        </w:r>
      </w:hyperlink>
    </w:p>
    <w:bookmarkEnd w:id="53"/>
    <w:bookmarkEnd w:id="54"/>
    <w:bookmarkStart w:id="67" w:name="part-3---variables"/>
    <w:p>
      <w:pPr>
        <w:pStyle w:val="Heading2"/>
      </w:pPr>
      <w:r>
        <w:t xml:space="preserve">Part 3 - Variables</w:t>
      </w:r>
    </w:p>
    <w:bookmarkStart w:id="55" w:name="q11-manipulated-variables"/>
    <w:p>
      <w:pPr>
        <w:pStyle w:val="Heading3"/>
      </w:pPr>
      <w:r>
        <w:t xml:space="preserve">Q11: Manipulated Variables:</w:t>
      </w:r>
    </w:p>
    <w:p>
      <w:pPr>
        <w:pStyle w:val="FirstParagraph"/>
      </w:pPr>
      <w:r>
        <w:rPr>
          <w:bCs/>
          <w:b/>
        </w:rPr>
        <w:t xml:space="preserve">Not applicable</w:t>
      </w:r>
    </w:p>
    <w:bookmarkEnd w:id="55"/>
    <w:bookmarkStart w:id="62" w:name="q12-measured-variables"/>
    <w:p>
      <w:pPr>
        <w:pStyle w:val="Heading3"/>
      </w:pPr>
      <w:r>
        <w:t xml:space="preserve">Q12: Measured Variables</w:t>
      </w:r>
    </w:p>
    <w:bookmarkStart w:id="56" w:name="covariates"/>
    <w:p>
      <w:pPr>
        <w:pStyle w:val="Heading4"/>
      </w:pPr>
      <w:r>
        <w:t xml:space="preserve">Covariates</w:t>
      </w:r>
    </w:p>
    <w:p>
      <w:pPr>
        <w:numPr>
          <w:ilvl w:val="0"/>
          <w:numId w:val="1008"/>
        </w:numPr>
        <w:pStyle w:val="Compact"/>
      </w:pPr>
      <w:r>
        <w:t xml:space="preserve">Gender</w:t>
      </w:r>
    </w:p>
    <w:p>
      <w:pPr>
        <w:numPr>
          <w:ilvl w:val="0"/>
          <w:numId w:val="1008"/>
        </w:numPr>
        <w:pStyle w:val="Compact"/>
      </w:pPr>
      <w:r>
        <w:t xml:space="preserve">Ethnicity</w:t>
      </w:r>
    </w:p>
    <w:p>
      <w:pPr>
        <w:numPr>
          <w:ilvl w:val="0"/>
          <w:numId w:val="1008"/>
        </w:numPr>
        <w:pStyle w:val="Compact"/>
      </w:pPr>
      <w:r>
        <w:t xml:space="preserve">Maternal education</w:t>
      </w:r>
    </w:p>
    <w:p>
      <w:pPr>
        <w:numPr>
          <w:ilvl w:val="1"/>
          <w:numId w:val="1009"/>
        </w:numPr>
        <w:pStyle w:val="Compact"/>
      </w:pPr>
      <w:r>
        <w:t xml:space="preserve">1 = less than high school</w:t>
      </w:r>
    </w:p>
    <w:p>
      <w:pPr>
        <w:numPr>
          <w:ilvl w:val="1"/>
          <w:numId w:val="1009"/>
        </w:numPr>
        <w:pStyle w:val="Compact"/>
      </w:pPr>
      <w:r>
        <w:t xml:space="preserve">2 = high school or general education diploma</w:t>
      </w:r>
    </w:p>
    <w:p>
      <w:pPr>
        <w:numPr>
          <w:ilvl w:val="1"/>
          <w:numId w:val="1009"/>
        </w:numPr>
        <w:pStyle w:val="Compact"/>
      </w:pPr>
      <w:r>
        <w:t xml:space="preserve">3 = some college or vocational degree</w:t>
      </w:r>
    </w:p>
    <w:p>
      <w:pPr>
        <w:numPr>
          <w:ilvl w:val="1"/>
          <w:numId w:val="1009"/>
        </w:numPr>
        <w:pStyle w:val="Compact"/>
      </w:pPr>
      <w:r>
        <w:t xml:space="preserve">4 = college degree</w:t>
      </w:r>
    </w:p>
    <w:p>
      <w:pPr>
        <w:numPr>
          <w:ilvl w:val="1"/>
          <w:numId w:val="1009"/>
        </w:numPr>
        <w:pStyle w:val="Compact"/>
      </w:pPr>
      <w:r>
        <w:t xml:space="preserve">5 = some graduate school or master’s degree</w:t>
      </w:r>
    </w:p>
    <w:p>
      <w:pPr>
        <w:numPr>
          <w:ilvl w:val="1"/>
          <w:numId w:val="1009"/>
        </w:numPr>
        <w:pStyle w:val="Compact"/>
      </w:pPr>
      <w:r>
        <w:t xml:space="preserve">6 = graduate degree greater than a master’s degree</w:t>
      </w:r>
    </w:p>
    <w:bookmarkEnd w:id="56"/>
    <w:bookmarkStart w:id="57" w:name="independent-variables"/>
    <w:p>
      <w:pPr>
        <w:pStyle w:val="Heading4"/>
      </w:pPr>
      <w:r>
        <w:t xml:space="preserve">Independent Variables</w:t>
      </w:r>
    </w:p>
    <w:p>
      <w:pPr>
        <w:pStyle w:val="FirstParagraph"/>
      </w:pPr>
      <w:r>
        <w:t xml:space="preserve">We are interested in two constructs: environmental harshness and unpredictability. However, in the literature, and in these data specifically, there have been different approaches to measuring them. There are also other, unexplored ways to capture them. Given the exploratory nature of our approach, we plan to compute both and explore their effects.</w:t>
      </w:r>
    </w:p>
    <w:p>
      <w:pPr>
        <w:pStyle w:val="BodyText"/>
      </w:pPr>
      <w:r>
        <w:rPr>
          <w:bCs/>
          <w:b/>
        </w:rPr>
        <w:t xml:space="preserve">Unpredictability, Past Approaches</w:t>
      </w:r>
    </w:p>
    <w:p>
      <w:pPr>
        <w:numPr>
          <w:ilvl w:val="0"/>
          <w:numId w:val="1010"/>
        </w:numPr>
        <w:pStyle w:val="Compact"/>
      </w:pPr>
      <w:r>
        <w:rPr>
          <w:iCs/>
          <w:i/>
        </w:rPr>
        <w:t xml:space="preserve">Environmental Unpredictability</w:t>
      </w:r>
    </w:p>
    <w:p>
      <w:pPr>
        <w:pStyle w:val="FirstParagraph"/>
      </w:pPr>
      <w:r>
        <w:t xml:space="preserve">This measure is based on</w:t>
      </w:r>
      <w:r>
        <w:t xml:space="preserve"> </w:t>
      </w:r>
      <w:r>
        <w:t xml:space="preserve">Belsky et al. (</w:t>
      </w:r>
      <w:hyperlink w:anchor="ref-belsky2012">
        <w:r>
          <w:rPr>
            <w:rStyle w:val="Hyperlink"/>
          </w:rPr>
          <w:t xml:space="preserve">2012</w:t>
        </w:r>
      </w:hyperlink>
      <w:r>
        <w:t xml:space="preserve">)</w:t>
      </w:r>
      <w:r>
        <w:t xml:space="preserve"> </w:t>
      </w:r>
      <w:r>
        <w:t xml:space="preserve">includes three variables that are standardized and averaged together over the relevant time period:</w:t>
      </w:r>
    </w:p>
    <w:p>
      <w:pPr>
        <w:numPr>
          <w:ilvl w:val="0"/>
          <w:numId w:val="1011"/>
        </w:numPr>
        <w:pStyle w:val="Compact"/>
      </w:pPr>
      <w:r>
        <w:t xml:space="preserve">Residential changes, or changes in address.</w:t>
      </w:r>
    </w:p>
    <w:p>
      <w:pPr>
        <w:numPr>
          <w:ilvl w:val="0"/>
          <w:numId w:val="1011"/>
        </w:numPr>
        <w:pStyle w:val="Compact"/>
      </w:pPr>
      <w:r>
        <w:t xml:space="preserve">Paternal transitions, or changes in father figures moving in or out of the home.</w:t>
      </w:r>
    </w:p>
    <w:p>
      <w:pPr>
        <w:numPr>
          <w:ilvl w:val="0"/>
          <w:numId w:val="1011"/>
        </w:numPr>
        <w:pStyle w:val="Compact"/>
      </w:pPr>
      <w:r>
        <w:t xml:space="preserve">Job changes, or changes in employment status for mothers and partners.</w:t>
      </w:r>
    </w:p>
    <w:p>
      <w:pPr>
        <w:numPr>
          <w:ilvl w:val="0"/>
          <w:numId w:val="1012"/>
        </w:numPr>
        <w:pStyle w:val="Compact"/>
      </w:pPr>
      <w:r>
        <w:rPr>
          <w:iCs/>
          <w:i/>
        </w:rPr>
        <w:t xml:space="preserve">Income Variation</w:t>
      </w:r>
    </w:p>
    <w:p>
      <w:pPr>
        <w:pStyle w:val="FirstParagraph"/>
      </w:pPr>
      <w:r>
        <w:t xml:space="preserve">This measure is based on</w:t>
      </w:r>
      <w:r>
        <w:t xml:space="preserve"> </w:t>
      </w:r>
      <w:r>
        <w:t xml:space="preserve">Li et al. (</w:t>
      </w:r>
      <w:hyperlink w:anchor="ref-li2018">
        <w:r>
          <w:rPr>
            <w:rStyle w:val="Hyperlink"/>
          </w:rPr>
          <w:t xml:space="preserve">2018</w:t>
        </w:r>
      </w:hyperlink>
      <w:r>
        <w:t xml:space="preserve">)</w:t>
      </w:r>
      <w:r>
        <w:t xml:space="preserve"> </w:t>
      </w:r>
      <w:r>
        <w:t xml:space="preserve">computes the residual variance in income-to-needs ratios after a linear trend is fit to each participant.</w:t>
      </w:r>
    </w:p>
    <w:p>
      <w:pPr>
        <w:pStyle w:val="BodyText"/>
      </w:pPr>
      <w:r>
        <w:rPr>
          <w:bCs/>
          <w:b/>
        </w:rPr>
        <w:t xml:space="preserve">Harshness, Past Approaches</w:t>
      </w:r>
    </w:p>
    <w:p>
      <w:pPr>
        <w:pStyle w:val="BodyText"/>
      </w:pPr>
      <w:r>
        <w:t xml:space="preserve">Studies based on both the</w:t>
      </w:r>
      <w:r>
        <w:t xml:space="preserve"> </w:t>
      </w:r>
      <w:r>
        <w:t xml:space="preserve">Belsky et al. (</w:t>
      </w:r>
      <w:hyperlink w:anchor="ref-belsky2012">
        <w:r>
          <w:rPr>
            <w:rStyle w:val="Hyperlink"/>
          </w:rPr>
          <w:t xml:space="preserve">2012</w:t>
        </w:r>
      </w:hyperlink>
      <w:r>
        <w:t xml:space="preserve">)</w:t>
      </w:r>
      <w:r>
        <w:t xml:space="preserve"> </w:t>
      </w:r>
      <w:r>
        <w:t xml:space="preserve">and</w:t>
      </w:r>
      <w:r>
        <w:t xml:space="preserve"> </w:t>
      </w:r>
      <w:r>
        <w:t xml:space="preserve">Li et al. (</w:t>
      </w:r>
      <w:hyperlink w:anchor="ref-li2018">
        <w:r>
          <w:rPr>
            <w:rStyle w:val="Hyperlink"/>
          </w:rPr>
          <w:t xml:space="preserve">2018</w:t>
        </w:r>
      </w:hyperlink>
      <w:r>
        <w:t xml:space="preserve">)</w:t>
      </w:r>
      <w:r>
        <w:t xml:space="preserve"> </w:t>
      </w:r>
      <w:r>
        <w:t xml:space="preserve">approaches have used income-to-needs ratio. In most cases, an average score over the relevant period is the measure. However, some use an intercept after fitting a linear model to each person’s income data.</w:t>
      </w:r>
    </w:p>
    <w:p>
      <w:pPr>
        <w:pStyle w:val="BodyText"/>
      </w:pPr>
      <w:r>
        <w:rPr>
          <w:bCs/>
          <w:b/>
        </w:rPr>
        <w:t xml:space="preserve">The Current approach</w:t>
      </w:r>
    </w:p>
    <w:p>
      <w:pPr>
        <w:pStyle w:val="BodyText"/>
      </w:pPr>
      <w:r>
        <w:t xml:space="preserve">In addition to these classic measures, we plan to leverage data from the Census about the broader ecological context. Addresses were tracked for each participant over time. These addresses were geocoded and linked to the 1990 and 2000 decinniel Census blocks. Census blocks are the smallest geographical area that the Census measures. We will only use the 1990 Census blocks because all IVs in this study will be from when target participants were 0 - 54 months old.</w:t>
      </w:r>
    </w:p>
    <w:p>
      <w:pPr>
        <w:pStyle w:val="BodyText"/>
      </w:pPr>
      <w:r>
        <w:t xml:space="preserve">The Census variables relevant here are the following:</w:t>
      </w:r>
    </w:p>
    <w:p>
      <w:pPr>
        <w:numPr>
          <w:ilvl w:val="0"/>
          <w:numId w:val="1013"/>
        </w:numPr>
        <w:pStyle w:val="Compact"/>
      </w:pPr>
      <w:r>
        <w:t xml:space="preserve">Percent of people living under the poverty line</w:t>
      </w:r>
    </w:p>
    <w:p>
      <w:pPr>
        <w:numPr>
          <w:ilvl w:val="0"/>
          <w:numId w:val="1013"/>
        </w:numPr>
        <w:pStyle w:val="Compact"/>
      </w:pPr>
      <w:r>
        <w:t xml:space="preserve">Median household income</w:t>
      </w:r>
    </w:p>
    <w:p>
      <w:pPr>
        <w:numPr>
          <w:ilvl w:val="0"/>
          <w:numId w:val="1013"/>
        </w:numPr>
        <w:pStyle w:val="Compact"/>
      </w:pPr>
      <w:r>
        <w:t xml:space="preserve">Gini coefficient, a metric for measuring income inequality</w:t>
      </w:r>
    </w:p>
    <w:p>
      <w:pPr>
        <w:numPr>
          <w:ilvl w:val="0"/>
          <w:numId w:val="1013"/>
        </w:numPr>
        <w:pStyle w:val="Compact"/>
      </w:pPr>
      <w:r>
        <w:t xml:space="preserve">Percent of unemployed individuals over 16 in the workforce</w:t>
      </w:r>
    </w:p>
    <w:p>
      <w:pPr>
        <w:numPr>
          <w:ilvl w:val="0"/>
          <w:numId w:val="1013"/>
        </w:numPr>
        <w:pStyle w:val="Compact"/>
      </w:pPr>
      <w:r>
        <w:t xml:space="preserve">Percent of occupied houses that are occupied by renters</w:t>
      </w:r>
    </w:p>
    <w:p>
      <w:pPr>
        <w:pStyle w:val="FirstParagraph"/>
      </w:pPr>
      <w:r>
        <w:t xml:space="preserve">We plan to compute mean and standard deviation scores for each Census measure over the addresses each participant lived at. For an overall neighborhood harshness score, we will standardize and avergae together each mean score. For an overall neighborhood change score, we will standardize and average together all standard deviation scores.</w:t>
      </w:r>
    </w:p>
    <w:p>
      <w:pPr>
        <w:pStyle w:val="BodyText"/>
      </w:pPr>
      <w:r>
        <w:rPr>
          <w:bCs/>
          <w:b/>
        </w:rPr>
        <w:t xml:space="preserve">Summary</w:t>
      </w:r>
    </w:p>
    <w:p>
      <w:pPr>
        <w:pStyle w:val="BodyText"/>
      </w:pPr>
      <w:r>
        <w:t xml:space="preserve">In short, we plan to analyze the following variables:</w:t>
      </w:r>
    </w:p>
    <w:p>
      <w:pPr>
        <w:pStyle w:val="BodyText"/>
      </w:pPr>
      <w:r>
        <w:rPr>
          <w:iCs/>
          <w:i/>
        </w:rPr>
        <w:t xml:space="preserve">Harshness</w:t>
      </w:r>
    </w:p>
    <w:p>
      <w:pPr>
        <w:numPr>
          <w:ilvl w:val="0"/>
          <w:numId w:val="1014"/>
        </w:numPr>
        <w:pStyle w:val="Compact"/>
      </w:pPr>
      <w:r>
        <w:t xml:space="preserve">Census based neighborhood harhsness (from census variable averages)</w:t>
      </w:r>
    </w:p>
    <w:p>
      <w:pPr>
        <w:numPr>
          <w:ilvl w:val="0"/>
          <w:numId w:val="1014"/>
        </w:numPr>
        <w:pStyle w:val="Compact"/>
      </w:pPr>
      <w:r>
        <w:t xml:space="preserve">Average income-to-needs</w:t>
      </w:r>
    </w:p>
    <w:p>
      <w:pPr>
        <w:pStyle w:val="FirstParagraph"/>
      </w:pPr>
      <w:r>
        <w:rPr>
          <w:iCs/>
          <w:i/>
        </w:rPr>
        <w:t xml:space="preserve">Unpredictability</w:t>
      </w:r>
    </w:p>
    <w:p>
      <w:pPr>
        <w:numPr>
          <w:ilvl w:val="0"/>
          <w:numId w:val="1015"/>
        </w:numPr>
        <w:pStyle w:val="Compact"/>
      </w:pPr>
      <w:r>
        <w:t xml:space="preserve">Classic composite from</w:t>
      </w:r>
      <w:r>
        <w:t xml:space="preserve"> </w:t>
      </w:r>
      <w:r>
        <w:t xml:space="preserve">Belsky et al. (</w:t>
      </w:r>
      <w:hyperlink w:anchor="ref-belsky2012">
        <w:r>
          <w:rPr>
            <w:rStyle w:val="Hyperlink"/>
          </w:rPr>
          <w:t xml:space="preserve">2012</w:t>
        </w:r>
      </w:hyperlink>
      <w:r>
        <w:t xml:space="preserve">)</w:t>
      </w:r>
    </w:p>
    <w:p>
      <w:pPr>
        <w:numPr>
          <w:ilvl w:val="0"/>
          <w:numId w:val="1015"/>
        </w:numPr>
        <w:pStyle w:val="Compact"/>
      </w:pPr>
      <w:r>
        <w:t xml:space="preserve">Census-based neighborhood change (from standard deviations)</w:t>
      </w:r>
    </w:p>
    <w:p>
      <w:pPr>
        <w:numPr>
          <w:ilvl w:val="0"/>
          <w:numId w:val="1015"/>
        </w:numPr>
        <w:pStyle w:val="Compact"/>
      </w:pPr>
      <w:r>
        <w:t xml:space="preserve">Standard deviation of income-to-needs (this is a deviation from</w:t>
      </w:r>
      <w:r>
        <w:t xml:space="preserve"> </w:t>
      </w:r>
      <w:r>
        <w:t xml:space="preserve">Li et al. (</w:t>
      </w:r>
      <w:hyperlink w:anchor="ref-li2018">
        <w:r>
          <w:rPr>
            <w:rStyle w:val="Hyperlink"/>
          </w:rPr>
          <w:t xml:space="preserve">2018</w:t>
        </w:r>
      </w:hyperlink>
      <w:r>
        <w:t xml:space="preserve">)</w:t>
      </w:r>
      <w:r>
        <w:t xml:space="preserve">)</w:t>
      </w:r>
    </w:p>
    <w:p>
      <w:pPr>
        <w:pStyle w:val="FirstParagraph"/>
      </w:pPr>
      <w:r>
        <w:rPr>
          <w:bCs/>
          <w:b/>
        </w:rPr>
        <w:t xml:space="preserve">Possible follow-ups</w:t>
      </w:r>
    </w:p>
    <w:p>
      <w:pPr>
        <w:pStyle w:val="BodyText"/>
      </w:pPr>
      <w:r>
        <w:t xml:space="preserve">We might break apart composites. For exampe, we may analyze Census variables separately or items from the classic unpredictaiblity measure. If we do so, these analyses will be reported in a supplement, only. We may mention them in the main text, but they will not be interpreted to the same degree as the main analyses.</w:t>
      </w:r>
    </w:p>
    <w:p>
      <w:pPr>
        <w:pStyle w:val="BodyText"/>
      </w:pPr>
      <w:r>
        <w:rPr>
          <w:bCs/>
          <w:b/>
        </w:rPr>
        <w:t xml:space="preserve">Other possible (exploratory) variables:</w:t>
      </w:r>
    </w:p>
    <w:p>
      <w:pPr>
        <w:numPr>
          <w:ilvl w:val="0"/>
          <w:numId w:val="1016"/>
        </w:numPr>
        <w:pStyle w:val="Compact"/>
      </w:pPr>
      <w:r>
        <w:t xml:space="preserve">Maternal depression</w:t>
      </w:r>
    </w:p>
    <w:p>
      <w:pPr>
        <w:numPr>
          <w:ilvl w:val="0"/>
          <w:numId w:val="1016"/>
        </w:numPr>
        <w:pStyle w:val="Compact"/>
      </w:pPr>
      <w:r>
        <w:t xml:space="preserve">Variability in maternal depression</w:t>
      </w:r>
    </w:p>
    <w:bookmarkEnd w:id="57"/>
    <w:bookmarkStart w:id="61" w:name="dependent-variables"/>
    <w:p>
      <w:pPr>
        <w:pStyle w:val="Heading4"/>
      </w:pPr>
      <w:r>
        <w:t xml:space="preserve">Dependent Variables</w:t>
      </w:r>
    </w:p>
    <w:p>
      <w:pPr>
        <w:pStyle w:val="FirstParagraph"/>
      </w:pPr>
      <w:r>
        <w:t xml:space="preserve">The main dependent measures will come from the Woodcock-Johnson Cognitive and Achievement Tests</w:t>
      </w:r>
      <w:r>
        <w:t xml:space="preserve"> </w:t>
      </w:r>
      <w:r>
        <w:t xml:space="preserve">(</w:t>
      </w:r>
      <w:hyperlink w:anchor="ref-woodcock1990">
        <w:r>
          <w:rPr>
            <w:rStyle w:val="Hyperlink"/>
          </w:rPr>
          <w:t xml:space="preserve">Woodcock, 1990</w:t>
        </w:r>
      </w:hyperlink>
      <w:r>
        <w:t xml:space="preserve">;</w:t>
      </w:r>
      <w:r>
        <w:t xml:space="preserve"> </w:t>
      </w:r>
      <w:hyperlink w:anchor="ref-woodcock1990a">
        <w:r>
          <w:rPr>
            <w:rStyle w:val="Hyperlink"/>
          </w:rPr>
          <w:t xml:space="preserve">Woodcock et al., 1990</w:t>
        </w:r>
      </w:hyperlink>
      <w:r>
        <w:t xml:space="preserve">)</w:t>
      </w:r>
      <w:r>
        <w:t xml:space="preserve">.</w:t>
      </w:r>
    </w:p>
    <w:p>
      <w:pPr>
        <w:pStyle w:val="BodyText"/>
      </w:pPr>
      <w:r>
        <w:drawing>
          <wp:inline>
            <wp:extent cx="5334000" cy="4922425"/>
            <wp:effectExtent b="0" l="0" r="0" t="0"/>
            <wp:docPr descr="" title="" id="59" name="Picture"/>
            <a:graphic>
              <a:graphicData uri="http://schemas.openxmlformats.org/drawingml/2006/picture">
                <pic:pic>
                  <pic:nvPicPr>
                    <pic:cNvPr descr="../figures/table1.jpeg" id="60" name="Picture"/>
                    <pic:cNvPicPr>
                      <a:picLocks noChangeArrowheads="1" noChangeAspect="1"/>
                    </pic:cNvPicPr>
                  </pic:nvPicPr>
                  <pic:blipFill>
                    <a:blip r:embed="rId58"/>
                    <a:stretch>
                      <a:fillRect/>
                    </a:stretch>
                  </pic:blipFill>
                  <pic:spPr bwMode="auto">
                    <a:xfrm>
                      <a:off x="0" y="0"/>
                      <a:ext cx="5334000" cy="4922425"/>
                    </a:xfrm>
                    <a:prstGeom prst="rect">
                      <a:avLst/>
                    </a:prstGeom>
                    <a:noFill/>
                    <a:ln w="9525">
                      <a:noFill/>
                      <a:headEnd/>
                      <a:tailEnd/>
                    </a:ln>
                  </pic:spPr>
                </pic:pic>
              </a:graphicData>
            </a:graphic>
          </wp:inline>
        </w:drawing>
      </w:r>
    </w:p>
    <w:p>
      <w:pPr>
        <w:pStyle w:val="BodyText"/>
      </w:pPr>
      <w:r>
        <w:rPr>
          <w:bCs/>
          <w:b/>
        </w:rPr>
        <w:t xml:space="preserve">Scores</w:t>
      </w:r>
    </w:p>
    <w:p>
      <w:pPr>
        <w:pStyle w:val="BodyText"/>
      </w:pPr>
      <w:r>
        <w:t xml:space="preserve">For all tests, we will use standard scores. These scores are equivalent to IQ scores in that they use a mean of 100 and standard deviation of 15. This is useful when comparing many different tests.</w:t>
      </w:r>
    </w:p>
    <w:p>
      <w:pPr>
        <w:pStyle w:val="BodyText"/>
      </w:pPr>
      <w:r>
        <w:rPr>
          <w:bCs/>
          <w:b/>
        </w:rPr>
        <w:t xml:space="preserve">Aggregation strategy</w:t>
      </w:r>
    </w:p>
    <w:p>
      <w:pPr>
        <w:pStyle w:val="BodyText"/>
      </w:pPr>
      <w:r>
        <w:t xml:space="preserve">For each subtest, standard scores will be averaged over time to arrive at one score per subtest. For example, picture vocabulary was measured five times so overall picture vocabulary will be averaged over the five time points.</w:t>
      </w:r>
    </w:p>
    <w:bookmarkEnd w:id="61"/>
    <w:bookmarkEnd w:id="62"/>
    <w:bookmarkStart w:id="63" w:name="q13-inclusionexclusion-criteria"/>
    <w:p>
      <w:pPr>
        <w:pStyle w:val="Heading3"/>
      </w:pPr>
      <w:r>
        <w:t xml:space="preserve">Q13: Inclusion/Exclusion criteria</w:t>
      </w:r>
    </w:p>
    <w:p>
      <w:pPr>
        <w:pStyle w:val="FirstParagraph"/>
      </w:pPr>
      <w:r>
        <w:t xml:space="preserve">At the time of writing this preregistration, the only inclusion criteria are that participants should have a least one non-missing score on each subtest for at least one measurment period. This ensures that every case has at least one assessment of each subtest included in their overall average of all subtests. Participants must also have at least one score for the adversity measure. Each adversity measure will be analyzed in a separate model so the total samples size for each adversity measure may differ depending on missing data patterns (see Q14).</w:t>
      </w:r>
    </w:p>
    <w:p>
      <w:pPr>
        <w:pStyle w:val="BodyText"/>
      </w:pPr>
      <w:r>
        <w:t xml:space="preserve">If it becomes clear that there are other inclusion/exclusion criteria, we will update the preregistration and/or report deviations in the the final manuscript. If there are many reasonable alternative criteria, we may use multiverse analysis to handle all combinations of reasonable and arbitrary inclusion/exclusion criteria.</w:t>
      </w:r>
    </w:p>
    <w:bookmarkEnd w:id="63"/>
    <w:bookmarkStart w:id="64" w:name="q14-missing-data"/>
    <w:p>
      <w:pPr>
        <w:pStyle w:val="Heading3"/>
      </w:pPr>
      <w:r>
        <w:t xml:space="preserve">Q14: Missing data</w:t>
      </w:r>
    </w:p>
    <w:p>
      <w:pPr>
        <w:pStyle w:val="FirstParagraph"/>
      </w:pPr>
      <w:r>
        <w:rPr>
          <w:iCs/>
          <w:i/>
        </w:rPr>
        <w:t xml:space="preserve">NOT DONE</w:t>
      </w:r>
    </w:p>
    <w:bookmarkEnd w:id="64"/>
    <w:bookmarkStart w:id="65" w:name="q15-outliers"/>
    <w:p>
      <w:pPr>
        <w:pStyle w:val="Heading3"/>
      </w:pPr>
      <w:r>
        <w:t xml:space="preserve">Q15: Outliers</w:t>
      </w:r>
    </w:p>
    <w:p>
      <w:pPr>
        <w:pStyle w:val="FirstParagraph"/>
      </w:pPr>
      <w:r>
        <w:rPr>
          <w:iCs/>
          <w:i/>
        </w:rPr>
        <w:t xml:space="preserve">NOT DONE</w:t>
      </w:r>
    </w:p>
    <w:bookmarkEnd w:id="65"/>
    <w:bookmarkStart w:id="66" w:name="q16-sample-weights"/>
    <w:p>
      <w:pPr>
        <w:pStyle w:val="Heading3"/>
      </w:pPr>
      <w:r>
        <w:t xml:space="preserve">Q16: Sample Weights</w:t>
      </w:r>
    </w:p>
    <w:p>
      <w:pPr>
        <w:pStyle w:val="FirstParagraph"/>
      </w:pPr>
      <w:r>
        <w:rPr>
          <w:bCs/>
          <w:b/>
        </w:rPr>
        <w:t xml:space="preserve">Not applicable</w:t>
      </w:r>
    </w:p>
    <w:bookmarkEnd w:id="66"/>
    <w:bookmarkEnd w:id="67"/>
    <w:bookmarkStart w:id="70" w:name="part-4---knowledge-of-data"/>
    <w:p>
      <w:pPr>
        <w:pStyle w:val="Heading2"/>
      </w:pPr>
      <w:r>
        <w:t xml:space="preserve">Part 4 - Knowledge of Data</w:t>
      </w:r>
    </w:p>
    <w:bookmarkStart w:id="68" w:name="q17-relevant-publications"/>
    <w:p>
      <w:pPr>
        <w:pStyle w:val="Heading3"/>
      </w:pPr>
      <w:r>
        <w:t xml:space="preserve">Q17: Relevant Publications</w:t>
      </w:r>
    </w:p>
    <w:p>
      <w:pPr>
        <w:pStyle w:val="FirstParagraph"/>
      </w:pPr>
      <w:r>
        <w:rPr>
          <w:bCs/>
          <w:b/>
        </w:rPr>
        <w:t xml:space="preserve">No author has analyzed or worked with the Woodcock Johnson subtest scores prior to this preregistration.</w:t>
      </w:r>
    </w:p>
    <w:p>
      <w:pPr>
        <w:pStyle w:val="BodyText"/>
      </w:pPr>
      <w:r>
        <w:t xml:space="preserve">EY has not published any papers using this dataset. In 2014 and 2015, EY, JS, and GI submitted a paper to</w:t>
      </w:r>
      <w:r>
        <w:t xml:space="preserve"> </w:t>
      </w:r>
      <w:r>
        <w:rPr>
          <w:iCs/>
          <w:i/>
        </w:rPr>
        <w:t xml:space="preserve">Child Development</w:t>
      </w:r>
      <w:r>
        <w:t xml:space="preserve"> </w:t>
      </w:r>
      <w:r>
        <w:t xml:space="preserve">(rejected) and</w:t>
      </w:r>
      <w:r>
        <w:t xml:space="preserve"> </w:t>
      </w:r>
      <w:r>
        <w:rPr>
          <w:iCs/>
          <w:i/>
        </w:rPr>
        <w:t xml:space="preserve">Development and Psychopathology</w:t>
      </w:r>
      <w:r>
        <w:t xml:space="preserve"> </w:t>
      </w:r>
      <w:r>
        <w:t xml:space="preserve">(withdrawn). The paper used aggregated Woodcock Johnson scores over each assessment and used income-to-needs as a covariate.</w:t>
      </w:r>
    </w:p>
    <w:p>
      <w:pPr>
        <w:pStyle w:val="BodyText"/>
      </w:pPr>
      <w:r>
        <w:t xml:space="preserve">MN has intimate knowledge of this dataset. MN has published two papers using the dataset. MN also has one manuscript in press and one under review using the data. MN has not analyzed or used the subtest variables in the current preregistration.</w:t>
      </w:r>
    </w:p>
    <w:p>
      <w:pPr>
        <w:pStyle w:val="BodyText"/>
      </w:pPr>
      <w:r>
        <w:t xml:space="preserve">GI has intimate knowledge of this dataset. GI is a co-principle investigator on the project and has published many papers using the data. Variables analyzed in GI publications relate mostly to the dependent variables in this project. Those relevant to the current preregistration include:</w:t>
      </w:r>
    </w:p>
    <w:p>
      <w:pPr>
        <w:numPr>
          <w:ilvl w:val="0"/>
          <w:numId w:val="1017"/>
        </w:numPr>
        <w:pStyle w:val="Compact"/>
      </w:pPr>
      <w:r>
        <w:t xml:space="preserve">Bleil et al. (</w:t>
      </w:r>
      <w:hyperlink w:anchor="ref-bleil2021">
        <w:r>
          <w:rPr>
            <w:rStyle w:val="Hyperlink"/>
          </w:rPr>
          <w:t xml:space="preserve">2021</w:t>
        </w:r>
      </w:hyperlink>
      <w:r>
        <w:t xml:space="preserve">)</w:t>
      </w:r>
    </w:p>
    <w:p>
      <w:pPr>
        <w:numPr>
          <w:ilvl w:val="0"/>
          <w:numId w:val="1017"/>
        </w:numPr>
        <w:pStyle w:val="Compact"/>
      </w:pPr>
      <w:r>
        <w:t xml:space="preserve">Cottrell et al. (</w:t>
      </w:r>
      <w:hyperlink w:anchor="ref-cottrell2015">
        <w:r>
          <w:rPr>
            <w:rStyle w:val="Hyperlink"/>
          </w:rPr>
          <w:t xml:space="preserve">2015</w:t>
        </w:r>
      </w:hyperlink>
      <w:r>
        <w:t xml:space="preserve">)</w:t>
      </w:r>
    </w:p>
    <w:p>
      <w:pPr>
        <w:numPr>
          <w:ilvl w:val="0"/>
          <w:numId w:val="1017"/>
        </w:numPr>
        <w:pStyle w:val="Compact"/>
      </w:pPr>
      <w:r>
        <w:t xml:space="preserve">Monti et al. (</w:t>
      </w:r>
      <w:hyperlink w:anchor="ref-monti2014">
        <w:r>
          <w:rPr>
            <w:rStyle w:val="Hyperlink"/>
          </w:rPr>
          <w:t xml:space="preserve">2014</w:t>
        </w:r>
      </w:hyperlink>
      <w:r>
        <w:t xml:space="preserve">)</w:t>
      </w:r>
    </w:p>
    <w:p>
      <w:pPr>
        <w:numPr>
          <w:ilvl w:val="0"/>
          <w:numId w:val="1017"/>
        </w:numPr>
        <w:pStyle w:val="Compact"/>
      </w:pPr>
      <w:r>
        <w:t xml:space="preserve">Fraley et al. (</w:t>
      </w:r>
      <w:hyperlink w:anchor="ref-fraley2013">
        <w:r>
          <w:rPr>
            <w:rStyle w:val="Hyperlink"/>
          </w:rPr>
          <w:t xml:space="preserve">2013</w:t>
        </w:r>
      </w:hyperlink>
      <w:r>
        <w:t xml:space="preserve">)</w:t>
      </w:r>
    </w:p>
    <w:p>
      <w:pPr>
        <w:numPr>
          <w:ilvl w:val="0"/>
          <w:numId w:val="1017"/>
        </w:numPr>
        <w:pStyle w:val="Compact"/>
      </w:pPr>
      <w:r>
        <w:t xml:space="preserve">Roisman et al. (</w:t>
      </w:r>
      <w:hyperlink w:anchor="ref-roisman2012">
        <w:r>
          <w:rPr>
            <w:rStyle w:val="Hyperlink"/>
          </w:rPr>
          <w:t xml:space="preserve">2012</w:t>
        </w:r>
      </w:hyperlink>
      <w:r>
        <w:t xml:space="preserve">)</w:t>
      </w:r>
    </w:p>
    <w:p>
      <w:pPr>
        <w:numPr>
          <w:ilvl w:val="0"/>
          <w:numId w:val="1017"/>
        </w:numPr>
        <w:pStyle w:val="Compact"/>
      </w:pPr>
      <w:r>
        <w:t xml:space="preserve">Burt &amp; Roisman (</w:t>
      </w:r>
      <w:hyperlink w:anchor="ref-burt2010">
        <w:r>
          <w:rPr>
            <w:rStyle w:val="Hyperlink"/>
          </w:rPr>
          <w:t xml:space="preserve">2010</w:t>
        </w:r>
      </w:hyperlink>
      <w:r>
        <w:t xml:space="preserve">)</w:t>
      </w:r>
    </w:p>
    <w:p>
      <w:pPr>
        <w:pStyle w:val="FirstParagraph"/>
      </w:pPr>
      <w:r>
        <w:t xml:space="preserve">JS has also worked with the current dataset. Variables in JS publications relate mostly to the independent variables used in this study. Those relevant to the current preregistration include:</w:t>
      </w:r>
    </w:p>
    <w:p>
      <w:pPr>
        <w:numPr>
          <w:ilvl w:val="0"/>
          <w:numId w:val="1018"/>
        </w:numPr>
        <w:pStyle w:val="Compact"/>
      </w:pPr>
      <w:r>
        <w:t xml:space="preserve">Hartman et al. (</w:t>
      </w:r>
      <w:hyperlink w:anchor="ref-hartman2018a">
        <w:r>
          <w:rPr>
            <w:rStyle w:val="Hyperlink"/>
          </w:rPr>
          <w:t xml:space="preserve">2018</w:t>
        </w:r>
      </w:hyperlink>
      <w:r>
        <w:t xml:space="preserve">)</w:t>
      </w:r>
    </w:p>
    <w:p>
      <w:pPr>
        <w:numPr>
          <w:ilvl w:val="0"/>
          <w:numId w:val="1018"/>
        </w:numPr>
        <w:pStyle w:val="Compact"/>
      </w:pPr>
      <w:r>
        <w:t xml:space="preserve">Sung et al. (</w:t>
      </w:r>
      <w:hyperlink w:anchor="ref-sung2016">
        <w:r>
          <w:rPr>
            <w:rStyle w:val="Hyperlink"/>
          </w:rPr>
          <w:t xml:space="preserve">2016</w:t>
        </w:r>
      </w:hyperlink>
      <w:r>
        <w:t xml:space="preserve">)</w:t>
      </w:r>
    </w:p>
    <w:p>
      <w:pPr>
        <w:pStyle w:val="FirstParagraph"/>
      </w:pPr>
      <w:r>
        <w:t xml:space="preserve">SV and WF have no prior experience with the data.</w:t>
      </w:r>
    </w:p>
    <w:bookmarkEnd w:id="68"/>
    <w:bookmarkStart w:id="69" w:name="q18-prior-knowledge"/>
    <w:p>
      <w:pPr>
        <w:pStyle w:val="Heading3"/>
      </w:pPr>
      <w:r>
        <w:t xml:space="preserve">Q18: Prior Knowledge</w:t>
      </w:r>
    </w:p>
    <w:p>
      <w:pPr>
        <w:pStyle w:val="FirstParagraph"/>
      </w:pPr>
      <w:r>
        <w:t xml:space="preserve">From prior work, we have some knowledge of how income, maternal education, and quality of maternal caregiving (observations of maternal sensitivity) are associated with aggregated Woodcock Johnson scores. For example,</w:t>
      </w:r>
      <w:r>
        <w:t xml:space="preserve"> </w:t>
      </w:r>
      <w:r>
        <w:t xml:space="preserve">Fraley et al. (</w:t>
      </w:r>
      <w:hyperlink w:anchor="ref-fraley2013">
        <w:r>
          <w:rPr>
            <w:rStyle w:val="Hyperlink"/>
          </w:rPr>
          <w:t xml:space="preserve">2013</w:t>
        </w:r>
      </w:hyperlink>
      <w:r>
        <w:t xml:space="preserve">)</w:t>
      </w:r>
      <w:r>
        <w:t xml:space="preserve"> </w:t>
      </w:r>
      <w:r>
        <w:t xml:space="preserve">find correlations between Woodcock Johnson composites over 5 assessment periods and income-to-needs (averaged over 6, 15, 24, and 36 months;</w:t>
      </w:r>
      <w:r>
        <w:t xml:space="preserve"> </w:t>
      </w:r>
      <w:r>
        <w:rPr>
          <w:iCs/>
          <w:i/>
        </w:rPr>
        <w:t xml:space="preserve">rs</w:t>
      </w:r>
      <w:r>
        <w:t xml:space="preserve"> </w:t>
      </w:r>
      <w:r>
        <w:t xml:space="preserve">range = .34-.37), maternal education (</w:t>
      </w:r>
      <w:r>
        <w:rPr>
          <w:iCs/>
          <w:i/>
        </w:rPr>
        <w:t xml:space="preserve">rs</w:t>
      </w:r>
      <w:r>
        <w:t xml:space="preserve"> </w:t>
      </w:r>
      <w:r>
        <w:t xml:space="preserve">range = .41 - .47), and maternal sensitivity (</w:t>
      </w:r>
      <w:r>
        <w:rPr>
          <w:iCs/>
          <w:i/>
        </w:rPr>
        <w:t xml:space="preserve">rs</w:t>
      </w:r>
      <w:r>
        <w:t xml:space="preserve"> </w:t>
      </w:r>
      <w:r>
        <w:t xml:space="preserve">range = .40 - .47) . These findings give us a strong prior that harshness/poverty will be associated with a lower within person average Woodcock Johnson score.</w:t>
      </w:r>
    </w:p>
    <w:bookmarkEnd w:id="69"/>
    <w:bookmarkEnd w:id="70"/>
    <w:bookmarkStart w:id="84" w:name="part-5---analyses"/>
    <w:p>
      <w:pPr>
        <w:pStyle w:val="Heading2"/>
      </w:pPr>
      <w:r>
        <w:t xml:space="preserve">Part 5 - Analyses</w:t>
      </w:r>
    </w:p>
    <w:bookmarkStart w:id="75" w:name="q19-hypotheses---statistical-tests"/>
    <w:p>
      <w:pPr>
        <w:pStyle w:val="Heading3"/>
      </w:pPr>
      <w:r>
        <w:t xml:space="preserve">Q19: Hypotheses -&gt; Statistical Tests</w:t>
      </w:r>
    </w:p>
    <w:p>
      <w:pPr>
        <w:pStyle w:val="FirstParagraph"/>
      </w:pPr>
      <w:r>
        <w:t xml:space="preserve">Below is a conceptual depiction of our analyses:</w:t>
      </w:r>
    </w:p>
    <w:tbl>
      <w:tblPr>
        <w:tblStyle w:val="Table"/>
        <w:tblW w:type="pct" w:w="5000"/>
        <w:tblLook w:firstRow="0" w:lastRow="0" w:firstColumn="0" w:lastColumn="0" w:noHBand="0" w:noVBand="0" w:val="0000"/>
      </w:tblPr>
      <w:tblGrid>
        <w:gridCol w:w="7920"/>
      </w:tblGrid>
      <w:tr>
        <w:tc>
          <w:tcPr/>
          <w:bookmarkStart w:id="74" w:name="fig-conceptual"/>
          <w:p>
            <w:pPr>
              <w:jc w:val="center"/>
            </w:pPr>
            <w:r>
              <w:drawing>
                <wp:inline>
                  <wp:extent cx="5334000" cy="2172092"/>
                  <wp:effectExtent b="0" l="0" r="0" t="0"/>
                  <wp:docPr descr="" title="" id="72" name="Picture"/>
                  <a:graphic>
                    <a:graphicData uri="http://schemas.openxmlformats.org/drawingml/2006/picture">
                      <pic:pic>
                        <pic:nvPicPr>
                          <pic:cNvPr descr="../figures/figure1.png" id="73" name="Picture"/>
                          <pic:cNvPicPr>
                            <a:picLocks noChangeArrowheads="1" noChangeAspect="1"/>
                          </pic:cNvPicPr>
                        </pic:nvPicPr>
                        <pic:blipFill>
                          <a:blip r:embed="rId71"/>
                          <a:stretch>
                            <a:fillRect/>
                          </a:stretch>
                        </pic:blipFill>
                        <pic:spPr bwMode="auto">
                          <a:xfrm>
                            <a:off x="0" y="0"/>
                            <a:ext cx="5334000" cy="21720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are interested in 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affects performance. When D is significant, it means that adversity affects a subtest in a different way than A (overall pattern).</w:t>
            </w:r>
          </w:p>
          <w:bookmarkEnd w:id="74"/>
        </w:tc>
      </w:tr>
    </w:tbl>
    <w:p>
      <w:pPr>
        <w:pStyle w:val="BodyText"/>
      </w:pPr>
      <w:r>
        <w:t xml:space="preserve">We will use a mixed effects linear regression to test Hypotheses 1 &amp; 2 using the</w:t>
      </w:r>
      <w:r>
        <w:t xml:space="preserve"> </w:t>
      </w:r>
      <w:r>
        <w:rPr>
          <w:rStyle w:val="VerbatimChar"/>
        </w:rPr>
        <w:t xml:space="preserve">lmer</w:t>
      </w:r>
      <w:r>
        <w:t xml:space="preserve">. To do so, we proceed in three steps:</w:t>
      </w:r>
    </w:p>
    <w:p>
      <w:pPr>
        <w:numPr>
          <w:ilvl w:val="0"/>
          <w:numId w:val="1019"/>
        </w:numPr>
        <w:pStyle w:val="Compact"/>
      </w:pPr>
      <w:r>
        <w:t xml:space="preserve">We will standardize (z-score) our independent variables. This centers the IV at 0 and scales them with standard deviation = 1.</w:t>
      </w:r>
    </w:p>
    <w:p>
      <w:pPr>
        <w:pStyle w:val="SourceCode"/>
      </w:pPr>
      <w:r>
        <w:rPr>
          <w:rStyle w:val="NormalTok"/>
        </w:rPr>
        <w:t xml:space="preserve">example_data1 </w:t>
      </w:r>
      <w:r>
        <w:rPr>
          <w:rStyle w:val="OtherTok"/>
        </w:rPr>
        <w:t xml:space="preserve">&lt;-</w:t>
      </w:r>
      <w:r>
        <w:rPr>
          <w:rStyle w:val="NormalTok"/>
        </w:rPr>
        <w:t xml:space="preserve"> </w:t>
      </w:r>
      <w:r>
        <w:br/>
      </w:r>
      <w:r>
        <w:rPr>
          <w:rStyle w:val="NormalTok"/>
        </w:rPr>
        <w:t xml:space="preserve">  seccyd_dvs_wj_data2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Average scores over time to single scores for each subtest</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"wj_"</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T), </w:t>
      </w:r>
      <w:r>
        <w:rPr>
          <w:rStyle w:val="AttributeTok"/>
        </w:rPr>
        <w:t xml:space="preserve">n =</w:t>
      </w:r>
      <w:r>
        <w:rPr>
          <w:rStyle w:val="NormalTok"/>
        </w:rPr>
        <w:t xml:space="preserve"> </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is.nan</w:t>
      </w:r>
      <w:r>
        <w:rPr>
          <w:rStyle w:val="NormalTok"/>
        </w:rPr>
        <w:t xml:space="preserve">(.x),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FunctionTok"/>
        </w:rPr>
        <w:t xml:space="preserve">ends_with</w:t>
      </w:r>
      <w:r>
        <w:rPr>
          <w:rStyle w:val="NormalTok"/>
        </w:rPr>
        <w:t xml:space="preserve">(</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CommentTok"/>
        </w:rPr>
        <w:t xml:space="preserve"># Make up an adversity variable for the preregistration and standardize (step 1)</w:t>
      </w:r>
      <w:r>
        <w:br/>
      </w:r>
      <w:r>
        <w:rPr>
          <w:rStyle w:val="NormalTok"/>
        </w:rPr>
        <w:t xml:space="preserve">    </w:t>
      </w:r>
      <w:r>
        <w:rPr>
          <w:rStyle w:val="AttributeTok"/>
        </w:rPr>
        <w:t xml:space="preserve">adversity =</w:t>
      </w:r>
      <w:r>
        <w:rPr>
          <w:rStyle w:val="NormalTok"/>
        </w:rPr>
        <w:t xml:space="preserve"> </w:t>
      </w:r>
      <w:r>
        <w:rPr>
          <w:rStyle w:val="FunctionTok"/>
        </w:rPr>
        <w:t xml:space="preserve">rnorm</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p>
    <w:p>
      <w:pPr>
        <w:numPr>
          <w:ilvl w:val="0"/>
          <w:numId w:val="1020"/>
        </w:numPr>
        <w:pStyle w:val="Compact"/>
      </w:pPr>
      <w:r>
        <w:t xml:space="preserve">We then stack the data into</w:t>
      </w:r>
      <w:r>
        <w:t xml:space="preserve"> </w:t>
      </w:r>
      <w:r>
        <w:t xml:space="preserve">‘</w:t>
      </w:r>
      <w:r>
        <w:t xml:space="preserve">long</w:t>
      </w:r>
      <w:r>
        <w:t xml:space="preserve">’</w:t>
      </w:r>
      <w:r>
        <w:t xml:space="preserve"> </w:t>
      </w:r>
      <w:r>
        <w:t xml:space="preserve">format. There are 10 subtests, so each participant will have 10 associated rows. Two new columns are created, one indicating the subtest type and one indicating each participant’s associated score.</w:t>
      </w:r>
    </w:p>
    <w:p>
      <w:pPr>
        <w:pStyle w:val="FirstParagraph"/>
      </w:pPr>
      <w:r>
        <w:t xml:space="preserve">Below is an example of one participant’s data:</w:t>
      </w:r>
    </w:p>
    <w:p>
      <w:pPr>
        <w:pStyle w:val="SourceCode"/>
      </w:pPr>
      <w:r>
        <w:rPr>
          <w:rStyle w:val="NormalTok"/>
        </w:rPr>
        <w:t xml:space="preserve">example_data2 </w:t>
      </w:r>
      <w:r>
        <w:rPr>
          <w:rStyle w:val="OtherTok"/>
        </w:rPr>
        <w:t xml:space="preserve">&lt;-</w:t>
      </w:r>
      <w:r>
        <w:rPr>
          <w:rStyle w:val="NormalTok"/>
        </w:rPr>
        <w:t xml:space="preserve"> </w:t>
      </w:r>
      <w:r>
        <w:br/>
      </w:r>
      <w:r>
        <w:rPr>
          <w:rStyle w:val="NormalTok"/>
        </w:rPr>
        <w:t xml:space="preserve">  example_data1 </w:t>
      </w:r>
      <w:r>
        <w:rPr>
          <w:rStyle w:val="SpecialCharTok"/>
        </w:rPr>
        <w:t xml:space="preserve">|&gt;</w:t>
      </w:r>
      <w:r>
        <w:rPr>
          <w:rStyle w:val="NormalTok"/>
        </w:rPr>
        <w:t xml:space="preserve"> </w:t>
      </w:r>
      <w:r>
        <w:br/>
      </w:r>
      <w:r>
        <w:rPr>
          <w:rStyle w:val="NormalTok"/>
        </w:rPr>
        <w:t xml:space="preserve">  </w:t>
      </w:r>
      <w:r>
        <w:rPr>
          <w:rStyle w:val="CommentTok"/>
        </w:rPr>
        <w:t xml:space="preserve"># Stack data so that eadh participant has one row per subtest score (step 2)</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id, </w:t>
      </w:r>
      <w:r>
        <w:rPr>
          <w:rStyle w:val="SpecialCharTok"/>
        </w:rPr>
        <w:t xml:space="preserve">-</w:t>
      </w:r>
      <w:r>
        <w:rPr>
          <w:rStyle w:val="NormalTok"/>
        </w:rPr>
        <w:t xml:space="preserve">adversity), </w:t>
      </w:r>
      <w:r>
        <w:rPr>
          <w:rStyle w:val="AttributeTok"/>
        </w:rPr>
        <w:t xml:space="preserve">names_to =</w:t>
      </w:r>
      <w:r>
        <w:rPr>
          <w:rStyle w:val="NormalTok"/>
        </w:rPr>
        <w:t xml:space="preserve"> </w:t>
      </w:r>
      <w:r>
        <w:rPr>
          <w:rStyle w:val="StringTok"/>
        </w:rPr>
        <w:t xml:space="preserve">"wj_sub_test"</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CommentTok"/>
        </w:rPr>
        <w:t xml:space="preserve"># Show an example of one participants data structure</w:t>
      </w:r>
      <w:r>
        <w:br/>
      </w:r>
      <w:r>
        <w:rPr>
          <w:rStyle w:val="NormalTok"/>
        </w:rPr>
        <w:t xml:space="preserve">example_data2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id</w:t>
            </w:r>
          </w:p>
        </w:tc>
        <w:tc>
          <w:tcPr/>
          <w:p>
            <w:pPr>
              <w:pStyle w:val="Compact"/>
              <w:jc w:val="right"/>
            </w:pPr>
            <w:r>
              <w:t xml:space="preserve">adversity</w:t>
            </w:r>
          </w:p>
        </w:tc>
        <w:tc>
          <w:tcPr/>
          <w:p>
            <w:pPr>
              <w:pStyle w:val="Compact"/>
              <w:jc w:val="left"/>
            </w:pPr>
            <w:r>
              <w:t xml:space="preserve">wj_sub_test</w:t>
            </w:r>
          </w:p>
        </w:tc>
        <w:tc>
          <w:tcPr/>
          <w:p>
            <w:pPr>
              <w:pStyle w:val="Compact"/>
              <w:jc w:val="right"/>
            </w:pPr>
            <w:r>
              <w:t xml:space="preserve">score</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wj_picvo_mean</w:t>
            </w:r>
          </w:p>
        </w:tc>
        <w:tc>
          <w:tcPr/>
          <w:p>
            <w:pPr>
              <w:pStyle w:val="Compact"/>
              <w:jc w:val="right"/>
            </w:pPr>
            <w:r>
              <w:t xml:space="preserve">108.7500</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wj_vrba_mean</w:t>
            </w:r>
          </w:p>
        </w:tc>
        <w:tc>
          <w:tcPr/>
          <w:p>
            <w:pPr>
              <w:pStyle w:val="Compact"/>
              <w:jc w:val="right"/>
            </w:pPr>
            <w:r>
              <w:t xml:space="preserve">139.5000</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wj_pscmp_mean</w:t>
            </w:r>
          </w:p>
        </w:tc>
        <w:tc>
          <w:tcPr/>
          <w:p>
            <w:pPr>
              <w:pStyle w:val="Compact"/>
              <w:jc w:val="right"/>
            </w:pPr>
            <w:r>
              <w:t xml:space="preserve">133.0000</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wj_appld_mean</w:t>
            </w:r>
          </w:p>
        </w:tc>
        <w:tc>
          <w:tcPr/>
          <w:p>
            <w:pPr>
              <w:pStyle w:val="Compact"/>
              <w:jc w:val="right"/>
            </w:pPr>
            <w:r>
              <w:t xml:space="preserve">130.5000</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wj_memse_mean</w:t>
            </w:r>
          </w:p>
        </w:tc>
        <w:tc>
          <w:tcPr/>
          <w:p>
            <w:pPr>
              <w:pStyle w:val="Compact"/>
              <w:jc w:val="right"/>
            </w:pPr>
            <w:r>
              <w:t xml:space="preserve">115.0000</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wj_incom_mean</w:t>
            </w:r>
          </w:p>
        </w:tc>
        <w:tc>
          <w:tcPr/>
          <w:p>
            <w:pPr>
              <w:pStyle w:val="Compact"/>
              <w:jc w:val="right"/>
            </w:pPr>
            <w:r>
              <w:t xml:space="preserve">128.0000</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wj_memna_mean</w:t>
            </w:r>
          </w:p>
        </w:tc>
        <w:tc>
          <w:tcPr/>
          <w:p>
            <w:pPr>
              <w:pStyle w:val="Compact"/>
              <w:jc w:val="right"/>
            </w:pPr>
            <w:r>
              <w:t xml:space="preserve">117.0000</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wj_lwid_mean</w:t>
            </w:r>
          </w:p>
        </w:tc>
        <w:tc>
          <w:tcPr/>
          <w:p>
            <w:pPr>
              <w:pStyle w:val="Compact"/>
              <w:jc w:val="right"/>
            </w:pPr>
            <w:r>
              <w:t xml:space="preserve">138.6667</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wj_wrdat_mean</w:t>
            </w:r>
          </w:p>
        </w:tc>
        <w:tc>
          <w:tcPr/>
          <w:p>
            <w:pPr>
              <w:pStyle w:val="Compact"/>
              <w:jc w:val="right"/>
            </w:pPr>
            <w:r>
              <w:t xml:space="preserve">134.0000</w:t>
            </w:r>
          </w:p>
        </w:tc>
      </w:tr>
      <w:tr>
        <w:tc>
          <w:tcPr/>
          <w:p>
            <w:pPr>
              <w:pStyle w:val="Compact"/>
              <w:jc w:val="right"/>
            </w:pPr>
            <w:r>
              <w:t xml:space="preserve">1</w:t>
            </w:r>
          </w:p>
        </w:tc>
        <w:tc>
          <w:tcPr/>
          <w:p>
            <w:pPr>
              <w:pStyle w:val="Compact"/>
              <w:jc w:val="right"/>
            </w:pPr>
            <w:r>
              <w:t xml:space="preserve">1.20877</w:t>
            </w:r>
          </w:p>
        </w:tc>
        <w:tc>
          <w:tcPr/>
          <w:p>
            <w:pPr>
              <w:pStyle w:val="Compact"/>
              <w:jc w:val="left"/>
            </w:pPr>
            <w:r>
              <w:t xml:space="preserve">wj_calc_mean</w:t>
            </w:r>
          </w:p>
        </w:tc>
        <w:tc>
          <w:tcPr/>
          <w:p>
            <w:pPr>
              <w:pStyle w:val="Compact"/>
              <w:jc w:val="right"/>
            </w:pPr>
            <w:r>
              <w:t xml:space="preserve">143.0000</w:t>
            </w:r>
          </w:p>
        </w:tc>
      </w:tr>
    </w:tbl>
    <w:p>
      <w:pPr>
        <w:numPr>
          <w:ilvl w:val="0"/>
          <w:numId w:val="1021"/>
        </w:numPr>
        <w:pStyle w:val="Compact"/>
      </w:pPr>
      <w:r>
        <w:t xml:space="preserve">Next, we apply a sum coded contrast to the subtest index column. This means the intercept in the mixed effect model reflects the grand mean of all WJ subtest scores. Sum coding allows us to compare the effect of adversity on each subtest to the mean of all tests.</w:t>
      </w:r>
    </w:p>
    <w:p>
      <w:pPr>
        <w:pStyle w:val="FirstParagraph"/>
      </w:pPr>
      <w:r>
        <w:t xml:space="preserve">For example, the underlying contrasts would look like the following:</w:t>
      </w:r>
    </w:p>
    <w:p>
      <w:pPr>
        <w:pStyle w:val="SourceCode"/>
      </w:pPr>
      <w:r>
        <w:rPr>
          <w:rStyle w:val="NormalTok"/>
        </w:rPr>
        <w:t xml:space="preserve">example_data3 </w:t>
      </w:r>
      <w:r>
        <w:rPr>
          <w:rStyle w:val="OtherTok"/>
        </w:rPr>
        <w:t xml:space="preserve">&lt;-</w:t>
      </w:r>
      <w:r>
        <w:rPr>
          <w:rStyle w:val="NormalTok"/>
        </w:rPr>
        <w:t xml:space="preserve"> </w:t>
      </w:r>
      <w:r>
        <w:br/>
      </w:r>
      <w:r>
        <w:rPr>
          <w:rStyle w:val="NormalTok"/>
        </w:rPr>
        <w:t xml:space="preserve">  example_data2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Apply sum contrasts (step 3)</w:t>
      </w:r>
      <w:r>
        <w:br/>
      </w:r>
      <w:r>
        <w:rPr>
          <w:rStyle w:val="NormalTok"/>
        </w:rPr>
        <w:t xml:space="preserve">    </w:t>
      </w:r>
      <w:r>
        <w:rPr>
          <w:rStyle w:val="AttributeTok"/>
        </w:rPr>
        <w:t xml:space="preserve">wj_sub_test =</w:t>
      </w:r>
      <w:r>
        <w:rPr>
          <w:rStyle w:val="NormalTok"/>
        </w:rPr>
        <w:t xml:space="preserve"> faux</w:t>
      </w:r>
      <w:r>
        <w:rPr>
          <w:rStyle w:val="SpecialCharTok"/>
        </w:rPr>
        <w:t xml:space="preserve">::</w:t>
      </w:r>
      <w:r>
        <w:rPr>
          <w:rStyle w:val="FunctionTok"/>
        </w:rPr>
        <w:t xml:space="preserve">contr_code_sum</w:t>
      </w:r>
      <w:r>
        <w:rPr>
          <w:rStyle w:val="NormalTok"/>
        </w:rPr>
        <w:t xml:space="preserve">(wj_sub_test)</w:t>
      </w:r>
      <w:r>
        <w:br/>
      </w:r>
      <w:r>
        <w:rPr>
          <w:rStyle w:val="NormalTok"/>
        </w:rPr>
        <w:t xml:space="preserve">  )</w:t>
      </w:r>
      <w:r>
        <w:br/>
      </w:r>
      <w:r>
        <w:br/>
      </w:r>
      <w:r>
        <w:rPr>
          <w:rStyle w:val="CommentTok"/>
        </w:rPr>
        <w:t xml:space="preserve"># Show the contrast scheme for the mixed model</w:t>
      </w:r>
      <w:r>
        <w:br/>
      </w:r>
      <w:r>
        <w:rPr>
          <w:rStyle w:val="NormalTok"/>
        </w:rPr>
        <w:t xml:space="preserve">example_data3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(wj_sub_test) </w:t>
      </w:r>
      <w:r>
        <w:rPr>
          <w:rStyle w:val="SpecialCharTok"/>
        </w:rPr>
        <w:t xml:space="preserve">|&gt;</w:t>
      </w:r>
      <w:r>
        <w:rPr>
          <w:rStyle w:val="NormalTok"/>
        </w:rPr>
        <w:t xml:space="preserve"> </w:t>
      </w:r>
      <w:r>
        <w:br/>
      </w:r>
      <w:r>
        <w:rPr>
          <w:rStyle w:val="NormalTok"/>
        </w:rPr>
        <w:t xml:space="preserve">  </w:t>
      </w:r>
      <w:r>
        <w:rPr>
          <w:rStyle w:val="FunctionTok"/>
        </w:rPr>
        <w:t xml:space="preserve">attr</w:t>
      </w:r>
      <w:r>
        <w:rPr>
          <w:rStyle w:val="NormalTok"/>
        </w:rPr>
        <w:t xml:space="preserve">(</w:t>
      </w:r>
      <w:r>
        <w:rPr>
          <w:rStyle w:val="StringTok"/>
        </w:rPr>
        <w:t xml:space="preserve">"contrasts"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"test"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str_replace_all</w:t>
      </w:r>
      <w:r>
        <w:rPr>
          <w:rStyle w:val="NormalTok"/>
        </w:rPr>
        <w:t xml:space="preserve">(test,</w:t>
      </w:r>
      <w:r>
        <w:rPr>
          <w:rStyle w:val="StringTok"/>
        </w:rPr>
        <w:t xml:space="preserve">"^wj_(.*)_mean$"</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SpecialCharTok"/>
        </w:rPr>
        <w:t xml:space="preserve">~</w:t>
      </w:r>
      <w:r>
        <w:rPr>
          <w:rStyle w:val="FunctionTok"/>
        </w:rPr>
        <w:t xml:space="preserve">str_replace_all</w:t>
      </w:r>
      <w:r>
        <w:rPr>
          <w:rStyle w:val="NormalTok"/>
        </w:rPr>
        <w:t xml:space="preserve">(.x ,</w:t>
      </w:r>
      <w:r>
        <w:rPr>
          <w:rStyle w:val="StringTok"/>
        </w:rPr>
        <w:t xml:space="preserve">"^.wj_(.*)_mean-intercept"</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test</w:t>
            </w:r>
          </w:p>
        </w:tc>
        <w:tc>
          <w:tcPr/>
          <w:p>
            <w:pPr>
              <w:pStyle w:val="Compact"/>
              <w:jc w:val="right"/>
            </w:pPr>
            <w:r>
              <w:t xml:space="preserve">appld</w:t>
            </w:r>
          </w:p>
        </w:tc>
        <w:tc>
          <w:tcPr/>
          <w:p>
            <w:pPr>
              <w:pStyle w:val="Compact"/>
              <w:jc w:val="right"/>
            </w:pPr>
            <w:r>
              <w:t xml:space="preserve">calc</w:t>
            </w:r>
          </w:p>
        </w:tc>
        <w:tc>
          <w:tcPr/>
          <w:p>
            <w:pPr>
              <w:pStyle w:val="Compact"/>
              <w:jc w:val="right"/>
            </w:pPr>
            <w:r>
              <w:t xml:space="preserve">incom</w:t>
            </w:r>
          </w:p>
        </w:tc>
        <w:tc>
          <w:tcPr/>
          <w:p>
            <w:pPr>
              <w:pStyle w:val="Compact"/>
              <w:jc w:val="right"/>
            </w:pPr>
            <w:r>
              <w:t xml:space="preserve">lwid</w:t>
            </w:r>
          </w:p>
        </w:tc>
        <w:tc>
          <w:tcPr/>
          <w:p>
            <w:pPr>
              <w:pStyle w:val="Compact"/>
              <w:jc w:val="right"/>
            </w:pPr>
            <w:r>
              <w:t xml:space="preserve">memna</w:t>
            </w:r>
          </w:p>
        </w:tc>
        <w:tc>
          <w:tcPr/>
          <w:p>
            <w:pPr>
              <w:pStyle w:val="Compact"/>
              <w:jc w:val="right"/>
            </w:pPr>
            <w:r>
              <w:t xml:space="preserve">memse</w:t>
            </w:r>
          </w:p>
        </w:tc>
        <w:tc>
          <w:tcPr/>
          <w:p>
            <w:pPr>
              <w:pStyle w:val="Compact"/>
              <w:jc w:val="right"/>
            </w:pPr>
            <w:r>
              <w:t xml:space="preserve">picvo</w:t>
            </w:r>
          </w:p>
        </w:tc>
        <w:tc>
          <w:tcPr/>
          <w:p>
            <w:pPr>
              <w:pStyle w:val="Compact"/>
              <w:jc w:val="right"/>
            </w:pPr>
            <w:r>
              <w:t xml:space="preserve">pscmp</w:t>
            </w:r>
          </w:p>
        </w:tc>
        <w:tc>
          <w:tcPr/>
          <w:p>
            <w:pPr>
              <w:pStyle w:val="Compact"/>
              <w:jc w:val="right"/>
            </w:pPr>
            <w:r>
              <w:t xml:space="preserve">vrba</w:t>
            </w:r>
          </w:p>
        </w:tc>
      </w:tr>
      <w:tr>
        <w:tc>
          <w:tcPr/>
          <w:p>
            <w:pPr>
              <w:pStyle w:val="Compact"/>
              <w:jc w:val="left"/>
            </w:pPr>
            <w:r>
              <w:t xml:space="preserve">appld</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calc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incom</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lwid</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memse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picvo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pscmp</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vrba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wrdat</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bl>
    <w:p>
      <w:pPr>
        <w:numPr>
          <w:ilvl w:val="0"/>
          <w:numId w:val="1022"/>
        </w:numPr>
        <w:pStyle w:val="Compact"/>
      </w:pPr>
      <w:r>
        <w:t xml:space="preserve">We fit a linear mixed effects model with the following terms</w:t>
      </w:r>
    </w:p>
    <w:p>
      <w:pPr>
        <w:numPr>
          <w:ilvl w:val="1"/>
          <w:numId w:val="1023"/>
        </w:numPr>
        <w:pStyle w:val="Compact"/>
      </w:pPr>
      <w:r>
        <w:t xml:space="preserve">contrast coded subtest</w:t>
      </w:r>
    </w:p>
    <w:p>
      <w:pPr>
        <w:numPr>
          <w:ilvl w:val="1"/>
          <w:numId w:val="1023"/>
        </w:numPr>
        <w:pStyle w:val="Compact"/>
      </w:pPr>
      <w:r>
        <w:t xml:space="preserve">adversity (standardized)</w:t>
      </w:r>
    </w:p>
    <w:p>
      <w:pPr>
        <w:numPr>
          <w:ilvl w:val="1"/>
          <w:numId w:val="1023"/>
        </w:numPr>
        <w:pStyle w:val="Compact"/>
      </w:pPr>
      <w:r>
        <w:t xml:space="preserve">interaction between contrast coded subtest and adversity</w:t>
      </w:r>
    </w:p>
    <w:p>
      <w:pPr>
        <w:numPr>
          <w:ilvl w:val="1"/>
          <w:numId w:val="1023"/>
        </w:numPr>
        <w:pStyle w:val="Compact"/>
      </w:pPr>
      <w:r>
        <w:t xml:space="preserve">random intercept for participants</w:t>
      </w:r>
    </w:p>
    <w:p>
      <w:pPr>
        <w:pStyle w:val="SourceCode"/>
      </w:pPr>
      <w:r>
        <w:rPr>
          <w:rStyle w:val="CommentTok"/>
        </w:rPr>
        <w:t xml:space="preserve"># Fit model</w:t>
      </w:r>
      <w:r>
        <w:br/>
      </w:r>
      <w:r>
        <w:rPr>
          <w:rStyle w:val="NormalTok"/>
        </w:rPr>
        <w:t xml:space="preserve">subtest_model </w:t>
      </w:r>
      <w:r>
        <w:rPr>
          <w:rStyle w:val="OtherTok"/>
        </w:rPr>
        <w:t xml:space="preserve">&lt;-</w:t>
      </w:r>
      <w:r>
        <w:rPr>
          <w:rStyle w:val="NormalTok"/>
        </w:rPr>
        <w:t xml:space="preserve"> </w:t>
      </w:r>
      <w:r>
        <w:rPr>
          <w:rStyle w:val="FunctionTok"/>
        </w:rPr>
        <w:t xml:space="preserve">lmer</w:t>
      </w:r>
      <w:r>
        <w:rPr>
          <w:rStyle w:val="NormalTok"/>
        </w:rPr>
        <w:t xml:space="preserve">(score </w:t>
      </w:r>
      <w:r>
        <w:rPr>
          <w:rStyle w:val="SpecialCharTok"/>
        </w:rPr>
        <w:t xml:space="preserve">~</w:t>
      </w:r>
      <w:r>
        <w:rPr>
          <w:rStyle w:val="NormalTok"/>
        </w:rPr>
        <w:t xml:space="preserve"> wj_sub_test </w:t>
      </w:r>
      <w:r>
        <w:rPr>
          <w:rStyle w:val="SpecialCharTok"/>
        </w:rPr>
        <w:t xml:space="preserve">*</w:t>
      </w:r>
      <w:r>
        <w:rPr>
          <w:rStyle w:val="NormalTok"/>
        </w:rPr>
        <w:t xml:space="preserve"> adversity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 =</w:t>
      </w:r>
      <w:r>
        <w:rPr>
          <w:rStyle w:val="NormalTok"/>
        </w:rPr>
        <w:t xml:space="preserve"> example_data3)</w:t>
      </w:r>
    </w:p>
    <w:p>
      <w:pPr>
        <w:pStyle w:val="FirstParagraph"/>
      </w:pPr>
      <w:r>
        <w:t xml:space="preserve">Below is an example of the output from the above analysis:</w:t>
      </w:r>
    </w:p>
    <w:p>
      <w:pPr>
        <w:pStyle w:val="BodyText"/>
      </w:pPr>
      <w:r>
        <w:rPr>
          <w:bCs/>
          <w:b/>
        </w:rPr>
        <w:t xml:space="preserve">Unstandardized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parameters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(Effects </w:t>
      </w:r>
      <w:r>
        <w:rPr>
          <w:rStyle w:val="SpecialCharTok"/>
        </w:rPr>
        <w:t xml:space="preserve">==</w:t>
      </w:r>
      <w:r>
        <w:rPr>
          <w:rStyle w:val="NormalTok"/>
        </w:rPr>
        <w:t xml:space="preserve"> </w:t>
      </w:r>
      <w:r>
        <w:rPr>
          <w:rStyle w:val="StringTok"/>
        </w:rPr>
        <w:t xml:space="preserve">"fixed"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(Parameter, Coefficient, SE, p)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Coefficient</w:t>
            </w:r>
          </w:p>
        </w:tc>
        <w:tc>
          <w:tcPr/>
          <w:p>
            <w:pPr>
              <w:pStyle w:val="Compact"/>
              <w:jc w:val="right"/>
            </w:pPr>
            <w:r>
              <w:t xml:space="preserve">SE</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105.338</w:t>
            </w:r>
          </w:p>
        </w:tc>
        <w:tc>
          <w:tcPr/>
          <w:p>
            <w:pPr>
              <w:pStyle w:val="Compact"/>
              <w:jc w:val="right"/>
            </w:pPr>
            <w:r>
              <w:t xml:space="preserve">0.321</w:t>
            </w:r>
          </w:p>
        </w:tc>
        <w:tc>
          <w:tcPr/>
          <w:p>
            <w:pPr>
              <w:pStyle w:val="Compact"/>
              <w:jc w:val="right"/>
            </w:pPr>
            <w:r>
              <w:t xml:space="preserve">0.000</w:t>
            </w:r>
          </w:p>
        </w:tc>
      </w:tr>
      <w:tr>
        <w:tc>
          <w:tcPr/>
          <w:p>
            <w:pPr>
              <w:pStyle w:val="Compact"/>
              <w:jc w:val="left"/>
            </w:pPr>
            <w:r>
              <w:t xml:space="preserve">appld</w:t>
            </w:r>
          </w:p>
        </w:tc>
        <w:tc>
          <w:tcPr/>
          <w:p>
            <w:pPr>
              <w:pStyle w:val="Compact"/>
              <w:jc w:val="right"/>
            </w:pPr>
            <w:r>
              <w:t xml:space="preserve">2.566</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calc</w:t>
            </w:r>
          </w:p>
        </w:tc>
        <w:tc>
          <w:tcPr/>
          <w:p>
            <w:pPr>
              <w:pStyle w:val="Compact"/>
              <w:jc w:val="right"/>
            </w:pPr>
            <w:r>
              <w:t xml:space="preserve">6.541</w:t>
            </w:r>
          </w:p>
        </w:tc>
        <w:tc>
          <w:tcPr/>
          <w:p>
            <w:pPr>
              <w:pStyle w:val="Compact"/>
              <w:jc w:val="right"/>
            </w:pPr>
            <w:r>
              <w:t xml:space="preserve">0.268</w:t>
            </w:r>
          </w:p>
        </w:tc>
        <w:tc>
          <w:tcPr/>
          <w:p>
            <w:pPr>
              <w:pStyle w:val="Compact"/>
              <w:jc w:val="right"/>
            </w:pPr>
            <w:r>
              <w:t xml:space="preserve">0.000</w:t>
            </w:r>
          </w:p>
        </w:tc>
      </w:tr>
      <w:tr>
        <w:tc>
          <w:tcPr/>
          <w:p>
            <w:pPr>
              <w:pStyle w:val="Compact"/>
              <w:jc w:val="left"/>
            </w:pPr>
            <w:r>
              <w:t xml:space="preserve">incom</w:t>
            </w:r>
          </w:p>
        </w:tc>
        <w:tc>
          <w:tcPr/>
          <w:p>
            <w:pPr>
              <w:pStyle w:val="Compact"/>
              <w:jc w:val="right"/>
            </w:pPr>
            <w:r>
              <w:t xml:space="preserve">-9.193</w:t>
            </w:r>
          </w:p>
        </w:tc>
        <w:tc>
          <w:tcPr/>
          <w:p>
            <w:pPr>
              <w:pStyle w:val="Compact"/>
              <w:jc w:val="right"/>
            </w:pPr>
            <w:r>
              <w:t xml:space="preserve">0.266</w:t>
            </w:r>
          </w:p>
        </w:tc>
        <w:tc>
          <w:tcPr/>
          <w:p>
            <w:pPr>
              <w:pStyle w:val="Compact"/>
              <w:jc w:val="right"/>
            </w:pPr>
            <w:r>
              <w:t xml:space="preserve">0.000</w:t>
            </w:r>
          </w:p>
        </w:tc>
      </w:tr>
      <w:tr>
        <w:tc>
          <w:tcPr/>
          <w:p>
            <w:pPr>
              <w:pStyle w:val="Compact"/>
              <w:jc w:val="left"/>
            </w:pPr>
            <w:r>
              <w:t xml:space="preserve">lwid</w:t>
            </w:r>
          </w:p>
        </w:tc>
        <w:tc>
          <w:tcPr/>
          <w:p>
            <w:pPr>
              <w:pStyle w:val="Compact"/>
              <w:jc w:val="right"/>
            </w:pPr>
            <w:r>
              <w:t xml:space="preserve">1.600</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memna</w:t>
            </w:r>
          </w:p>
        </w:tc>
        <w:tc>
          <w:tcPr/>
          <w:p>
            <w:pPr>
              <w:pStyle w:val="Compact"/>
              <w:jc w:val="right"/>
            </w:pPr>
            <w:r>
              <w:t xml:space="preserve">-0.233</w:t>
            </w:r>
          </w:p>
        </w:tc>
        <w:tc>
          <w:tcPr/>
          <w:p>
            <w:pPr>
              <w:pStyle w:val="Compact"/>
              <w:jc w:val="right"/>
            </w:pPr>
            <w:r>
              <w:t xml:space="preserve">0.264</w:t>
            </w:r>
          </w:p>
        </w:tc>
        <w:tc>
          <w:tcPr/>
          <w:p>
            <w:pPr>
              <w:pStyle w:val="Compact"/>
              <w:jc w:val="right"/>
            </w:pPr>
            <w:r>
              <w:t xml:space="preserve">0.378</w:t>
            </w:r>
          </w:p>
        </w:tc>
      </w:tr>
      <w:tr>
        <w:tc>
          <w:tcPr/>
          <w:p>
            <w:pPr>
              <w:pStyle w:val="Compact"/>
              <w:jc w:val="left"/>
            </w:pPr>
            <w:r>
              <w:t xml:space="preserve">memse</w:t>
            </w:r>
          </w:p>
        </w:tc>
        <w:tc>
          <w:tcPr/>
          <w:p>
            <w:pPr>
              <w:pStyle w:val="Compact"/>
              <w:jc w:val="right"/>
            </w:pPr>
            <w:r>
              <w:t xml:space="preserve">-8.311</w:t>
            </w:r>
          </w:p>
        </w:tc>
        <w:tc>
          <w:tcPr/>
          <w:p>
            <w:pPr>
              <w:pStyle w:val="Compact"/>
              <w:jc w:val="right"/>
            </w:pPr>
            <w:r>
              <w:t xml:space="preserve">0.260</w:t>
            </w:r>
          </w:p>
        </w:tc>
        <w:tc>
          <w:tcPr/>
          <w:p>
            <w:pPr>
              <w:pStyle w:val="Compact"/>
              <w:jc w:val="right"/>
            </w:pPr>
            <w:r>
              <w:t xml:space="preserve">0.000</w:t>
            </w:r>
          </w:p>
        </w:tc>
      </w:tr>
      <w:tr>
        <w:tc>
          <w:tcPr/>
          <w:p>
            <w:pPr>
              <w:pStyle w:val="Compact"/>
              <w:jc w:val="left"/>
            </w:pPr>
            <w:r>
              <w:t xml:space="preserve">picvo</w:t>
            </w:r>
          </w:p>
        </w:tc>
        <w:tc>
          <w:tcPr/>
          <w:p>
            <w:pPr>
              <w:pStyle w:val="Compact"/>
              <w:jc w:val="right"/>
            </w:pPr>
            <w:r>
              <w:t xml:space="preserve">-2.697</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pscmp</w:t>
            </w:r>
          </w:p>
        </w:tc>
        <w:tc>
          <w:tcPr/>
          <w:p>
            <w:pPr>
              <w:pStyle w:val="Compact"/>
              <w:jc w:val="right"/>
            </w:pPr>
            <w:r>
              <w:t xml:space="preserve">3.071</w:t>
            </w:r>
          </w:p>
        </w:tc>
        <w:tc>
          <w:tcPr/>
          <w:p>
            <w:pPr>
              <w:pStyle w:val="Compact"/>
              <w:jc w:val="right"/>
            </w:pPr>
            <w:r>
              <w:t xml:space="preserve">0.267</w:t>
            </w:r>
          </w:p>
        </w:tc>
        <w:tc>
          <w:tcPr/>
          <w:p>
            <w:pPr>
              <w:pStyle w:val="Compact"/>
              <w:jc w:val="right"/>
            </w:pPr>
            <w:r>
              <w:t xml:space="preserve">0.000</w:t>
            </w:r>
          </w:p>
        </w:tc>
      </w:tr>
      <w:tr>
        <w:tc>
          <w:tcPr/>
          <w:p>
            <w:pPr>
              <w:pStyle w:val="Compact"/>
              <w:jc w:val="left"/>
            </w:pPr>
            <w:r>
              <w:t xml:space="preserve">vrba</w:t>
            </w:r>
          </w:p>
        </w:tc>
        <w:tc>
          <w:tcPr/>
          <w:p>
            <w:pPr>
              <w:pStyle w:val="Compact"/>
              <w:jc w:val="right"/>
            </w:pPr>
            <w:r>
              <w:t xml:space="preserve">5.443</w:t>
            </w:r>
          </w:p>
        </w:tc>
        <w:tc>
          <w:tcPr/>
          <w:p>
            <w:pPr>
              <w:pStyle w:val="Compact"/>
              <w:jc w:val="right"/>
            </w:pPr>
            <w:r>
              <w:t xml:space="preserve">0.269</w:t>
            </w:r>
          </w:p>
        </w:tc>
        <w:tc>
          <w:tcPr/>
          <w:p>
            <w:pPr>
              <w:pStyle w:val="Compact"/>
              <w:jc w:val="right"/>
            </w:pPr>
            <w:r>
              <w:t xml:space="preserve">0.000</w:t>
            </w:r>
          </w:p>
        </w:tc>
      </w:tr>
      <w:tr>
        <w:tc>
          <w:tcPr/>
          <w:p>
            <w:pPr>
              <w:pStyle w:val="Compact"/>
              <w:jc w:val="left"/>
            </w:pPr>
            <w:r>
              <w:t xml:space="preserve">adversity</w:t>
            </w:r>
          </w:p>
        </w:tc>
        <w:tc>
          <w:tcPr/>
          <w:p>
            <w:pPr>
              <w:pStyle w:val="Compact"/>
              <w:jc w:val="right"/>
            </w:pPr>
            <w:r>
              <w:t xml:space="preserve">0.302</w:t>
            </w:r>
          </w:p>
        </w:tc>
        <w:tc>
          <w:tcPr/>
          <w:p>
            <w:pPr>
              <w:pStyle w:val="Compact"/>
              <w:jc w:val="right"/>
            </w:pPr>
            <w:r>
              <w:t xml:space="preserve">0.322</w:t>
            </w:r>
          </w:p>
        </w:tc>
        <w:tc>
          <w:tcPr/>
          <w:p>
            <w:pPr>
              <w:pStyle w:val="Compact"/>
              <w:jc w:val="right"/>
            </w:pPr>
            <w:r>
              <w:t xml:space="preserve">0.348</w:t>
            </w:r>
          </w:p>
        </w:tc>
      </w:tr>
      <w:tr>
        <w:tc>
          <w:tcPr/>
          <w:p>
            <w:pPr>
              <w:pStyle w:val="Compact"/>
              <w:jc w:val="left"/>
            </w:pPr>
            <w:r>
              <w:t xml:space="preserve">appld * adversity</w:t>
            </w:r>
          </w:p>
        </w:tc>
        <w:tc>
          <w:tcPr/>
          <w:p>
            <w:pPr>
              <w:pStyle w:val="Compact"/>
              <w:jc w:val="right"/>
            </w:pPr>
            <w:r>
              <w:t xml:space="preserve">-0.059</w:t>
            </w:r>
          </w:p>
        </w:tc>
        <w:tc>
          <w:tcPr/>
          <w:p>
            <w:pPr>
              <w:pStyle w:val="Compact"/>
              <w:jc w:val="right"/>
            </w:pPr>
            <w:r>
              <w:t xml:space="preserve">0.259</w:t>
            </w:r>
          </w:p>
        </w:tc>
        <w:tc>
          <w:tcPr/>
          <w:p>
            <w:pPr>
              <w:pStyle w:val="Compact"/>
              <w:jc w:val="right"/>
            </w:pPr>
            <w:r>
              <w:t xml:space="preserve">0.821</w:t>
            </w:r>
          </w:p>
        </w:tc>
      </w:tr>
      <w:tr>
        <w:tc>
          <w:tcPr/>
          <w:p>
            <w:pPr>
              <w:pStyle w:val="Compact"/>
              <w:jc w:val="left"/>
            </w:pPr>
            <w:r>
              <w:t xml:space="preserve">calc * adversity</w:t>
            </w:r>
          </w:p>
        </w:tc>
        <w:tc>
          <w:tcPr/>
          <w:p>
            <w:pPr>
              <w:pStyle w:val="Compact"/>
              <w:jc w:val="right"/>
            </w:pPr>
            <w:r>
              <w:t xml:space="preserve">-0.217</w:t>
            </w:r>
          </w:p>
        </w:tc>
        <w:tc>
          <w:tcPr/>
          <w:p>
            <w:pPr>
              <w:pStyle w:val="Compact"/>
              <w:jc w:val="right"/>
            </w:pPr>
            <w:r>
              <w:t xml:space="preserve">0.270</w:t>
            </w:r>
          </w:p>
        </w:tc>
        <w:tc>
          <w:tcPr/>
          <w:p>
            <w:pPr>
              <w:pStyle w:val="Compact"/>
              <w:jc w:val="right"/>
            </w:pPr>
            <w:r>
              <w:t xml:space="preserve">0.422</w:t>
            </w:r>
          </w:p>
        </w:tc>
      </w:tr>
      <w:tr>
        <w:tc>
          <w:tcPr/>
          <w:p>
            <w:pPr>
              <w:pStyle w:val="Compact"/>
              <w:jc w:val="left"/>
            </w:pPr>
            <w:r>
              <w:t xml:space="preserve">incom * adversity</w:t>
            </w:r>
          </w:p>
        </w:tc>
        <w:tc>
          <w:tcPr/>
          <w:p>
            <w:pPr>
              <w:pStyle w:val="Compact"/>
              <w:jc w:val="right"/>
            </w:pPr>
            <w:r>
              <w:t xml:space="preserve">-0.349</w:t>
            </w:r>
          </w:p>
        </w:tc>
        <w:tc>
          <w:tcPr/>
          <w:p>
            <w:pPr>
              <w:pStyle w:val="Compact"/>
              <w:jc w:val="right"/>
            </w:pPr>
            <w:r>
              <w:t xml:space="preserve">0.267</w:t>
            </w:r>
          </w:p>
        </w:tc>
        <w:tc>
          <w:tcPr/>
          <w:p>
            <w:pPr>
              <w:pStyle w:val="Compact"/>
              <w:jc w:val="right"/>
            </w:pPr>
            <w:r>
              <w:t xml:space="preserve">0.191</w:t>
            </w:r>
          </w:p>
        </w:tc>
      </w:tr>
      <w:tr>
        <w:tc>
          <w:tcPr/>
          <w:p>
            <w:pPr>
              <w:pStyle w:val="Compact"/>
              <w:jc w:val="left"/>
            </w:pPr>
            <w:r>
              <w:t xml:space="preserve">lwid * adversity</w:t>
            </w:r>
          </w:p>
        </w:tc>
        <w:tc>
          <w:tcPr/>
          <w:p>
            <w:pPr>
              <w:pStyle w:val="Compact"/>
              <w:jc w:val="right"/>
            </w:pPr>
            <w:r>
              <w:t xml:space="preserve">-0.072</w:t>
            </w:r>
          </w:p>
        </w:tc>
        <w:tc>
          <w:tcPr/>
          <w:p>
            <w:pPr>
              <w:pStyle w:val="Compact"/>
              <w:jc w:val="right"/>
            </w:pPr>
            <w:r>
              <w:t xml:space="preserve">0.259</w:t>
            </w:r>
          </w:p>
        </w:tc>
        <w:tc>
          <w:tcPr/>
          <w:p>
            <w:pPr>
              <w:pStyle w:val="Compact"/>
              <w:jc w:val="right"/>
            </w:pPr>
            <w:r>
              <w:t xml:space="preserve">0.781</w:t>
            </w:r>
          </w:p>
        </w:tc>
      </w:tr>
      <w:tr>
        <w:tc>
          <w:tcPr/>
          <w:p>
            <w:pPr>
              <w:pStyle w:val="Compact"/>
              <w:jc w:val="left"/>
            </w:pPr>
            <w:r>
              <w:t xml:space="preserve">memna * adversity</w:t>
            </w:r>
          </w:p>
        </w:tc>
        <w:tc>
          <w:tcPr/>
          <w:p>
            <w:pPr>
              <w:pStyle w:val="Compact"/>
              <w:jc w:val="right"/>
            </w:pPr>
            <w:r>
              <w:t xml:space="preserve">0.343</w:t>
            </w:r>
          </w:p>
        </w:tc>
        <w:tc>
          <w:tcPr/>
          <w:p>
            <w:pPr>
              <w:pStyle w:val="Compact"/>
              <w:jc w:val="right"/>
            </w:pPr>
            <w:r>
              <w:t xml:space="preserve">0.266</w:t>
            </w:r>
          </w:p>
        </w:tc>
        <w:tc>
          <w:tcPr/>
          <w:p>
            <w:pPr>
              <w:pStyle w:val="Compact"/>
              <w:jc w:val="right"/>
            </w:pPr>
            <w:r>
              <w:t xml:space="preserve">0.198</w:t>
            </w:r>
          </w:p>
        </w:tc>
      </w:tr>
      <w:tr>
        <w:tc>
          <w:tcPr/>
          <w:p>
            <w:pPr>
              <w:pStyle w:val="Compact"/>
              <w:jc w:val="left"/>
            </w:pPr>
            <w:r>
              <w:t xml:space="preserve">memse * adversity</w:t>
            </w:r>
          </w:p>
        </w:tc>
        <w:tc>
          <w:tcPr/>
          <w:p>
            <w:pPr>
              <w:pStyle w:val="Compact"/>
              <w:jc w:val="right"/>
            </w:pPr>
            <w:r>
              <w:t xml:space="preserve">0.015</w:t>
            </w:r>
          </w:p>
        </w:tc>
        <w:tc>
          <w:tcPr/>
          <w:p>
            <w:pPr>
              <w:pStyle w:val="Compact"/>
              <w:jc w:val="right"/>
            </w:pPr>
            <w:r>
              <w:t xml:space="preserve">0.261</w:t>
            </w:r>
          </w:p>
        </w:tc>
        <w:tc>
          <w:tcPr/>
          <w:p>
            <w:pPr>
              <w:pStyle w:val="Compact"/>
              <w:jc w:val="right"/>
            </w:pPr>
            <w:r>
              <w:t xml:space="preserve">0.954</w:t>
            </w:r>
          </w:p>
        </w:tc>
      </w:tr>
      <w:tr>
        <w:tc>
          <w:tcPr/>
          <w:p>
            <w:pPr>
              <w:pStyle w:val="Compact"/>
              <w:jc w:val="left"/>
            </w:pPr>
            <w:r>
              <w:t xml:space="preserve">picvo * adversity</w:t>
            </w:r>
          </w:p>
        </w:tc>
        <w:tc>
          <w:tcPr/>
          <w:p>
            <w:pPr>
              <w:pStyle w:val="Compact"/>
              <w:jc w:val="right"/>
            </w:pPr>
            <w:r>
              <w:t xml:space="preserve">0.308</w:t>
            </w:r>
          </w:p>
        </w:tc>
        <w:tc>
          <w:tcPr/>
          <w:p>
            <w:pPr>
              <w:pStyle w:val="Compact"/>
              <w:jc w:val="right"/>
            </w:pPr>
            <w:r>
              <w:t xml:space="preserve">0.259</w:t>
            </w:r>
          </w:p>
        </w:tc>
        <w:tc>
          <w:tcPr/>
          <w:p>
            <w:pPr>
              <w:pStyle w:val="Compact"/>
              <w:jc w:val="right"/>
            </w:pPr>
            <w:r>
              <w:t xml:space="preserve">0.235</w:t>
            </w:r>
          </w:p>
        </w:tc>
      </w:tr>
      <w:tr>
        <w:tc>
          <w:tcPr/>
          <w:p>
            <w:pPr>
              <w:pStyle w:val="Compact"/>
              <w:jc w:val="left"/>
            </w:pPr>
            <w:r>
              <w:t xml:space="preserve">pscmp * adversity</w:t>
            </w:r>
          </w:p>
        </w:tc>
        <w:tc>
          <w:tcPr/>
          <w:p>
            <w:pPr>
              <w:pStyle w:val="Compact"/>
              <w:jc w:val="right"/>
            </w:pPr>
            <w:r>
              <w:t xml:space="preserve">-0.213</w:t>
            </w:r>
          </w:p>
        </w:tc>
        <w:tc>
          <w:tcPr/>
          <w:p>
            <w:pPr>
              <w:pStyle w:val="Compact"/>
              <w:jc w:val="right"/>
            </w:pPr>
            <w:r>
              <w:t xml:space="preserve">0.269</w:t>
            </w:r>
          </w:p>
        </w:tc>
        <w:tc>
          <w:tcPr/>
          <w:p>
            <w:pPr>
              <w:pStyle w:val="Compact"/>
              <w:jc w:val="right"/>
            </w:pPr>
            <w:r>
              <w:t xml:space="preserve">0.430</w:t>
            </w:r>
          </w:p>
        </w:tc>
      </w:tr>
      <w:tr>
        <w:tc>
          <w:tcPr/>
          <w:p>
            <w:pPr>
              <w:pStyle w:val="Compact"/>
              <w:jc w:val="left"/>
            </w:pPr>
            <w:r>
              <w:t xml:space="preserve">vrba * adversity</w:t>
            </w:r>
          </w:p>
        </w:tc>
        <w:tc>
          <w:tcPr/>
          <w:p>
            <w:pPr>
              <w:pStyle w:val="Compact"/>
              <w:jc w:val="right"/>
            </w:pPr>
            <w:r>
              <w:t xml:space="preserve">0.023</w:t>
            </w:r>
          </w:p>
        </w:tc>
        <w:tc>
          <w:tcPr/>
          <w:p>
            <w:pPr>
              <w:pStyle w:val="Compact"/>
              <w:jc w:val="right"/>
            </w:pPr>
            <w:r>
              <w:t xml:space="preserve">0.272</w:t>
            </w:r>
          </w:p>
        </w:tc>
        <w:tc>
          <w:tcPr/>
          <w:p>
            <w:pPr>
              <w:pStyle w:val="Compact"/>
              <w:jc w:val="right"/>
            </w:pPr>
            <w:r>
              <w:t xml:space="preserve">0.931</w:t>
            </w:r>
          </w:p>
        </w:tc>
      </w:tr>
    </w:tbl>
    <w:p>
      <w:pPr>
        <w:pStyle w:val="BodyText"/>
      </w:pPr>
      <w:r>
        <w:rPr>
          <w:bCs/>
          <w:b/>
        </w:rPr>
        <w:t xml:space="preserve">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standardize_parameters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CI)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Std_Coefficient</w:t>
            </w:r>
          </w:p>
        </w:tc>
        <w:tc>
          <w:tcPr/>
          <w:p>
            <w:pPr>
              <w:pStyle w:val="Compact"/>
              <w:jc w:val="right"/>
            </w:pPr>
            <w:r>
              <w:t xml:space="preserve">CI_low</w:t>
            </w:r>
          </w:p>
        </w:tc>
        <w:tc>
          <w:tcPr/>
          <w:p>
            <w:pPr>
              <w:pStyle w:val="Compact"/>
              <w:jc w:val="right"/>
            </w:pPr>
            <w:r>
              <w:t xml:space="preserve">CI_high</w:t>
            </w:r>
          </w:p>
        </w:tc>
      </w:tr>
      <w:tr>
        <w:tc>
          <w:tcPr/>
          <w:p>
            <w:pPr>
              <w:pStyle w:val="Compact"/>
              <w:jc w:val="left"/>
            </w:pPr>
            <w:r>
              <w:t xml:space="preserve">(Intercept)</w:t>
            </w:r>
          </w:p>
        </w:tc>
        <w:tc>
          <w:tcPr/>
          <w:p>
            <w:pPr>
              <w:pStyle w:val="Compact"/>
              <w:jc w:val="right"/>
            </w:pPr>
            <w:r>
              <w:t xml:space="preserve">-0.005</w:t>
            </w:r>
          </w:p>
        </w:tc>
        <w:tc>
          <w:tcPr/>
          <w:p>
            <w:pPr>
              <w:pStyle w:val="Compact"/>
              <w:jc w:val="right"/>
            </w:pPr>
            <w:r>
              <w:t xml:space="preserve">-0.048</w:t>
            </w:r>
          </w:p>
        </w:tc>
        <w:tc>
          <w:tcPr/>
          <w:p>
            <w:pPr>
              <w:pStyle w:val="Compact"/>
              <w:jc w:val="right"/>
            </w:pPr>
            <w:r>
              <w:t xml:space="preserve">0.037</w:t>
            </w:r>
          </w:p>
        </w:tc>
      </w:tr>
      <w:tr>
        <w:tc>
          <w:tcPr/>
          <w:p>
            <w:pPr>
              <w:pStyle w:val="Compact"/>
              <w:jc w:val="left"/>
            </w:pPr>
            <w:r>
              <w:t xml:space="preserve">appld</w:t>
            </w:r>
          </w:p>
        </w:tc>
        <w:tc>
          <w:tcPr/>
          <w:p>
            <w:pPr>
              <w:pStyle w:val="Compact"/>
              <w:jc w:val="right"/>
            </w:pPr>
            <w:r>
              <w:t xml:space="preserve">0.173</w:t>
            </w:r>
          </w:p>
        </w:tc>
        <w:tc>
          <w:tcPr/>
          <w:p>
            <w:pPr>
              <w:pStyle w:val="Compact"/>
              <w:jc w:val="right"/>
            </w:pPr>
            <w:r>
              <w:t xml:space="preserve">0.139</w:t>
            </w:r>
          </w:p>
        </w:tc>
        <w:tc>
          <w:tcPr/>
          <w:p>
            <w:pPr>
              <w:pStyle w:val="Compact"/>
              <w:jc w:val="right"/>
            </w:pPr>
            <w:r>
              <w:t xml:space="preserve">0.207</w:t>
            </w:r>
          </w:p>
        </w:tc>
      </w:tr>
      <w:tr>
        <w:tc>
          <w:tcPr/>
          <w:p>
            <w:pPr>
              <w:pStyle w:val="Compact"/>
              <w:jc w:val="left"/>
            </w:pPr>
            <w:r>
              <w:t xml:space="preserve">calc</w:t>
            </w:r>
          </w:p>
        </w:tc>
        <w:tc>
          <w:tcPr/>
          <w:p>
            <w:pPr>
              <w:pStyle w:val="Compact"/>
              <w:jc w:val="right"/>
            </w:pPr>
            <w:r>
              <w:t xml:space="preserve">0.441</w:t>
            </w:r>
          </w:p>
        </w:tc>
        <w:tc>
          <w:tcPr/>
          <w:p>
            <w:pPr>
              <w:pStyle w:val="Compact"/>
              <w:jc w:val="right"/>
            </w:pPr>
            <w:r>
              <w:t xml:space="preserve">0.406</w:t>
            </w:r>
          </w:p>
        </w:tc>
        <w:tc>
          <w:tcPr/>
          <w:p>
            <w:pPr>
              <w:pStyle w:val="Compact"/>
              <w:jc w:val="right"/>
            </w:pPr>
            <w:r>
              <w:t xml:space="preserve">0.476</w:t>
            </w:r>
          </w:p>
        </w:tc>
      </w:tr>
      <w:tr>
        <w:tc>
          <w:tcPr/>
          <w:p>
            <w:pPr>
              <w:pStyle w:val="Compact"/>
              <w:jc w:val="left"/>
            </w:pPr>
            <w:r>
              <w:t xml:space="preserve">incom</w:t>
            </w:r>
          </w:p>
        </w:tc>
        <w:tc>
          <w:tcPr/>
          <w:p>
            <w:pPr>
              <w:pStyle w:val="Compact"/>
              <w:jc w:val="right"/>
            </w:pPr>
            <w:r>
              <w:t xml:space="preserve">-0.620</w:t>
            </w:r>
          </w:p>
        </w:tc>
        <w:tc>
          <w:tcPr/>
          <w:p>
            <w:pPr>
              <w:pStyle w:val="Compact"/>
              <w:jc w:val="right"/>
            </w:pPr>
            <w:r>
              <w:t xml:space="preserve">-0.655</w:t>
            </w:r>
          </w:p>
        </w:tc>
        <w:tc>
          <w:tcPr/>
          <w:p>
            <w:pPr>
              <w:pStyle w:val="Compact"/>
              <w:jc w:val="right"/>
            </w:pPr>
            <w:r>
              <w:t xml:space="preserve">-0.585</w:t>
            </w:r>
          </w:p>
        </w:tc>
      </w:tr>
      <w:tr>
        <w:tc>
          <w:tcPr/>
          <w:p>
            <w:pPr>
              <w:pStyle w:val="Compact"/>
              <w:jc w:val="left"/>
            </w:pPr>
            <w:r>
              <w:t xml:space="preserve">lwid</w:t>
            </w:r>
          </w:p>
        </w:tc>
        <w:tc>
          <w:tcPr/>
          <w:p>
            <w:pPr>
              <w:pStyle w:val="Compact"/>
              <w:jc w:val="right"/>
            </w:pPr>
            <w:r>
              <w:t xml:space="preserve">0.108</w:t>
            </w:r>
          </w:p>
        </w:tc>
        <w:tc>
          <w:tcPr/>
          <w:p>
            <w:pPr>
              <w:pStyle w:val="Compact"/>
              <w:jc w:val="right"/>
            </w:pPr>
            <w:r>
              <w:t xml:space="preserve">0.074</w:t>
            </w:r>
          </w:p>
        </w:tc>
        <w:tc>
          <w:tcPr/>
          <w:p>
            <w:pPr>
              <w:pStyle w:val="Compact"/>
              <w:jc w:val="right"/>
            </w:pPr>
            <w:r>
              <w:t xml:space="preserve">0.142</w:t>
            </w:r>
          </w:p>
        </w:tc>
      </w:tr>
      <w:tr>
        <w:tc>
          <w:tcPr/>
          <w:p>
            <w:pPr>
              <w:pStyle w:val="Compact"/>
              <w:jc w:val="left"/>
            </w:pPr>
            <w:r>
              <w:t xml:space="preserve">memna</w:t>
            </w:r>
          </w:p>
        </w:tc>
        <w:tc>
          <w:tcPr/>
          <w:p>
            <w:pPr>
              <w:pStyle w:val="Compact"/>
              <w:jc w:val="right"/>
            </w:pPr>
            <w:r>
              <w:t xml:space="preserve">-0.016</w:t>
            </w:r>
          </w:p>
        </w:tc>
        <w:tc>
          <w:tcPr/>
          <w:p>
            <w:pPr>
              <w:pStyle w:val="Compact"/>
              <w:jc w:val="right"/>
            </w:pPr>
            <w:r>
              <w:t xml:space="preserve">-0.050</w:t>
            </w:r>
          </w:p>
        </w:tc>
        <w:tc>
          <w:tcPr/>
          <w:p>
            <w:pPr>
              <w:pStyle w:val="Compact"/>
              <w:jc w:val="right"/>
            </w:pPr>
            <w:r>
              <w:t xml:space="preserve">0.019</w:t>
            </w:r>
          </w:p>
        </w:tc>
      </w:tr>
      <w:tr>
        <w:tc>
          <w:tcPr/>
          <w:p>
            <w:pPr>
              <w:pStyle w:val="Compact"/>
              <w:jc w:val="left"/>
            </w:pPr>
            <w:r>
              <w:t xml:space="preserve">memse</w:t>
            </w:r>
          </w:p>
        </w:tc>
        <w:tc>
          <w:tcPr/>
          <w:p>
            <w:pPr>
              <w:pStyle w:val="Compact"/>
              <w:jc w:val="right"/>
            </w:pPr>
            <w:r>
              <w:t xml:space="preserve">-0.560</w:t>
            </w:r>
          </w:p>
        </w:tc>
        <w:tc>
          <w:tcPr/>
          <w:p>
            <w:pPr>
              <w:pStyle w:val="Compact"/>
              <w:jc w:val="right"/>
            </w:pPr>
            <w:r>
              <w:t xml:space="preserve">-0.595</w:t>
            </w:r>
          </w:p>
        </w:tc>
        <w:tc>
          <w:tcPr/>
          <w:p>
            <w:pPr>
              <w:pStyle w:val="Compact"/>
              <w:jc w:val="right"/>
            </w:pPr>
            <w:r>
              <w:t xml:space="preserve">-0.526</w:t>
            </w:r>
          </w:p>
        </w:tc>
      </w:tr>
      <w:tr>
        <w:tc>
          <w:tcPr/>
          <w:p>
            <w:pPr>
              <w:pStyle w:val="Compact"/>
              <w:jc w:val="left"/>
            </w:pPr>
            <w:r>
              <w:t xml:space="preserve">picvo</w:t>
            </w:r>
          </w:p>
        </w:tc>
        <w:tc>
          <w:tcPr/>
          <w:p>
            <w:pPr>
              <w:pStyle w:val="Compact"/>
              <w:jc w:val="right"/>
            </w:pPr>
            <w:r>
              <w:t xml:space="preserve">-0.182</w:t>
            </w:r>
          </w:p>
        </w:tc>
        <w:tc>
          <w:tcPr/>
          <w:p>
            <w:pPr>
              <w:pStyle w:val="Compact"/>
              <w:jc w:val="right"/>
            </w:pPr>
            <w:r>
              <w:t xml:space="preserve">-0.216</w:t>
            </w:r>
          </w:p>
        </w:tc>
        <w:tc>
          <w:tcPr/>
          <w:p>
            <w:pPr>
              <w:pStyle w:val="Compact"/>
              <w:jc w:val="right"/>
            </w:pPr>
            <w:r>
              <w:t xml:space="preserve">-0.148</w:t>
            </w:r>
          </w:p>
        </w:tc>
      </w:tr>
      <w:tr>
        <w:tc>
          <w:tcPr/>
          <w:p>
            <w:pPr>
              <w:pStyle w:val="Compact"/>
              <w:jc w:val="left"/>
            </w:pPr>
            <w:r>
              <w:t xml:space="preserve">pscmp</w:t>
            </w:r>
          </w:p>
        </w:tc>
        <w:tc>
          <w:tcPr/>
          <w:p>
            <w:pPr>
              <w:pStyle w:val="Compact"/>
              <w:jc w:val="right"/>
            </w:pPr>
            <w:r>
              <w:t xml:space="preserve">0.207</w:t>
            </w:r>
          </w:p>
        </w:tc>
        <w:tc>
          <w:tcPr/>
          <w:p>
            <w:pPr>
              <w:pStyle w:val="Compact"/>
              <w:jc w:val="right"/>
            </w:pPr>
            <w:r>
              <w:t xml:space="preserve">0.172</w:t>
            </w:r>
          </w:p>
        </w:tc>
        <w:tc>
          <w:tcPr/>
          <w:p>
            <w:pPr>
              <w:pStyle w:val="Compact"/>
              <w:jc w:val="right"/>
            </w:pPr>
            <w:r>
              <w:t xml:space="preserve">0.242</w:t>
            </w:r>
          </w:p>
        </w:tc>
      </w:tr>
      <w:tr>
        <w:tc>
          <w:tcPr/>
          <w:p>
            <w:pPr>
              <w:pStyle w:val="Compact"/>
              <w:jc w:val="left"/>
            </w:pPr>
            <w:r>
              <w:t xml:space="preserve">vrba</w:t>
            </w:r>
          </w:p>
        </w:tc>
        <w:tc>
          <w:tcPr/>
          <w:p>
            <w:pPr>
              <w:pStyle w:val="Compact"/>
              <w:jc w:val="right"/>
            </w:pPr>
            <w:r>
              <w:t xml:space="preserve">0.367</w:t>
            </w:r>
          </w:p>
        </w:tc>
        <w:tc>
          <w:tcPr/>
          <w:p>
            <w:pPr>
              <w:pStyle w:val="Compact"/>
              <w:jc w:val="right"/>
            </w:pPr>
            <w:r>
              <w:t xml:space="preserve">0.331</w:t>
            </w:r>
          </w:p>
        </w:tc>
        <w:tc>
          <w:tcPr/>
          <w:p>
            <w:pPr>
              <w:pStyle w:val="Compact"/>
              <w:jc w:val="right"/>
            </w:pPr>
            <w:r>
              <w:t xml:space="preserve">0.403</w:t>
            </w:r>
          </w:p>
        </w:tc>
      </w:tr>
      <w:tr>
        <w:tc>
          <w:tcPr/>
          <w:p>
            <w:pPr>
              <w:pStyle w:val="Compact"/>
              <w:jc w:val="left"/>
            </w:pPr>
            <w:r>
              <w:t xml:space="preserve">adversity</w:t>
            </w:r>
          </w:p>
        </w:tc>
        <w:tc>
          <w:tcPr/>
          <w:p>
            <w:pPr>
              <w:pStyle w:val="Compact"/>
              <w:jc w:val="right"/>
            </w:pPr>
            <w:r>
              <w:t xml:space="preserve">0.020</w:t>
            </w:r>
          </w:p>
        </w:tc>
        <w:tc>
          <w:tcPr/>
          <w:p>
            <w:pPr>
              <w:pStyle w:val="Compact"/>
              <w:jc w:val="right"/>
            </w:pPr>
            <w:r>
              <w:t xml:space="preserve">-0.022</w:t>
            </w:r>
          </w:p>
        </w:tc>
        <w:tc>
          <w:tcPr/>
          <w:p>
            <w:pPr>
              <w:pStyle w:val="Compact"/>
              <w:jc w:val="right"/>
            </w:pPr>
            <w:r>
              <w:t xml:space="preserve">0.063</w:t>
            </w:r>
          </w:p>
        </w:tc>
      </w:tr>
      <w:tr>
        <w:tc>
          <w:tcPr/>
          <w:p>
            <w:pPr>
              <w:pStyle w:val="Compact"/>
              <w:jc w:val="left"/>
            </w:pPr>
            <w:r>
              <w:t xml:space="preserve">appld * adversity</w:t>
            </w:r>
          </w:p>
        </w:tc>
        <w:tc>
          <w:tcPr/>
          <w:p>
            <w:pPr>
              <w:pStyle w:val="Compact"/>
              <w:jc w:val="right"/>
            </w:pPr>
            <w:r>
              <w:t xml:space="preserve">-0.004</w:t>
            </w:r>
          </w:p>
        </w:tc>
        <w:tc>
          <w:tcPr/>
          <w:p>
            <w:pPr>
              <w:pStyle w:val="Compact"/>
              <w:jc w:val="right"/>
            </w:pPr>
            <w:r>
              <w:t xml:space="preserve">-0.038</w:t>
            </w:r>
          </w:p>
        </w:tc>
        <w:tc>
          <w:tcPr/>
          <w:p>
            <w:pPr>
              <w:pStyle w:val="Compact"/>
              <w:jc w:val="right"/>
            </w:pPr>
            <w:r>
              <w:t xml:space="preserve">0.030</w:t>
            </w:r>
          </w:p>
        </w:tc>
      </w:tr>
      <w:tr>
        <w:tc>
          <w:tcPr/>
          <w:p>
            <w:pPr>
              <w:pStyle w:val="Compact"/>
              <w:jc w:val="left"/>
            </w:pPr>
            <w:r>
              <w:t xml:space="preserve">calc * adversity</w:t>
            </w:r>
          </w:p>
        </w:tc>
        <w:tc>
          <w:tcPr/>
          <w:p>
            <w:pPr>
              <w:pStyle w:val="Compact"/>
              <w:jc w:val="right"/>
            </w:pPr>
            <w:r>
              <w:t xml:space="preserve">-0.015</w:t>
            </w:r>
          </w:p>
        </w:tc>
        <w:tc>
          <w:tcPr/>
          <w:p>
            <w:pPr>
              <w:pStyle w:val="Compact"/>
              <w:jc w:val="right"/>
            </w:pPr>
            <w:r>
              <w:t xml:space="preserve">-0.050</w:t>
            </w:r>
          </w:p>
        </w:tc>
        <w:tc>
          <w:tcPr/>
          <w:p>
            <w:pPr>
              <w:pStyle w:val="Compact"/>
              <w:jc w:val="right"/>
            </w:pPr>
            <w:r>
              <w:t xml:space="preserve">0.021</w:t>
            </w:r>
          </w:p>
        </w:tc>
      </w:tr>
      <w:tr>
        <w:tc>
          <w:tcPr/>
          <w:p>
            <w:pPr>
              <w:pStyle w:val="Compact"/>
              <w:jc w:val="left"/>
            </w:pPr>
            <w:r>
              <w:t xml:space="preserve">incom * adversity</w:t>
            </w:r>
          </w:p>
        </w:tc>
        <w:tc>
          <w:tcPr/>
          <w:p>
            <w:pPr>
              <w:pStyle w:val="Compact"/>
              <w:jc w:val="right"/>
            </w:pPr>
            <w:r>
              <w:t xml:space="preserve">-0.023</w:t>
            </w:r>
          </w:p>
        </w:tc>
        <w:tc>
          <w:tcPr/>
          <w:p>
            <w:pPr>
              <w:pStyle w:val="Compact"/>
              <w:jc w:val="right"/>
            </w:pPr>
            <w:r>
              <w:t xml:space="preserve">-0.059</w:t>
            </w:r>
          </w:p>
        </w:tc>
        <w:tc>
          <w:tcPr/>
          <w:p>
            <w:pPr>
              <w:pStyle w:val="Compact"/>
              <w:jc w:val="right"/>
            </w:pPr>
            <w:r>
              <w:t xml:space="preserve">0.012</w:t>
            </w:r>
          </w:p>
        </w:tc>
      </w:tr>
      <w:tr>
        <w:tc>
          <w:tcPr/>
          <w:p>
            <w:pPr>
              <w:pStyle w:val="Compact"/>
              <w:jc w:val="left"/>
            </w:pPr>
            <w:r>
              <w:t xml:space="preserve">lwid * adversity</w:t>
            </w:r>
          </w:p>
        </w:tc>
        <w:tc>
          <w:tcPr/>
          <w:p>
            <w:pPr>
              <w:pStyle w:val="Compact"/>
              <w:jc w:val="right"/>
            </w:pPr>
            <w:r>
              <w:t xml:space="preserve">-0.005</w:t>
            </w:r>
          </w:p>
        </w:tc>
        <w:tc>
          <w:tcPr/>
          <w:p>
            <w:pPr>
              <w:pStyle w:val="Compact"/>
              <w:jc w:val="right"/>
            </w:pPr>
            <w:r>
              <w:t xml:space="preserve">-0.039</w:t>
            </w:r>
          </w:p>
        </w:tc>
        <w:tc>
          <w:tcPr/>
          <w:p>
            <w:pPr>
              <w:pStyle w:val="Compact"/>
              <w:jc w:val="right"/>
            </w:pPr>
            <w:r>
              <w:t xml:space="preserve">0.029</w:t>
            </w:r>
          </w:p>
        </w:tc>
      </w:tr>
      <w:tr>
        <w:tc>
          <w:tcPr/>
          <w:p>
            <w:pPr>
              <w:pStyle w:val="Compact"/>
              <w:jc w:val="left"/>
            </w:pPr>
            <w:r>
              <w:t xml:space="preserve">memna * adversity</w:t>
            </w:r>
          </w:p>
        </w:tc>
        <w:tc>
          <w:tcPr/>
          <w:p>
            <w:pPr>
              <w:pStyle w:val="Compact"/>
              <w:jc w:val="right"/>
            </w:pPr>
            <w:r>
              <w:t xml:space="preserve">0.023</w:t>
            </w:r>
          </w:p>
        </w:tc>
        <w:tc>
          <w:tcPr/>
          <w:p>
            <w:pPr>
              <w:pStyle w:val="Compact"/>
              <w:jc w:val="right"/>
            </w:pPr>
            <w:r>
              <w:t xml:space="preserve">-0.012</w:t>
            </w:r>
          </w:p>
        </w:tc>
        <w:tc>
          <w:tcPr/>
          <w:p>
            <w:pPr>
              <w:pStyle w:val="Compact"/>
              <w:jc w:val="right"/>
            </w:pPr>
            <w:r>
              <w:t xml:space="preserve">0.058</w:t>
            </w:r>
          </w:p>
        </w:tc>
      </w:tr>
      <w:tr>
        <w:tc>
          <w:tcPr/>
          <w:p>
            <w:pPr>
              <w:pStyle w:val="Compact"/>
              <w:jc w:val="left"/>
            </w:pPr>
            <w:r>
              <w:t xml:space="preserve">memse * adversity</w:t>
            </w:r>
          </w:p>
        </w:tc>
        <w:tc>
          <w:tcPr/>
          <w:p>
            <w:pPr>
              <w:pStyle w:val="Compact"/>
              <w:jc w:val="right"/>
            </w:pPr>
            <w:r>
              <w:t xml:space="preserve">0.001</w:t>
            </w:r>
          </w:p>
        </w:tc>
        <w:tc>
          <w:tcPr/>
          <w:p>
            <w:pPr>
              <w:pStyle w:val="Compact"/>
              <w:jc w:val="right"/>
            </w:pPr>
            <w:r>
              <w:t xml:space="preserve">-0.033</w:t>
            </w:r>
          </w:p>
        </w:tc>
        <w:tc>
          <w:tcPr/>
          <w:p>
            <w:pPr>
              <w:pStyle w:val="Compact"/>
              <w:jc w:val="right"/>
            </w:pPr>
            <w:r>
              <w:t xml:space="preserve">0.035</w:t>
            </w:r>
          </w:p>
        </w:tc>
      </w:tr>
      <w:tr>
        <w:tc>
          <w:tcPr/>
          <w:p>
            <w:pPr>
              <w:pStyle w:val="Compact"/>
              <w:jc w:val="left"/>
            </w:pPr>
            <w:r>
              <w:t xml:space="preserve">picvo * adversity</w:t>
            </w:r>
          </w:p>
        </w:tc>
        <w:tc>
          <w:tcPr/>
          <w:p>
            <w:pPr>
              <w:pStyle w:val="Compact"/>
              <w:jc w:val="right"/>
            </w:pPr>
            <w:r>
              <w:t xml:space="preserve">0.021</w:t>
            </w:r>
          </w:p>
        </w:tc>
        <w:tc>
          <w:tcPr/>
          <w:p>
            <w:pPr>
              <w:pStyle w:val="Compact"/>
              <w:jc w:val="right"/>
            </w:pPr>
            <w:r>
              <w:t xml:space="preserve">-0.013</w:t>
            </w:r>
          </w:p>
        </w:tc>
        <w:tc>
          <w:tcPr/>
          <w:p>
            <w:pPr>
              <w:pStyle w:val="Compact"/>
              <w:jc w:val="right"/>
            </w:pPr>
            <w:r>
              <w:t xml:space="preserve">0.055</w:t>
            </w:r>
          </w:p>
        </w:tc>
      </w:tr>
      <w:tr>
        <w:tc>
          <w:tcPr/>
          <w:p>
            <w:pPr>
              <w:pStyle w:val="Compact"/>
              <w:jc w:val="left"/>
            </w:pPr>
            <w:r>
              <w:t xml:space="preserve">pscmp * adversity</w:t>
            </w:r>
          </w:p>
        </w:tc>
        <w:tc>
          <w:tcPr/>
          <w:p>
            <w:pPr>
              <w:pStyle w:val="Compact"/>
              <w:jc w:val="right"/>
            </w:pPr>
            <w:r>
              <w:t xml:space="preserve">-0.014</w:t>
            </w:r>
          </w:p>
        </w:tc>
        <w:tc>
          <w:tcPr/>
          <w:p>
            <w:pPr>
              <w:pStyle w:val="Compact"/>
              <w:jc w:val="right"/>
            </w:pPr>
            <w:r>
              <w:t xml:space="preserve">-0.050</w:t>
            </w:r>
          </w:p>
        </w:tc>
        <w:tc>
          <w:tcPr/>
          <w:p>
            <w:pPr>
              <w:pStyle w:val="Compact"/>
              <w:jc w:val="right"/>
            </w:pPr>
            <w:r>
              <w:t xml:space="preserve">0.021</w:t>
            </w:r>
          </w:p>
        </w:tc>
      </w:tr>
      <w:tr>
        <w:tc>
          <w:tcPr/>
          <w:p>
            <w:pPr>
              <w:pStyle w:val="Compact"/>
              <w:jc w:val="left"/>
            </w:pPr>
            <w:r>
              <w:t xml:space="preserve">vrba * adversity</w:t>
            </w:r>
          </w:p>
        </w:tc>
        <w:tc>
          <w:tcPr/>
          <w:p>
            <w:pPr>
              <w:pStyle w:val="Compact"/>
              <w:jc w:val="right"/>
            </w:pPr>
            <w:r>
              <w:t xml:space="preserve">0.002</w:t>
            </w:r>
          </w:p>
        </w:tc>
        <w:tc>
          <w:tcPr/>
          <w:p>
            <w:pPr>
              <w:pStyle w:val="Compact"/>
              <w:jc w:val="right"/>
            </w:pPr>
            <w:r>
              <w:t xml:space="preserve">-0.034</w:t>
            </w:r>
          </w:p>
        </w:tc>
        <w:tc>
          <w:tcPr/>
          <w:p>
            <w:pPr>
              <w:pStyle w:val="Compact"/>
              <w:jc w:val="right"/>
            </w:pPr>
            <w:r>
              <w:t xml:space="preserve">0.037</w:t>
            </w:r>
          </w:p>
        </w:tc>
      </w:tr>
    </w:tbl>
    <w:bookmarkEnd w:id="75"/>
    <w:bookmarkStart w:id="76" w:name="q20-predicted-effect-sizes"/>
    <w:p>
      <w:pPr>
        <w:pStyle w:val="Heading3"/>
      </w:pPr>
      <w:r>
        <w:t xml:space="preserve">Q20: Predicted effect sizes</w:t>
      </w:r>
    </w:p>
    <w:p>
      <w:pPr>
        <w:pStyle w:val="FirstParagraph"/>
      </w:pPr>
      <w:r>
        <w:t xml:space="preserve">We do not have specific predictions for effect sizes but we deem standardized regression coefficients for interaction effects = .10 (or higher) and -.10 (or lower) meaningful. These effects would indicate that an effect of adversity on a subtest score is meaningfully more negative or more positive.</w:t>
      </w:r>
    </w:p>
    <w:p>
      <w:pPr>
        <w:pStyle w:val="BodyText"/>
      </w:pPr>
      <w:r>
        <w:t xml:space="preserve">Effects between -.10 and .10 are not of interest for determining differences between subtests and the overall average. However, we are interested in determining if simple effects falling between -.10 and .10 are consitent with an effect of 0. For this scenario, we will use equivalence testing with -.10 and .10 as bounds.</w:t>
      </w:r>
    </w:p>
    <w:bookmarkEnd w:id="76"/>
    <w:bookmarkStart w:id="79" w:name="q21-statistical-power"/>
    <w:p>
      <w:pPr>
        <w:pStyle w:val="Heading3"/>
      </w:pPr>
      <w:r>
        <w:t xml:space="preserve">Q21: Statistical Power</w:t>
      </w:r>
    </w:p>
    <w:p>
      <w:pPr>
        <w:pStyle w:val="FirstParagraph"/>
      </w:pPr>
      <w:r>
        <w:t xml:space="preserve">See our full power analysis</w:t>
      </w:r>
      <w:r>
        <w:t xml:space="preserve"> </w:t>
      </w:r>
      <w:hyperlink r:id="rId77">
        <w:r>
          <w:rPr>
            <w:rStyle w:val="Hyperlink"/>
          </w:rPr>
          <w:t xml:space="preserve">here</w:t>
        </w:r>
      </w:hyperlink>
      <w:r>
        <w:t xml:space="preserve"> </w:t>
      </w:r>
      <w:r>
        <w:t xml:space="preserve">and the code</w:t>
      </w:r>
      <w:r>
        <w:t xml:space="preserve"> </w:t>
      </w:r>
      <w:hyperlink r:id="rId78">
        <w:r>
          <w:rPr>
            <w:rStyle w:val="Hyperlink"/>
          </w:rPr>
          <w:t xml:space="preserve">here</w:t>
        </w:r>
      </w:hyperlink>
      <w:r>
        <w:t xml:space="preserve">.</w:t>
      </w:r>
    </w:p>
    <w:p>
      <w:pPr>
        <w:pStyle w:val="BodyText"/>
      </w:pPr>
      <w:r>
        <w:t xml:space="preserve">In short, we used a simulation approach to conduct power analyses. We simulated adversity scores but used actual Woodcock Johnson test scores. Simulations revealed, that, with a sample size of (</w:t>
      </w:r>
      <w:r>
        <w:rPr>
          <w:iCs/>
          <w:i/>
        </w:rPr>
        <w:t xml:space="preserve">N</w:t>
      </w:r>
      <w:r>
        <w:t xml:space="preserve"> </w:t>
      </w:r>
      <w:r>
        <w:t xml:space="preserve">=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bookmarkEnd w:id="79"/>
    <w:bookmarkStart w:id="80" w:name="q22-inferential-criteria"/>
    <w:p>
      <w:pPr>
        <w:pStyle w:val="Heading3"/>
      </w:pPr>
      <w:r>
        <w:t xml:space="preserve">Q22: Inferential Criteria</w:t>
      </w:r>
    </w:p>
    <w:p>
      <w:pPr>
        <w:pStyle w:val="FirstParagraph"/>
      </w:pPr>
      <w:r>
        <w:t xml:space="preserve">Our inferential criteria will use p &lt; .05 for interaction effects between adversity and subtest type and for simple effects of adversity for each subtest.</w:t>
      </w:r>
    </w:p>
    <w:p>
      <w:pPr>
        <w:pStyle w:val="BodyText"/>
      </w:pPr>
      <w:r>
        <w:t xml:space="preserve">We interested in three types of effect sizes:</w:t>
      </w:r>
    </w:p>
    <w:p>
      <w:pPr>
        <w:numPr>
          <w:ilvl w:val="0"/>
          <w:numId w:val="1024"/>
        </w:numPr>
        <w:pStyle w:val="Compact"/>
      </w:pPr>
      <w:r>
        <w:t xml:space="preserve">The main effect of each adversity measure (tested in separate models).</w:t>
      </w:r>
    </w:p>
    <w:p>
      <w:pPr>
        <w:numPr>
          <w:ilvl w:val="0"/>
          <w:numId w:val="1024"/>
        </w:numPr>
        <w:pStyle w:val="Compact"/>
      </w:pPr>
      <w:r>
        <w:t xml:space="preserve">The simple effect of adversity for each subtest.</w:t>
      </w:r>
    </w:p>
    <w:p>
      <w:pPr>
        <w:numPr>
          <w:ilvl w:val="0"/>
          <w:numId w:val="1024"/>
        </w:numPr>
        <w:pStyle w:val="Compact"/>
      </w:pPr>
      <w:r>
        <w:t xml:space="preserve">The interaction effect between an adversity measure and subtest.</w:t>
      </w:r>
    </w:p>
    <w:p>
      <w:pPr>
        <w:pStyle w:val="FirstParagraph"/>
      </w:pPr>
      <w:r>
        <w:t xml:space="preserve">We are also interested in null effects. Based on prior work, we expect the main effect of adversity to be negative. However, if main effects were zero for any adversity measure, we would be interested in determining if the effect</w:t>
      </w:r>
      <w:r>
        <w:t xml:space="preserve"> </w:t>
      </w:r>
      <w:r>
        <w:rPr>
          <w:iCs/>
          <w:i/>
        </w:rPr>
        <w:t xml:space="preserve">is</w:t>
      </w:r>
      <w:r>
        <w:t xml:space="preserve"> </w:t>
      </w:r>
      <w:r>
        <w:t xml:space="preserve">zero by using equivalence testing</w:t>
      </w:r>
      <w:r>
        <w:t xml:space="preserve"> </w:t>
      </w:r>
      <w:r>
        <w:t xml:space="preserve">(</w:t>
      </w:r>
      <w:hyperlink w:anchor="ref-lakens2018">
        <w:r>
          <w:rPr>
            <w:rStyle w:val="Hyperlink"/>
          </w:rPr>
          <w:t xml:space="preserve">Lakens et al., 2018</w:t>
        </w:r>
      </w:hyperlink>
      <w:r>
        <w:t xml:space="preserve">)</w:t>
      </w:r>
      <w:r>
        <w:t xml:space="preserve">.</w:t>
      </w:r>
    </w:p>
    <w:p>
      <w:pPr>
        <w:pStyle w:val="BodyText"/>
      </w:pPr>
      <w:r>
        <w:t xml:space="preserve">For simple effects (effect size 2), we will use simple slopes analysis. These tests determine whether the simple effect is different from zero. For these effects, we are interested if they are indeed 0 using equivalence testing. We are also interested positive slopes of any size (that are not equivalent to zero).</w:t>
      </w:r>
    </w:p>
    <w:p>
      <w:pPr>
        <w:pStyle w:val="BodyText"/>
      </w:pPr>
      <w:r>
        <w:t xml:space="preserve">For negative slopes, we are interested in effects that are different from the overall main effect of adversity. This is where the interaction term is important. The interaction effect tests whether the effect of adversity for a given subtest is different from the main effect of adversity on overall performance. We are interested in both more negative and more positive than expected slopes compared to the main effect.</w:t>
      </w:r>
    </w:p>
    <w:p>
      <w:pPr>
        <w:pStyle w:val="BodyText"/>
      </w:pPr>
      <w:r>
        <w:t xml:space="preserve">Based on our minimum effect size of interest criterion and our power analysis, we are interested in interaction effects where</w:t>
      </w:r>
      <w:r>
        <w:t xml:space="preserve"> </w:t>
      </w:r>
      <m:oMath>
        <m:r>
          <m:t>β</m:t>
        </m:r>
      </m:oMath>
      <w:r>
        <w:t xml:space="preserve"> </w:t>
      </w:r>
      <w:r>
        <w:t xml:space="preserve">= -.10 (or lower) or</w:t>
      </w:r>
      <w:r>
        <w:t xml:space="preserve"> </w:t>
      </w:r>
      <m:oMath>
        <m:r>
          <m:t>β</m:t>
        </m:r>
      </m:oMath>
      <w:r>
        <w:t xml:space="preserve"> </w:t>
      </w:r>
      <w:r>
        <w:t xml:space="preserve">= .10 (or higher). We will use these bounds to inform our equivalence tests, where effects are null, to determine if they are consistent with an effect = 0.</w:t>
      </w:r>
    </w:p>
    <w:bookmarkEnd w:id="80"/>
    <w:bookmarkStart w:id="81" w:name="q23-assumption-violations"/>
    <w:p>
      <w:pPr>
        <w:pStyle w:val="Heading3"/>
      </w:pPr>
      <w:r>
        <w:t xml:space="preserve">Q23: Assumption Violations</w:t>
      </w:r>
    </w:p>
    <w:p>
      <w:pPr>
        <w:pStyle w:val="FirstParagraph"/>
      </w:pPr>
      <w:r>
        <w:t xml:space="preserve">If any assumptions are violated, we will update the preregistration and/or report deviations from the preregistration. However, we do not anticipate any serious violations.</w:t>
      </w:r>
    </w:p>
    <w:bookmarkEnd w:id="81"/>
    <w:bookmarkStart w:id="82" w:name="Xa7e0d7676c814e02dd20d169518c559b8445faf"/>
    <w:p>
      <w:pPr>
        <w:pStyle w:val="Heading3"/>
      </w:pPr>
      <w:r>
        <w:t xml:space="preserve">Q24: Evaluating Strength, Reliability, and Robustness</w:t>
      </w:r>
    </w:p>
    <w:p>
      <w:pPr>
        <w:pStyle w:val="FirstParagraph"/>
      </w:pPr>
      <w:r>
        <w:t xml:space="preserve">If there are arbitrary data processing decisions, we may use multiverse analysis to systematically explore their effect.</w:t>
      </w:r>
    </w:p>
    <w:bookmarkEnd w:id="82"/>
    <w:bookmarkStart w:id="83" w:name="q25-exploratory-analyses"/>
    <w:p>
      <w:pPr>
        <w:pStyle w:val="Heading3"/>
      </w:pPr>
      <w:r>
        <w:t xml:space="preserve">Q25: Exploratory Analyses</w:t>
      </w:r>
    </w:p>
    <w:p>
      <w:pPr>
        <w:pStyle w:val="FirstParagraph"/>
      </w:pPr>
      <w:r>
        <w:t xml:space="preserve">We may or may not do serveral exploratory analyses listed below:</w:t>
      </w:r>
    </w:p>
    <w:p>
      <w:pPr>
        <w:numPr>
          <w:ilvl w:val="0"/>
          <w:numId w:val="1025"/>
        </w:numPr>
        <w:pStyle w:val="Compact"/>
      </w:pPr>
      <w:r>
        <w:t xml:space="preserve">Fit structural equation models to Woodcock Johnson data to examine how adversity relates to an overall latent variable and to residual test variance in each subtest</w:t>
      </w:r>
    </w:p>
    <w:p>
      <w:pPr>
        <w:numPr>
          <w:ilvl w:val="0"/>
          <w:numId w:val="1025"/>
        </w:numPr>
        <w:pStyle w:val="Compact"/>
      </w:pPr>
      <w:r>
        <w:t xml:space="preserve">Depending on the main results, we may also look at subtest scores over time to examine developmental trajectories in those tests.</w:t>
      </w:r>
    </w:p>
    <w:p>
      <w:pPr>
        <w:numPr>
          <w:ilvl w:val="0"/>
          <w:numId w:val="1025"/>
        </w:numPr>
        <w:pStyle w:val="Compact"/>
      </w:pPr>
      <w:r>
        <w:t xml:space="preserve">We may run additional analyses identical to our main analyses but with different adversity measures that are not central to our framework.</w:t>
      </w:r>
    </w:p>
    <w:bookmarkEnd w:id="83"/>
    <w:bookmarkEnd w:id="84"/>
    <w:bookmarkStart w:id="85" w:name="part-6---statement-of-integrity"/>
    <w:p>
      <w:pPr>
        <w:pStyle w:val="Heading2"/>
      </w:pPr>
      <w:r>
        <w:t xml:space="preserve">Part 6 - Statement of Integrity</w:t>
      </w:r>
    </w:p>
    <w:p>
      <w:pPr>
        <w:pStyle w:val="FirstParagraph"/>
      </w:pPr>
      <w:r>
        <w:t xml:space="preserve">The authors of this preregistration state that they filled out this preregistration to the best of their knowledge and that no other preregistration exists pertaining to the same hypotheses and dataset.</w:t>
      </w:r>
    </w:p>
    <w:bookmarkEnd w:id="85"/>
    <w:bookmarkStart w:id="113" w:name="references"/>
    <w:p>
      <w:pPr>
        <w:pStyle w:val="Heading2"/>
      </w:pPr>
      <w:r>
        <w:t xml:space="preserve">References</w:t>
      </w:r>
    </w:p>
    <w:bookmarkStart w:id="112" w:name="refs"/>
    <w:bookmarkStart w:id="87"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86">
        <w:r>
          <w:rPr>
            <w:rStyle w:val="Hyperlink"/>
          </w:rPr>
          <w:t xml:space="preserve">https://doi.org/10.15626/MP.2020.2625</w:t>
        </w:r>
      </w:hyperlink>
    </w:p>
    <w:bookmarkEnd w:id="87"/>
    <w:bookmarkStart w:id="89"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88">
        <w:r>
          <w:rPr>
            <w:rStyle w:val="Hyperlink"/>
          </w:rPr>
          <w:t xml:space="preserve">https://doi.org/b7r3m4</w:t>
        </w:r>
      </w:hyperlink>
    </w:p>
    <w:bookmarkEnd w:id="89"/>
    <w:bookmarkStart w:id="90"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90"/>
    <w:bookmarkStart w:id="92" w:name="ref-burt2010"/>
    <w:p>
      <w:pPr>
        <w:pStyle w:val="Bibliography"/>
      </w:pPr>
      <w:r>
        <w:t xml:space="preserve">Burt, K. B., &amp; Roisman, G. I. (2010). Competence and psychopathology:</w:t>
      </w:r>
      <w:r>
        <w:t xml:space="preserve"> </w:t>
      </w:r>
      <w:r>
        <w:t xml:space="preserve">Cascade</w:t>
      </w:r>
      <w:r>
        <w:t xml:space="preserve"> </w:t>
      </w:r>
      <w:r>
        <w:t xml:space="preserve">effects in the</w:t>
      </w:r>
      <w:r>
        <w:t xml:space="preserve"> </w:t>
      </w:r>
      <w:r>
        <w:t xml:space="preserve">NICHD Study</w:t>
      </w:r>
      <w:r>
        <w:t xml:space="preserve"> </w:t>
      </w:r>
      <w:r>
        <w:t xml:space="preserve">of</w:t>
      </w:r>
      <w:r>
        <w:t xml:space="preserve"> </w:t>
      </w:r>
      <w:r>
        <w:t xml:space="preserve">Early Child Care</w:t>
      </w:r>
      <w:r>
        <w:t xml:space="preserve"> </w:t>
      </w:r>
      <w:r>
        <w:t xml:space="preserve">and</w:t>
      </w:r>
      <w:r>
        <w:t xml:space="preserve"> </w:t>
      </w:r>
      <w:r>
        <w:t xml:space="preserve">Youth Development</w:t>
      </w:r>
      <w:r>
        <w:t xml:space="preserve">.</w:t>
      </w:r>
      <w:r>
        <w:t xml:space="preserve"> </w:t>
      </w:r>
      <w:r>
        <w:rPr>
          <w:iCs/>
          <w:i/>
        </w:rPr>
        <w:t xml:space="preserve">Development and Psychopathology</w:t>
      </w:r>
      <w:r>
        <w:t xml:space="preserve">,</w:t>
      </w:r>
      <w:r>
        <w:t xml:space="preserve"> </w:t>
      </w:r>
      <w:r>
        <w:rPr>
          <w:iCs/>
          <w:i/>
        </w:rPr>
        <w:t xml:space="preserve">22</w:t>
      </w:r>
      <w:r>
        <w:t xml:space="preserve">(3), 557–567.</w:t>
      </w:r>
      <w:r>
        <w:t xml:space="preserve"> </w:t>
      </w:r>
      <w:hyperlink r:id="rId91">
        <w:r>
          <w:rPr>
            <w:rStyle w:val="Hyperlink"/>
          </w:rPr>
          <w:t xml:space="preserve">https://doi.org/bc45zc</w:t>
        </w:r>
      </w:hyperlink>
    </w:p>
    <w:bookmarkEnd w:id="92"/>
    <w:bookmarkStart w:id="94" w:name="ref-cottrell2015"/>
    <w:p>
      <w:pPr>
        <w:pStyle w:val="Bibliography"/>
      </w:pPr>
      <w:r>
        <w:t xml:space="preserve">Cottrell, J. M., Newman, D. A., &amp; Roisman, G. I. (2015). Explaining the black</w:t>
      </w:r>
      <w:r>
        <w:t xml:space="preserve">white gap in cognitive test scores:</w:t>
      </w:r>
      <w:r>
        <w:t xml:space="preserve"> </w:t>
      </w:r>
      <w:r>
        <w:t xml:space="preserve">Toward</w:t>
      </w:r>
      <w:r>
        <w:t xml:space="preserve"> </w:t>
      </w:r>
      <w:r>
        <w:t xml:space="preserve">a theory of adverse impact.</w:t>
      </w:r>
      <w:r>
        <w:t xml:space="preserve"> </w:t>
      </w:r>
      <w:r>
        <w:rPr>
          <w:iCs/>
          <w:i/>
        </w:rPr>
        <w:t xml:space="preserve">Journal of Applied Psychology</w:t>
      </w:r>
      <w:r>
        <w:t xml:space="preserve">,</w:t>
      </w:r>
      <w:r>
        <w:t xml:space="preserve"> </w:t>
      </w:r>
      <w:r>
        <w:rPr>
          <w:iCs/>
          <w:i/>
        </w:rPr>
        <w:t xml:space="preserve">100</w:t>
      </w:r>
      <w:r>
        <w:t xml:space="preserve">, 1713–1736.</w:t>
      </w:r>
      <w:r>
        <w:t xml:space="preserve"> </w:t>
      </w:r>
      <w:hyperlink r:id="rId93">
        <w:r>
          <w:rPr>
            <w:rStyle w:val="Hyperlink"/>
          </w:rPr>
          <w:t xml:space="preserve">https://doi.org/f7zb56</w:t>
        </w:r>
      </w:hyperlink>
    </w:p>
    <w:bookmarkEnd w:id="94"/>
    <w:bookmarkStart w:id="95" w:name="ref-fraley2013"/>
    <w:p>
      <w:pPr>
        <w:pStyle w:val="Bibliography"/>
      </w:pPr>
      <w:r>
        <w:t xml:space="preserve">Fraley, R. C., Roisman, G. I., &amp; Haltigan, J. D. (2013). The legacy of early experiences in development: Formalizing 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(1), 109.</w:t>
      </w:r>
    </w:p>
    <w:bookmarkEnd w:id="95"/>
    <w:bookmarkStart w:id="97"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96">
        <w:r>
          <w:rPr>
            <w:rStyle w:val="Hyperlink"/>
          </w:rPr>
          <w:t xml:space="preserve">https://doi.org/gjqzzj</w:t>
        </w:r>
      </w:hyperlink>
    </w:p>
    <w:bookmarkEnd w:id="97"/>
    <w:bookmarkStart w:id="99"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98">
        <w:r>
          <w:rPr>
            <w:rStyle w:val="Hyperlink"/>
          </w:rPr>
          <w:t xml:space="preserve">https://doi.org/10.1177/2515245918770963</w:t>
        </w:r>
      </w:hyperlink>
    </w:p>
    <w:bookmarkEnd w:id="99"/>
    <w:bookmarkStart w:id="101"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00">
        <w:r>
          <w:rPr>
            <w:rStyle w:val="Hyperlink"/>
          </w:rPr>
          <w:t xml:space="preserve">https://doi.org/gfmd6w</w:t>
        </w:r>
      </w:hyperlink>
    </w:p>
    <w:bookmarkEnd w:id="101"/>
    <w:bookmarkStart w:id="103" w:name="ref-monti2014"/>
    <w:p>
      <w:pPr>
        <w:pStyle w:val="Bibliography"/>
      </w:pPr>
      <w:r>
        <w:t xml:space="preserve">Monti, J. D., Pomerantz, E. M., &amp; Roisman, G. I. (2014). Can parents’ involvement in children’s education offset the effects of early insensitivity on academic functioning?</w:t>
      </w:r>
      <w:r>
        <w:t xml:space="preserve"> </w:t>
      </w:r>
      <w:r>
        <w:rPr>
          <w:iCs/>
          <w:i/>
        </w:rPr>
        <w:t xml:space="preserve">Journal of Educational Psychology</w:t>
      </w:r>
      <w:r>
        <w:t xml:space="preserve">,</w:t>
      </w:r>
      <w:r>
        <w:t xml:space="preserve"> </w:t>
      </w:r>
      <w:r>
        <w:rPr>
          <w:iCs/>
          <w:i/>
        </w:rPr>
        <w:t xml:space="preserve">106</w:t>
      </w:r>
      <w:r>
        <w:t xml:space="preserve">, 859–869.</w:t>
      </w:r>
      <w:r>
        <w:t xml:space="preserve"> </w:t>
      </w:r>
      <w:hyperlink r:id="rId102">
        <w:r>
          <w:rPr>
            <w:rStyle w:val="Hyperlink"/>
          </w:rPr>
          <w:t xml:space="preserve">https://doi.org/gm2bz2</w:t>
        </w:r>
      </w:hyperlink>
    </w:p>
    <w:bookmarkEnd w:id="103"/>
    <w:bookmarkStart w:id="104"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04"/>
    <w:bookmarkStart w:id="106" w:name="ref-roisman2012"/>
    <w:p>
      <w:pPr>
        <w:pStyle w:val="Bibliography"/>
      </w:pPr>
      <w:r>
        <w:t xml:space="preserve">Roisman, G. I., Newman, D. A., Fraley, R. C., Haltigan, J. D., Groh, A. M., &amp; Haydon, K. C. (2012). Distinguishing differential susceptibility from diathesis</w:t>
      </w:r>
      <w:r>
        <w:t xml:space="preserve">stress:</w:t>
      </w:r>
      <w:r>
        <w:t xml:space="preserve"> </w:t>
      </w:r>
      <w:r>
        <w:t xml:space="preserve">Recommendations</w:t>
      </w:r>
      <w:r>
        <w:t xml:space="preserve"> </w:t>
      </w:r>
      <w:r>
        <w:t xml:space="preserve">for evaluating interaction effects.</w:t>
      </w:r>
      <w:r>
        <w:t xml:space="preserve"> </w:t>
      </w:r>
      <w:r>
        <w:rPr>
          <w:iCs/>
          <w:i/>
        </w:rPr>
        <w:t xml:space="preserve">Development and Psychopathology</w:t>
      </w:r>
      <w:r>
        <w:t xml:space="preserve">,</w:t>
      </w:r>
      <w:r>
        <w:t xml:space="preserve"> </w:t>
      </w:r>
      <w:r>
        <w:rPr>
          <w:iCs/>
          <w:i/>
        </w:rPr>
        <w:t xml:space="preserve">24</w:t>
      </w:r>
      <w:r>
        <w:t xml:space="preserve">(02), 389–409.</w:t>
      </w:r>
      <w:r>
        <w:t xml:space="preserve"> </w:t>
      </w:r>
      <w:hyperlink r:id="rId105">
        <w:r>
          <w:rPr>
            <w:rStyle w:val="Hyperlink"/>
          </w:rPr>
          <w:t xml:space="preserve">https://doi.org/gd59f7</w:t>
        </w:r>
      </w:hyperlink>
    </w:p>
    <w:bookmarkEnd w:id="106"/>
    <w:bookmarkStart w:id="108"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07">
        <w:r>
          <w:rPr>
            <w:rStyle w:val="Hyperlink"/>
          </w:rPr>
          <w:t xml:space="preserve">https://doi.org/f8n843</w:t>
        </w:r>
      </w:hyperlink>
    </w:p>
    <w:bookmarkEnd w:id="108"/>
    <w:bookmarkStart w:id="110"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09">
        <w:r>
          <w:rPr>
            <w:rStyle w:val="Hyperlink"/>
          </w:rPr>
          <w:t xml:space="preserve">https://doi.org/ft7mjn</w:t>
        </w:r>
      </w:hyperlink>
    </w:p>
    <w:bookmarkEnd w:id="110"/>
    <w:bookmarkStart w:id="111"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8" Target="media/rId58.jpg" /><Relationship Type="http://schemas.openxmlformats.org/officeDocument/2006/relationships/hyperlink" Id="rId52" Target="../codebooks/" TargetMode="External" /><Relationship Type="http://schemas.openxmlformats.org/officeDocument/2006/relationships/hyperlink" Id="rId78" Target="../scripts/power-simulation.R" TargetMode="External" /><Relationship Type="http://schemas.openxmlformats.org/officeDocument/2006/relationships/hyperlink" Id="rId26" Target="http://www.willem.maartenfrankenhuis.nl/" TargetMode="External" /><Relationship Type="http://schemas.openxmlformats.org/officeDocument/2006/relationships/hyperlink" Id="rId29" Target="https://cla.umn.edu/about/directory/profile/simps108" TargetMode="External" /><Relationship Type="http://schemas.openxmlformats.org/officeDocument/2006/relationships/hyperlink" Id="rId98" Target="https://doi.org/10.1177/2515245918770963" TargetMode="External" /><Relationship Type="http://schemas.openxmlformats.org/officeDocument/2006/relationships/hyperlink" Id="rId86" Target="https://doi.org/10.15626/MP.2020.2625" TargetMode="External" /><Relationship Type="http://schemas.openxmlformats.org/officeDocument/2006/relationships/hyperlink" Id="rId88" Target="https://doi.org/b7r3m4" TargetMode="External" /><Relationship Type="http://schemas.openxmlformats.org/officeDocument/2006/relationships/hyperlink" Id="rId91" Target="https://doi.org/bc45zc" TargetMode="External" /><Relationship Type="http://schemas.openxmlformats.org/officeDocument/2006/relationships/hyperlink" Id="rId93" Target="https://doi.org/f7zb56" TargetMode="External" /><Relationship Type="http://schemas.openxmlformats.org/officeDocument/2006/relationships/hyperlink" Id="rId107" Target="https://doi.org/f8n843" TargetMode="External" /><Relationship Type="http://schemas.openxmlformats.org/officeDocument/2006/relationships/hyperlink" Id="rId109" Target="https://doi.org/ft7mjn" TargetMode="External" /><Relationship Type="http://schemas.openxmlformats.org/officeDocument/2006/relationships/hyperlink" Id="rId105" Target="https://doi.org/gd59f7" TargetMode="External" /><Relationship Type="http://schemas.openxmlformats.org/officeDocument/2006/relationships/hyperlink" Id="rId100" Target="https://doi.org/gfmd6w" TargetMode="External" /><Relationship Type="http://schemas.openxmlformats.org/officeDocument/2006/relationships/hyperlink" Id="rId96" Target="https://doi.org/gjqzzj" TargetMode="External" /><Relationship Type="http://schemas.openxmlformats.org/officeDocument/2006/relationships/hyperlink" Id="rId102" Target="https://doi.org/gm2bz2" TargetMode="External" /><Relationship Type="http://schemas.openxmlformats.org/officeDocument/2006/relationships/hyperlink" Id="rId27" Target="https://icd.umn.edu/people/nivis004/" TargetMode="External" /><Relationship Type="http://schemas.openxmlformats.org/officeDocument/2006/relationships/hyperlink" Id="rId31" Target="https://icd.umn.edu/people/roism001/" TargetMode="External" /><Relationship Type="http://schemas.openxmlformats.org/officeDocument/2006/relationships/hyperlink" Id="rId32"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8" Target="https://orcid.org/0000-0002-9436-722X" TargetMode="External" /><Relationship Type="http://schemas.openxmlformats.org/officeDocument/2006/relationships/hyperlink" Id="rId25" Target="https://orcid.org/0000-0002-9595-5373" TargetMode="External" /><Relationship Type="http://schemas.openxmlformats.org/officeDocument/2006/relationships/hyperlink" Id="rId30"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3" Target="https://www.icpsr.umich.edu/rpxlogin" TargetMode="External" /><Relationship Type="http://schemas.openxmlformats.org/officeDocument/2006/relationships/hyperlink" Id="rId37" Target="https://www.icpsr.umich.edu/web/ICPSR/series/00233" TargetMode="External" /><Relationship Type="http://schemas.openxmlformats.org/officeDocument/2006/relationships/hyperlink" Id="rId38" Target="https://www.icpsr.umich.edu/web/ICPSR/studies/21940" TargetMode="External" /><Relationship Type="http://schemas.openxmlformats.org/officeDocument/2006/relationships/hyperlink" Id="rId48" Target="https://www.icpsr.umich.edu/web/ICPSR/studies/21940/datadocumentation" TargetMode="External" /><Relationship Type="http://schemas.openxmlformats.org/officeDocument/2006/relationships/hyperlink" Id="rId39" Target="https://www.icpsr.umich.edu/web/ICPSR/studies/21941" TargetMode="External" /><Relationship Type="http://schemas.openxmlformats.org/officeDocument/2006/relationships/hyperlink" Id="rId49" Target="https://www.icpsr.umich.edu/web/ICPSR/studies/21941/datadocumentation" TargetMode="External" /><Relationship Type="http://schemas.openxmlformats.org/officeDocument/2006/relationships/hyperlink" Id="rId40" Target="https://www.icpsr.umich.edu/web/ICPSR/studies/21942" TargetMode="External" /><Relationship Type="http://schemas.openxmlformats.org/officeDocument/2006/relationships/hyperlink" Id="rId50" Target="https://www.icpsr.umich.edu/web/ICPSR/studies/21942/datadocumentation" TargetMode="External" /><Relationship Type="http://schemas.openxmlformats.org/officeDocument/2006/relationships/hyperlink" Id="rId41" Target="https://www.icpsr.umich.edu/web/ICPSR/studies/22361" TargetMode="External" /><Relationship Type="http://schemas.openxmlformats.org/officeDocument/2006/relationships/hyperlink" Id="rId51" Target="https://www.icpsr.umich.edu/web/ICPSR/studies/22361/datadocumentation" TargetMode="External" /><Relationship Type="http://schemas.openxmlformats.org/officeDocument/2006/relationships/hyperlink" Id="rId24" Target="https://www.stefan-vermeent.nl" TargetMode="External" /><Relationship Type="http://schemas.openxmlformats.org/officeDocument/2006/relationships/hyperlink" Id="rId77" Target="power-analysis/" TargetMode="External" /></Relationships>
</file>

<file path=word/_rels/footnotes.xml.rels><?xml version="1.0" encoding="UTF-8"?><Relationships xmlns="http://schemas.openxmlformats.org/package/2006/relationships"><Relationship Type="http://schemas.openxmlformats.org/officeDocument/2006/relationships/hyperlink" Id="rId52" Target="../codebooks/" TargetMode="External" /><Relationship Type="http://schemas.openxmlformats.org/officeDocument/2006/relationships/hyperlink" Id="rId78" Target="../scripts/power-simulation.R" TargetMode="External" /><Relationship Type="http://schemas.openxmlformats.org/officeDocument/2006/relationships/hyperlink" Id="rId26" Target="http://www.willem.maartenfrankenhuis.nl/" TargetMode="External" /><Relationship Type="http://schemas.openxmlformats.org/officeDocument/2006/relationships/hyperlink" Id="rId29" Target="https://cla.umn.edu/about/directory/profile/simps108" TargetMode="External" /><Relationship Type="http://schemas.openxmlformats.org/officeDocument/2006/relationships/hyperlink" Id="rId98" Target="https://doi.org/10.1177/2515245918770963" TargetMode="External" /><Relationship Type="http://schemas.openxmlformats.org/officeDocument/2006/relationships/hyperlink" Id="rId86" Target="https://doi.org/10.15626/MP.2020.2625" TargetMode="External" /><Relationship Type="http://schemas.openxmlformats.org/officeDocument/2006/relationships/hyperlink" Id="rId88" Target="https://doi.org/b7r3m4" TargetMode="External" /><Relationship Type="http://schemas.openxmlformats.org/officeDocument/2006/relationships/hyperlink" Id="rId91" Target="https://doi.org/bc45zc" TargetMode="External" /><Relationship Type="http://schemas.openxmlformats.org/officeDocument/2006/relationships/hyperlink" Id="rId93" Target="https://doi.org/f7zb56" TargetMode="External" /><Relationship Type="http://schemas.openxmlformats.org/officeDocument/2006/relationships/hyperlink" Id="rId107" Target="https://doi.org/f8n843" TargetMode="External" /><Relationship Type="http://schemas.openxmlformats.org/officeDocument/2006/relationships/hyperlink" Id="rId109" Target="https://doi.org/ft7mjn" TargetMode="External" /><Relationship Type="http://schemas.openxmlformats.org/officeDocument/2006/relationships/hyperlink" Id="rId105" Target="https://doi.org/gd59f7" TargetMode="External" /><Relationship Type="http://schemas.openxmlformats.org/officeDocument/2006/relationships/hyperlink" Id="rId100" Target="https://doi.org/gfmd6w" TargetMode="External" /><Relationship Type="http://schemas.openxmlformats.org/officeDocument/2006/relationships/hyperlink" Id="rId96" Target="https://doi.org/gjqzzj" TargetMode="External" /><Relationship Type="http://schemas.openxmlformats.org/officeDocument/2006/relationships/hyperlink" Id="rId102" Target="https://doi.org/gm2bz2" TargetMode="External" /><Relationship Type="http://schemas.openxmlformats.org/officeDocument/2006/relationships/hyperlink" Id="rId27" Target="https://icd.umn.edu/people/nivis004/" TargetMode="External" /><Relationship Type="http://schemas.openxmlformats.org/officeDocument/2006/relationships/hyperlink" Id="rId31" Target="https://icd.umn.edu/people/roism001/" TargetMode="External" /><Relationship Type="http://schemas.openxmlformats.org/officeDocument/2006/relationships/hyperlink" Id="rId32"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8" Target="https://orcid.org/0000-0002-9436-722X" TargetMode="External" /><Relationship Type="http://schemas.openxmlformats.org/officeDocument/2006/relationships/hyperlink" Id="rId25" Target="https://orcid.org/0000-0002-9595-5373" TargetMode="External" /><Relationship Type="http://schemas.openxmlformats.org/officeDocument/2006/relationships/hyperlink" Id="rId30"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3" Target="https://www.icpsr.umich.edu/rpxlogin" TargetMode="External" /><Relationship Type="http://schemas.openxmlformats.org/officeDocument/2006/relationships/hyperlink" Id="rId37" Target="https://www.icpsr.umich.edu/web/ICPSR/series/00233" TargetMode="External" /><Relationship Type="http://schemas.openxmlformats.org/officeDocument/2006/relationships/hyperlink" Id="rId38" Target="https://www.icpsr.umich.edu/web/ICPSR/studies/21940" TargetMode="External" /><Relationship Type="http://schemas.openxmlformats.org/officeDocument/2006/relationships/hyperlink" Id="rId48" Target="https://www.icpsr.umich.edu/web/ICPSR/studies/21940/datadocumentation" TargetMode="External" /><Relationship Type="http://schemas.openxmlformats.org/officeDocument/2006/relationships/hyperlink" Id="rId39" Target="https://www.icpsr.umich.edu/web/ICPSR/studies/21941" TargetMode="External" /><Relationship Type="http://schemas.openxmlformats.org/officeDocument/2006/relationships/hyperlink" Id="rId49" Target="https://www.icpsr.umich.edu/web/ICPSR/studies/21941/datadocumentation" TargetMode="External" /><Relationship Type="http://schemas.openxmlformats.org/officeDocument/2006/relationships/hyperlink" Id="rId40" Target="https://www.icpsr.umich.edu/web/ICPSR/studies/21942" TargetMode="External" /><Relationship Type="http://schemas.openxmlformats.org/officeDocument/2006/relationships/hyperlink" Id="rId50" Target="https://www.icpsr.umich.edu/web/ICPSR/studies/21942/datadocumentation" TargetMode="External" /><Relationship Type="http://schemas.openxmlformats.org/officeDocument/2006/relationships/hyperlink" Id="rId41" Target="https://www.icpsr.umich.edu/web/ICPSR/studies/22361" TargetMode="External" /><Relationship Type="http://schemas.openxmlformats.org/officeDocument/2006/relationships/hyperlink" Id="rId51" Target="https://www.icpsr.umich.edu/web/ICPSR/studies/22361/datadocumentation" TargetMode="External" /><Relationship Type="http://schemas.openxmlformats.org/officeDocument/2006/relationships/hyperlink" Id="rId24" Target="https://www.stefan-vermeent.nl" TargetMode="External" /><Relationship Type="http://schemas.openxmlformats.org/officeDocument/2006/relationships/hyperlink" Id="rId77" Target="power-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dc:title>
  <dc:creator/>
  <cp:keywords/>
  <dcterms:created xsi:type="dcterms:W3CDTF">2023-03-10T17:46:19Z</dcterms:created>
  <dcterms:modified xsi:type="dcterms:W3CDTF">2023-03-10T17:46:19Z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citations">
    <vt:lpwstr>True</vt:lpwstr>
  </property>
  <property fmtid="{D5CDD505-2E9C-101B-9397-08002B2CF9AE}" pid="10" name="toc-title">
    <vt:lpwstr>Table of contents</vt:lpwstr>
  </property>
</Properties>
</file>