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60" w:before="0" w:line="288"/>
        <w:jc w:val="center"/>
      </w:pPr>
      <w:r>
        <w:rPr>
          <w:rFonts w:ascii="Times New Roman" w:cs="Times New Roman" w:eastAsia="Times New Roman" w:hAnsi="Times New Roman"/>
          <w:b/>
          <w:bCs/>
          <w:color w:val="1F3864"/>
          <w:sz w:val="34"/>
          <w:szCs w:val="34"/>
        </w:rPr>
        <w:t xml:space="preserve">Methodology: Predicting NBA Game Total Points</w:t>
      </w:r>
    </w:p>
    <w:p>
      <w:pPr>
        <w:spacing w:after="380" w:before="0" w:line="288"/>
        <w:jc w:val="center"/>
      </w:pPr>
      <w:r>
        <w:rPr>
          <w:rFonts w:ascii="Times New Roman" w:cs="Times New Roman" w:eastAsia="Times New Roman" w:hAnsi="Times New Roman"/>
          <w:i/>
          <w:iCs/>
          <w:color w:val="666666"/>
          <w:sz w:val="21"/>
          <w:szCs w:val="21"/>
        </w:rPr>
        <w:t xml:space="preserve">Total = Home Points + Away Points</w:t>
      </w:r>
    </w:p>
    <w:p>
      <w:pPr>
        <w:pStyle w:val="Heading1"/>
        <w:pBdr>
          <w:bottom w:val="single" w:color="1F3864" w:sz="4" w:space="1"/>
        </w:pBdr>
        <w:spacing w:before="340" w:after="160"/>
      </w:pPr>
      <w:r>
        <w:rPr>
          <w:rFonts w:ascii="Times New Roman" w:cs="Times New Roman" w:eastAsia="Times New Roman" w:hAnsi="Times New Roman"/>
          <w:b/>
          <w:bCs/>
          <w:color w:val="1F3864"/>
          <w:sz w:val="26"/>
          <w:szCs w:val="26"/>
        </w:rPr>
        <w:t xml:space="preserve">1. Overview and Approach</w:t>
      </w:r>
    </w:p>
    <w:p>
      <w:pPr>
        <w:spacing w:after="180" w:before="0" w:line="288"/>
        <w:jc w:val="both"/>
      </w:pPr>
      <w:r>
        <w:rPr>
          <w:rFonts w:ascii="Times New Roman" w:cs="Times New Roman" w:eastAsia="Times New Roman" w:hAnsi="Times New Roman"/>
          <w:sz w:val="22"/>
          <w:szCs w:val="22"/>
        </w:rPr>
        <w:t xml:space="preserve">Our modeling process followed a strict pre-game information rule: every feature must be computable before tip-off, using only each team’s historical game log up to but not including the game being predicted. We began with a simple naive baseline and progressively built toward richer feature sets and more complex models, using 5-fold time-series cross-validation throughout to select features and tune hyperparameters without look-ahead bias. The dataset covers 6,093 regular-season games from October 2021 through February 2026 across four full seasons. The final held-out test set covered January 14 through February 19, 2026 (234 games), mimicking the one-month prediction horizon of the actual submission. Training used all 5,843 games before that date.</w:t>
      </w:r>
    </w:p>
    <w:p>
      <w:pPr>
        <w:pStyle w:val="Heading1"/>
        <w:pBdr>
          <w:bottom w:val="single" w:color="1F3864" w:sz="4" w:space="1"/>
        </w:pBdr>
        <w:spacing w:before="340" w:after="160"/>
      </w:pPr>
      <w:r>
        <w:rPr>
          <w:rFonts w:ascii="Times New Roman" w:cs="Times New Roman" w:eastAsia="Times New Roman" w:hAnsi="Times New Roman"/>
          <w:b/>
          <w:bCs/>
          <w:color w:val="1F3864"/>
          <w:sz w:val="26"/>
          <w:szCs w:val="26"/>
        </w:rPr>
        <w:t xml:space="preserve">2. Step 1 — Naive Baseline</w:t>
      </w:r>
    </w:p>
    <w:p>
      <w:pPr>
        <w:spacing w:after="180" w:before="0" w:line="288"/>
        <w:jc w:val="both"/>
      </w:pPr>
      <w:r>
        <w:rPr>
          <w:rFonts w:ascii="Times New Roman" w:cs="Times New Roman" w:eastAsia="Times New Roman" w:hAnsi="Times New Roman"/>
          <w:sz w:val="22"/>
          <w:szCs w:val="22"/>
        </w:rPr>
        <w:t xml:space="preserve">We began with the simplest possible model: predict the training set mean (227.0 points) for every game. This produced a Test MAE of 15.79 points and served as the floor that all subsequent models had to beat. We also noted that Total has a standard deviation of 20.1 points and skewness of only 0.19, meaning the distribution is nearly symmetric. Although Total is technically a counting variable, it is not meaningfully skewed in this sample, which we kept in mind when deciding whether log transformation would help.</w:t>
      </w:r>
    </w:p>
    <w:p>
      <w:pPr>
        <w:pStyle w:val="Heading1"/>
        <w:pBdr>
          <w:bottom w:val="single" w:color="1F3864" w:sz="4" w:space="1"/>
        </w:pBdr>
        <w:spacing w:before="340" w:after="160"/>
      </w:pPr>
      <w:r>
        <w:rPr>
          <w:rFonts w:ascii="Times New Roman" w:cs="Times New Roman" w:eastAsia="Times New Roman" w:hAnsi="Times New Roman"/>
          <w:b/>
          <w:bCs/>
          <w:color w:val="1F3864"/>
          <w:sz w:val="26"/>
          <w:szCs w:val="26"/>
        </w:rPr>
        <w:t xml:space="preserve">3. Step 2 — Identifying Data Leakage</w:t>
      </w:r>
    </w:p>
    <w:p>
      <w:pPr>
        <w:spacing w:after="180" w:before="0" w:line="288"/>
        <w:jc w:val="both"/>
      </w:pPr>
      <w:r>
        <w:rPr>
          <w:rFonts w:ascii="Times New Roman" w:cs="Times New Roman" w:eastAsia="Times New Roman" w:hAnsi="Times New Roman"/>
          <w:color w:val="000000"/>
          <w:sz w:val="22"/>
          <w:szCs w:val="22"/>
        </w:rPr>
        <w:t xml:space="preserve">Before building any features, we examined </w:t>
      </w:r>
      <w:r>
        <w:rPr>
          <w:rFonts w:ascii="Times New Roman" w:cs="Times New Roman" w:eastAsia="Times New Roman" w:hAnsi="Times New Roman"/>
          <w:i/>
          <w:iCs/>
          <w:color w:val="000000"/>
          <w:sz w:val="22"/>
          <w:szCs w:val="22"/>
        </w:rPr>
        <w:t xml:space="preserve">poss_avg</w:t>
      </w:r>
      <w:r>
        <w:rPr>
          <w:rFonts w:ascii="Times New Roman" w:cs="Times New Roman" w:eastAsia="Times New Roman" w:hAnsi="Times New Roman"/>
          <w:color w:val="000000"/>
          <w:sz w:val="22"/>
          <w:szCs w:val="22"/>
        </w:rPr>
        <w:t xml:space="preserve"> — the average number of possessions per game — which appeared in the dataset with a correlation of r = 0.482 with Total, by far the strongest signal available. However, possessions are calculated from field goal attempts, turnovers, and free throw trips that occur </w:t>
      </w:r>
      <w:r>
        <w:rPr>
          <w:rFonts w:ascii="Times New Roman" w:cs="Times New Roman" w:eastAsia="Times New Roman" w:hAnsi="Times New Roman"/>
          <w:i/>
          <w:iCs/>
          <w:color w:val="000000"/>
          <w:sz w:val="22"/>
          <w:szCs w:val="22"/>
        </w:rPr>
        <w:t xml:space="preserve">during</w:t>
      </w:r>
      <w:r>
        <w:rPr>
          <w:rFonts w:ascii="Times New Roman" w:cs="Times New Roman" w:eastAsia="Times New Roman" w:hAnsi="Times New Roman"/>
          <w:color w:val="000000"/>
          <w:sz w:val="22"/>
          <w:szCs w:val="22"/>
        </w:rPr>
        <w:t xml:space="preserve"> the game. It is post-game information. We confirmed this by lagging poss_avg by one game: the correlation dropped from r = 0.482 to r ≈ 0.005, proving it carries no genuine pre-game predictive value. Including it would produce unreliable predictions on truly unseen games. We excluded it from all models and engineered a legitimate lagged pace estimate as a replacement.</w:t>
      </w:r>
    </w:p>
    <w:p>
      <w:pPr>
        <w:pStyle w:val="Heading1"/>
        <w:pBdr>
          <w:bottom w:val="single" w:color="1F3864" w:sz="4" w:space="1"/>
        </w:pBdr>
        <w:spacing w:before="340" w:after="160"/>
      </w:pPr>
      <w:r>
        <w:rPr>
          <w:rFonts w:ascii="Times New Roman" w:cs="Times New Roman" w:eastAsia="Times New Roman" w:hAnsi="Times New Roman"/>
          <w:b/>
          <w:bCs/>
          <w:color w:val="1F3864"/>
          <w:sz w:val="26"/>
          <w:szCs w:val="26"/>
        </w:rPr>
        <w:t xml:space="preserve">4. Step 3 — Feature Engineering</w:t>
      </w:r>
    </w:p>
    <w:p>
      <w:pPr>
        <w:spacing w:after="180" w:before="0" w:line="288"/>
        <w:jc w:val="both"/>
      </w:pPr>
      <w:r>
        <w:rPr>
          <w:rFonts w:ascii="Times New Roman" w:cs="Times New Roman" w:eastAsia="Times New Roman" w:hAnsi="Times New Roman"/>
          <w:sz w:val="22"/>
          <w:szCs w:val="22"/>
        </w:rPr>
        <w:t xml:space="preserve">Every feature must be computable before tip-off, using only each team’s historical game log up to but not including the game being predicted. Our guiding intuition was that teams recently involved in high-scoring games are likely to be involved in high-scoring games again. Features came from two sources: columns already present in the dataset (each team’s rolling points averages, back-to-back flags, and efficiency metrics), and features we engineered from scratch by combining or transforming those columns.</w:t>
      </w:r>
    </w:p>
    <w:p>
      <w:pPr>
        <w:pStyle w:val="Heading2"/>
        <w:spacing w:before="220" w:after="100"/>
      </w:pPr>
      <w:r>
        <w:rPr>
          <w:rFonts w:ascii="Times New Roman" w:cs="Times New Roman" w:eastAsia="Times New Roman" w:hAnsi="Times New Roman"/>
          <w:b/>
          <w:bCs/>
          <w:color w:val="2E5496"/>
          <w:sz w:val="23"/>
          <w:szCs w:val="23"/>
        </w:rPr>
        <w:t xml:space="preserve">4.1  Tier 1: Combined Scoring Pace (Engineered from Dataset Columns)</w:t>
      </w:r>
    </w:p>
    <w:p>
      <w:pPr>
        <w:spacing w:after="180" w:before="0" w:line="288"/>
        <w:jc w:val="both"/>
      </w:pPr>
      <w:r>
        <w:rPr>
          <w:rFonts w:ascii="Times New Roman" w:cs="Times New Roman" w:eastAsia="Times New Roman" w:hAnsi="Times New Roman"/>
          <w:sz w:val="22"/>
          <w:szCs w:val="22"/>
        </w:rPr>
        <w:t xml:space="preserve">The dataset provided each team’s average points scored and allowed over their last 5 and 10 games. Rather than using these eight columns separately, we combined them into four summary features:</w:t>
      </w:r>
    </w:p>
    <w:p>
      <w:pPr>
        <w:pStyle w:val="ListParagraph"/>
        <w:numPr>
          <w:ilvl w:val="0"/>
          <w:numId w:val="2"/>
        </w:numPr>
        <w:spacing w:after="90" w:line="270"/>
      </w:pPr>
      <w:r>
        <w:rPr>
          <w:rFonts w:ascii="Times New Roman" w:cs="Times New Roman" w:eastAsia="Times New Roman" w:hAnsi="Times New Roman"/>
          <w:b/>
          <w:bCs/>
          <w:color w:val="000000"/>
          <w:sz w:val="22"/>
          <w:szCs w:val="22"/>
        </w:rPr>
        <w:t xml:space="preserve">avg_last5_pace and avg_last10_pace:</w:t>
      </w:r>
      <w:r>
        <w:rPr>
          <w:rFonts w:ascii="Times New Roman" w:cs="Times New Roman" w:eastAsia="Times New Roman" w:hAnsi="Times New Roman"/>
          <w:color w:val="000000"/>
          <w:sz w:val="22"/>
          <w:szCs w:val="22"/>
        </w:rPr>
        <w:t xml:space="preserve"> The sum of both teams’ recent points scored and points allowed — a single number capturing the combined scoring environment of the upcoming game.</w:t>
      </w:r>
    </w:p>
    <w:p>
      <w:pPr>
        <w:pStyle w:val="ListParagraph"/>
        <w:numPr>
          <w:ilvl w:val="0"/>
          <w:numId w:val="2"/>
        </w:numPr>
        <w:spacing w:after="90" w:line="270"/>
      </w:pPr>
      <w:r>
        <w:rPr>
          <w:rFonts w:ascii="Times New Roman" w:cs="Times New Roman" w:eastAsia="Times New Roman" w:hAnsi="Times New Roman"/>
          <w:b/>
          <w:bCs/>
          <w:color w:val="000000"/>
          <w:sz w:val="22"/>
          <w:szCs w:val="22"/>
        </w:rPr>
        <w:t xml:space="preserve">opp_adj_total:</w:t>
      </w:r>
      <w:r>
        <w:rPr>
          <w:rFonts w:ascii="Times New Roman" w:cs="Times New Roman" w:eastAsia="Times New Roman" w:hAnsi="Times New Roman"/>
          <w:color w:val="000000"/>
          <w:sz w:val="22"/>
          <w:szCs w:val="22"/>
        </w:rPr>
        <w:t xml:space="preserve"> A matchup-adjusted version that crosses each team’s offense against the opponent’s defense: (home pts_for + away pts_against + away pts_for + home pts_against), all over the last 10 games.</w:t>
      </w:r>
    </w:p>
    <w:p>
      <w:pPr>
        <w:pStyle w:val="ListParagraph"/>
        <w:numPr>
          <w:ilvl w:val="0"/>
          <w:numId w:val="2"/>
        </w:numPr>
        <w:spacing w:after="90" w:line="270"/>
      </w:pPr>
      <w:r>
        <w:rPr>
          <w:rFonts w:ascii="Times New Roman" w:cs="Times New Roman" w:eastAsia="Times New Roman" w:hAnsi="Times New Roman"/>
          <w:b/>
          <w:bCs/>
          <w:color w:val="000000"/>
          <w:sz w:val="22"/>
          <w:szCs w:val="22"/>
        </w:rPr>
        <w:t xml:space="preserve">h2h_avg_total:</w:t>
      </w:r>
      <w:r>
        <w:rPr>
          <w:rFonts w:ascii="Times New Roman" w:cs="Times New Roman" w:eastAsia="Times New Roman" w:hAnsi="Times New Roman"/>
          <w:color w:val="000000"/>
          <w:sz w:val="22"/>
          <w:szCs w:val="22"/>
        </w:rPr>
        <w:t xml:space="preserve"> The mean Total from the last 5 games between these specific teams, capturing persistent stylistic matchup tendencies. Filled with the training mean (227.0) when no prior history exists.</w:t>
      </w:r>
    </w:p>
    <w:p>
      <w:pPr>
        <w:pStyle w:val="ListParagraph"/>
        <w:numPr>
          <w:ilvl w:val="0"/>
          <w:numId w:val="2"/>
        </w:numPr>
        <w:spacing w:after="90" w:line="270"/>
      </w:pPr>
      <w:r>
        <w:rPr>
          <w:rFonts w:ascii="Times New Roman" w:cs="Times New Roman" w:eastAsia="Times New Roman" w:hAnsi="Times New Roman"/>
          <w:b/>
          <w:bCs/>
          <w:color w:val="000000"/>
          <w:sz w:val="22"/>
          <w:szCs w:val="22"/>
        </w:rPr>
        <w:t xml:space="preserve">Back-to-back and win percentage:</w:t>
      </w:r>
      <w:r>
        <w:rPr>
          <w:rFonts w:ascii="Times New Roman" w:cs="Times New Roman" w:eastAsia="Times New Roman" w:hAnsi="Times New Roman"/>
          <w:color w:val="000000"/>
          <w:sz w:val="22"/>
          <w:szCs w:val="22"/>
        </w:rPr>
        <w:t xml:space="preserve"> Home_b2b and Away_b2b flag fatigue from playing on consecutive nights; both_b2b flags when both teams are in that situation. Season win percentage (home_winpct, away_winpct) is computed game-by-game from the game log for all seasons, since the dataset’s win/loss columns are missing for 2021–2023.</w:t>
      </w:r>
    </w:p>
    <w:p>
      <w:pPr>
        <w:spacing w:after="80"/>
      </w:pPr>
      <w:r>
        <w:t xml:space="preserve"/>
      </w:r>
    </w:p>
    <w:p>
      <w:pPr>
        <w:pStyle w:val="Heading2"/>
        <w:spacing w:before="220" w:after="100"/>
      </w:pPr>
      <w:r>
        <w:rPr>
          <w:rFonts w:ascii="Times New Roman" w:cs="Times New Roman" w:eastAsia="Times New Roman" w:hAnsi="Times New Roman"/>
          <w:b/>
          <w:bCs/>
          <w:color w:val="2E5496"/>
          <w:sz w:val="23"/>
          <w:szCs w:val="23"/>
        </w:rPr>
        <w:t xml:space="preserve">4.2  Tier 2: Per-Team Pace History (Engineered from Scratch)</w:t>
      </w:r>
    </w:p>
    <w:p>
      <w:pPr>
        <w:spacing w:after="180" w:before="0" w:line="288"/>
        <w:jc w:val="both"/>
      </w:pPr>
      <w:r>
        <w:rPr>
          <w:rFonts w:ascii="Times New Roman" w:cs="Times New Roman" w:eastAsia="Times New Roman" w:hAnsi="Times New Roman"/>
          <w:sz w:val="22"/>
          <w:szCs w:val="22"/>
        </w:rPr>
        <w:t xml:space="preserve">Since poss_avg is post-game information (see Section 3), we built a legitimate pace estimate by constructing a per-team game log: every team’s appearances in chronological order, whether home or away. From this log we computed rolling averages and exponentially weighted moving averages (EWM) of both possessions and game Totals, always shifting by one game to exclude the current contest. EWM gives more weight to recent games, making it responsive to mid-season changes in pace. The home and away versions are summed to produce combined features:</w:t>
      </w:r>
    </w:p>
    <w:p>
      <w:pPr>
        <w:pStyle w:val="ListParagraph"/>
        <w:numPr>
          <w:ilvl w:val="0"/>
          <w:numId w:val="2"/>
        </w:numPr>
        <w:spacing w:after="90" w:line="270"/>
      </w:pPr>
      <w:r>
        <w:rPr>
          <w:rFonts w:ascii="Times New Roman" w:cs="Times New Roman" w:eastAsia="Times New Roman" w:hAnsi="Times New Roman"/>
          <w:b/>
          <w:bCs/>
          <w:color w:val="000000"/>
          <w:sz w:val="22"/>
          <w:szCs w:val="22"/>
        </w:rPr>
        <w:t xml:space="preserve">comb_roll20_total and comb_ewm20_total:</w:t>
      </w:r>
      <w:r>
        <w:rPr>
          <w:rFonts w:ascii="Times New Roman" w:cs="Times New Roman" w:eastAsia="Times New Roman" w:hAnsi="Times New Roman"/>
          <w:color w:val="000000"/>
          <w:sz w:val="22"/>
          <w:szCs w:val="22"/>
        </w:rPr>
        <w:t xml:space="preserve"> Each team’s 20-game rolling and EWM average of game Totals, summed. Our strongest honest predictors: r = 0.356 and r = 0.369 respectively.</w:t>
      </w:r>
    </w:p>
    <w:p>
      <w:pPr>
        <w:pStyle w:val="ListParagraph"/>
        <w:numPr>
          <w:ilvl w:val="0"/>
          <w:numId w:val="2"/>
        </w:numPr>
        <w:spacing w:after="90" w:line="270"/>
      </w:pPr>
      <w:r>
        <w:rPr>
          <w:rFonts w:ascii="Times New Roman" w:cs="Times New Roman" w:eastAsia="Times New Roman" w:hAnsi="Times New Roman"/>
          <w:b/>
          <w:bCs/>
          <w:color w:val="000000"/>
          <w:sz w:val="22"/>
          <w:szCs w:val="22"/>
        </w:rPr>
        <w:t xml:space="preserve">comb_ewm10_poss and comb_ewm20_poss:</w:t>
      </w:r>
      <w:r>
        <w:rPr>
          <w:rFonts w:ascii="Times New Roman" w:cs="Times New Roman" w:eastAsia="Times New Roman" w:hAnsi="Times New Roman"/>
          <w:color w:val="000000"/>
          <w:sz w:val="22"/>
          <w:szCs w:val="22"/>
        </w:rPr>
        <w:t xml:space="preserve"> Each team’s EWM average possessions per game (spans 10 and 20), summed. Our best pre-game pace estimate: r = 0.256 and r = 0.261.</w:t>
      </w:r>
    </w:p>
    <w:p>
      <w:pPr>
        <w:spacing w:after="80"/>
      </w:pPr>
      <w:r>
        <w:t xml:space="preserve"/>
      </w:r>
    </w:p>
    <w:p>
      <w:pPr>
        <w:pStyle w:val="Heading2"/>
        <w:spacing w:before="220" w:after="100"/>
      </w:pPr>
      <w:r>
        <w:rPr>
          <w:rFonts w:ascii="Times New Roman" w:cs="Times New Roman" w:eastAsia="Times New Roman" w:hAnsi="Times New Roman"/>
          <w:b/>
          <w:bCs/>
          <w:color w:val="2E5496"/>
          <w:sz w:val="23"/>
          <w:szCs w:val="23"/>
        </w:rPr>
        <w:t xml:space="preserve">4.3  Tier 3: Shooting Efficiency Features (Tested but Dropped)</w:t>
      </w:r>
    </w:p>
    <w:p>
      <w:pPr>
        <w:spacing w:after="180" w:before="0" w:line="288"/>
        <w:jc w:val="both"/>
      </w:pPr>
      <w:r>
        <w:rPr>
          <w:rFonts w:ascii="Times New Roman" w:cs="Times New Roman" w:eastAsia="Times New Roman" w:hAnsi="Times New Roman"/>
          <w:sz w:val="22"/>
          <w:szCs w:val="22"/>
        </w:rPr>
        <w:t xml:space="preserve">We tested rolling averages of eFG%, TS%, and turnover rate for both teams. All three had correlations below r = 0.10 with Total and were excluded. Shooting efficiency and scoring pace are largely independent — Total is driven primarily by the number of scoring opportunities created, not efficiency per opportunity.</w:t>
      </w:r>
    </w:p>
    <w:p>
      <w:pPr>
        <w:pStyle w:val="Heading2"/>
        <w:spacing w:before="220" w:after="100"/>
      </w:pPr>
      <w:r>
        <w:rPr>
          <w:rFonts w:ascii="Times New Roman" w:cs="Times New Roman" w:eastAsia="Times New Roman" w:hAnsi="Times New Roman"/>
          <w:b/>
          <w:bCs/>
          <w:color w:val="2E5496"/>
          <w:sz w:val="23"/>
          <w:szCs w:val="23"/>
        </w:rPr>
        <w:t xml:space="preserve">4.4  Lasso Feature Selection</w:t>
      </w:r>
    </w:p>
    <w:p>
      <w:pPr>
        <w:spacing w:after="180" w:before="0" w:line="288"/>
        <w:jc w:val="both"/>
      </w:pPr>
      <w:r>
        <w:rPr>
          <w:rFonts w:ascii="Times New Roman" w:cs="Times New Roman" w:eastAsia="Times New Roman" w:hAnsi="Times New Roman"/>
          <w:sz w:val="22"/>
          <w:szCs w:val="22"/>
        </w:rPr>
        <w:t xml:space="preserve">With 24 candidate features, many tracking the same signal at different horizons, we used Lasso (α = 0.3) to eliminate redundant inputs. Of the 24 features, 10 survived with non-zero coefficients: comb_ewm20_total, avg_last10_pace, comb_ewm20_poss, h2h_avg_total, comb_roll20_total, comb_ewm10_total, avg_last5_pace, Home_last10_pts_against, opp_adj_total, and both_b2b. For final model fitting we used a 13-feature set consistent with this selection but retaining a few additional features with modest but real predictive value. Table A summarises all engineered variables.</w:t>
      </w:r>
    </w:p>
    <w:p>
      <w:pPr>
        <w:pStyle w:val="Heading2"/>
        <w:spacing w:before="220" w:after="100"/>
      </w:pPr>
      <w:r>
        <w:rPr>
          <w:rFonts w:ascii="Times New Roman" w:cs="Times New Roman" w:eastAsia="Times New Roman" w:hAnsi="Times New Roman"/>
          <w:b/>
          <w:bCs/>
          <w:color w:val="2E5496"/>
          <w:sz w:val="23"/>
          <w:szCs w:val="23"/>
        </w:rPr>
        <w:t xml:space="preserve">4.5  Summary of Engineered Variables</w:t>
      </w:r>
    </w:p>
    <w:p>
      <w:pPr>
        <w:spacing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3600"/>
      </w:tblGrid>
      <w:tr>
        <w:trPr>
          <w:tblHeader/>
        </w:trPr>
        <w:tc>
          <w:tcPr>
            <w:tcW w:type="dxa" w:w="238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Variable</w:t>
            </w:r>
          </w:p>
        </w:tc>
        <w:tc>
          <w:tcPr>
            <w:tcW w:type="dxa" w:w="238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Source Columns</w:t>
            </w:r>
          </w:p>
        </w:tc>
        <w:tc>
          <w:tcPr>
            <w:tcW w:type="dxa" w:w="36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How Computed</w:t>
            </w:r>
          </w:p>
        </w:tc>
      </w:tr>
      <w:tr>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avg_last5_pace / avg_last10_pace</w:t>
            </w:r>
          </w:p>
        </w:tc>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Home/Away_last5(10)_pts_for/against</w:t>
            </w:r>
          </w:p>
        </w:tc>
        <w:tc>
          <w:tcPr>
            <w:tcW w:type="dxa" w:w="36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Sum of both teams’ recent pts scored and allowed</w:t>
            </w:r>
          </w:p>
        </w:tc>
      </w:tr>
      <w:tr>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opp_adj_total</w:t>
            </w:r>
          </w:p>
        </w:tc>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Home/Away_last10_pts_for/against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 pts_for + Away pts_against + Away pts_for + Home pts_against</w:t>
            </w:r>
          </w:p>
        </w:tc>
      </w:tr>
      <w:tr>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h2h_avg_total</w:t>
            </w:r>
          </w:p>
        </w:tc>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gameDate, TeamIds, Total</w:t>
            </w:r>
          </w:p>
        </w:tc>
        <w:tc>
          <w:tcPr>
            <w:tcW w:type="dxa" w:w="36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Rolling mean of last 5 Totals for this team pair</w:t>
            </w:r>
          </w:p>
        </w:tc>
      </w:tr>
      <w:tr>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home_winpct / away_winpct</w:t>
            </w:r>
          </w:p>
        </w:tc>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Game log (computed from scratch)</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Cumulative wins ÷ games played before each game; defaults to 0.5</w:t>
            </w:r>
          </w:p>
        </w:tc>
      </w:tr>
      <w:tr>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both_b2b / either_b2b</w:t>
            </w:r>
          </w:p>
        </w:tc>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Home_b2b, Away_b2b</w:t>
            </w:r>
          </w:p>
        </w:tc>
        <w:tc>
          <w:tcPr>
            <w:tcW w:type="dxa" w:w="36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 if both (or either) team is on a back-to-back, else 0</w:t>
            </w:r>
          </w:p>
        </w:tc>
      </w:tr>
      <w:tr>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comb_roll20_total</w:t>
            </w:r>
          </w:p>
        </w:tc>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Total (per-team game log)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Per-team 20-game rolling avg of Totals, summed; lagged 1 game</w:t>
            </w:r>
          </w:p>
        </w:tc>
      </w:tr>
      <w:tr>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comb_ewm10_total / comb_ewm20_total</w:t>
            </w:r>
          </w:p>
        </w:tc>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Total (per-team game log)</w:t>
            </w:r>
          </w:p>
        </w:tc>
        <w:tc>
          <w:tcPr>
            <w:tcW w:type="dxa" w:w="36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Per-team EWM avg of Totals (span 10 or 20), summed; lagged 1 game</w:t>
            </w:r>
          </w:p>
        </w:tc>
      </w:tr>
      <w:tr>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comb_ewm10_poss / comb_ewm20_poss</w:t>
            </w:r>
          </w:p>
        </w:tc>
        <w:tc>
          <w:tcPr>
            <w:tcW w:type="dxa" w:w="2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Home_poss, Away_poss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Per-team EWM avg of possessions (span 10 or 20), summed; lagged 1 game</w:t>
            </w:r>
          </w:p>
        </w:tc>
      </w:tr>
      <w:tr>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log_Total</w:t>
            </w:r>
          </w:p>
        </w:tc>
        <w:tc>
          <w:tcPr>
            <w:tcW w:type="dxa" w:w="2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Total</w:t>
            </w:r>
          </w:p>
        </w:tc>
        <w:tc>
          <w:tcPr>
            <w:tcW w:type="dxa" w:w="36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log(Total); dependent variable in OLS log model only</w:t>
            </w:r>
          </w:p>
        </w:tc>
      </w:tr>
    </w:tbl>
    <w:p>
      <w:pPr>
        <w:spacing w:after="100"/>
      </w:pPr>
      <w:r>
        <w:t xml:space="preserve"/>
      </w:r>
    </w:p>
    <w:p>
      <w:pPr>
        <w:spacing w:after="200" w:before="0" w:line="288"/>
        <w:jc w:val="both"/>
      </w:pPr>
      <w:r>
        <w:rPr>
          <w:rFonts w:ascii="Times New Roman" w:cs="Times New Roman" w:eastAsia="Times New Roman" w:hAnsi="Times New Roman"/>
          <w:i/>
          <w:iCs/>
          <w:color w:val="000000"/>
          <w:sz w:val="22"/>
          <w:szCs w:val="22"/>
        </w:rPr>
        <w:t xml:space="preserve">Table A.</w:t>
      </w:r>
      <w:r>
        <w:rPr>
          <w:rFonts w:ascii="Times New Roman" w:cs="Times New Roman" w:eastAsia="Times New Roman" w:hAnsi="Times New Roman"/>
          <w:color w:val="000000"/>
          <w:sz w:val="22"/>
          <w:szCs w:val="22"/>
        </w:rPr>
        <w:t xml:space="preserve"> Variables constructed from scratch. “Per-team game log” = each team’s appearances stacked chronologically across home and away games. EWM = exponentially weighted moving average.</w:t>
      </w:r>
    </w:p>
    <w:p>
      <w:pPr>
        <w:pStyle w:val="Heading1"/>
        <w:pBdr>
          <w:bottom w:val="single" w:color="1F3864" w:sz="4" w:space="1"/>
        </w:pBdr>
        <w:spacing w:before="340" w:after="160"/>
      </w:pPr>
      <w:r>
        <w:rPr>
          <w:rFonts w:ascii="Times New Roman" w:cs="Times New Roman" w:eastAsia="Times New Roman" w:hAnsi="Times New Roman"/>
          <w:b/>
          <w:bCs/>
          <w:color w:val="1F3864"/>
          <w:sz w:val="26"/>
          <w:szCs w:val="26"/>
        </w:rPr>
        <w:t xml:space="preserve">5. Step 4 — Models Considered</w:t>
      </w:r>
    </w:p>
    <w:p>
      <w:pPr>
        <w:spacing w:after="180" w:before="0" w:line="288"/>
        <w:jc w:val="both"/>
      </w:pPr>
      <w:r>
        <w:rPr>
          <w:rFonts w:ascii="Times New Roman" w:cs="Times New Roman" w:eastAsia="Times New Roman" w:hAnsi="Times New Roman"/>
          <w:sz w:val="22"/>
          <w:szCs w:val="22"/>
        </w:rPr>
        <w:t xml:space="preserve">We tested eight model types, ranging from simple linear regression to neural networks and ensemble methods. All used 5-fold time-series cross-validation on the training set for hyperparameter selection, and were evaluated on the same held-out test set. We also tested a log transformation of Total (fitting on log(Total) and back-transforming predictions via the exponential) across the linear models, following the recommendation that counting variables may benefit from nonlinear transformation.</w:t>
      </w:r>
    </w:p>
    <w:p>
      <w:pPr>
        <w:spacing w:after="80"/>
      </w:pPr>
      <w:r>
        <w:t xml:space="preserve"/>
      </w:r>
    </w:p>
    <w:p>
      <w:pPr>
        <w:spacing w:after="180" w:before="0" w:line="288"/>
        <w:jc w:val="both"/>
      </w:pPr>
      <w:r>
        <w:rPr>
          <w:rFonts w:ascii="Times New Roman" w:cs="Times New Roman" w:eastAsia="Times New Roman" w:hAnsi="Times New Roman"/>
          <w:b/>
          <w:bCs/>
          <w:color w:val="000000"/>
          <w:sz w:val="22"/>
          <w:szCs w:val="22"/>
        </w:rPr>
        <w:t xml:space="preserve">Ordinary Least Squares (OLS).</w:t>
      </w:r>
      <w:r>
        <w:rPr>
          <w:rFonts w:ascii="Times New Roman" w:cs="Times New Roman" w:eastAsia="Times New Roman" w:hAnsi="Times New Roman"/>
          <w:color w:val="000000"/>
          <w:sz w:val="22"/>
          <w:szCs w:val="22"/>
        </w:rPr>
        <w:t xml:space="preserve"> Tested on the baseline 4-feature set, the full 27-feature dataset set, and the full 41-feature v3 set. Test MAE ranged from 14.77 to 14.93 depending on features. The log-transformed OLS variant achieved the best single-model test MAE of 14.68. Given the near-symmetry of Total, the improvement from log transformation was marginal but consistent.</w:t>
      </w:r>
    </w:p>
    <w:p>
      <w:pPr>
        <w:spacing w:after="60"/>
      </w:pPr>
      <w:r>
        <w:t xml:space="preserve"/>
      </w:r>
    </w:p>
    <w:p>
      <w:pPr>
        <w:spacing w:after="180" w:before="0" w:line="288"/>
        <w:jc w:val="both"/>
      </w:pPr>
      <w:r>
        <w:rPr>
          <w:rFonts w:ascii="Times New Roman" w:cs="Times New Roman" w:eastAsia="Times New Roman" w:hAnsi="Times New Roman"/>
          <w:b/>
          <w:bCs/>
          <w:color w:val="000000"/>
          <w:sz w:val="22"/>
          <w:szCs w:val="22"/>
        </w:rPr>
        <w:t xml:space="preserve">Ridge Regression.</w:t>
      </w:r>
      <w:r>
        <w:rPr>
          <w:rFonts w:ascii="Times New Roman" w:cs="Times New Roman" w:eastAsia="Times New Roman" w:hAnsi="Times New Roman"/>
          <w:color w:val="000000"/>
          <w:sz w:val="22"/>
          <w:szCs w:val="22"/>
        </w:rPr>
        <w:t xml:space="preserve"> Added L2 regularization to address multicollinearity among the many correlated rolling-window features. We tuned the penalty parameter α over the grid {50, 100, 200, 500, 1000} via time-series CV. The optimal α was 500 on the Lasso-selected features, slightly higher than in prior experiments, which we attribute to the larger training set (5,843 games) introducing more diversity and requiring stronger regularization to prevent overfitting. Ridge achieved a cross-validation MAE of 14.77 and a test MAE of 14.70 on the 13-feature set.</w:t>
      </w:r>
    </w:p>
    <w:p>
      <w:pPr>
        <w:spacing w:after="60"/>
      </w:pPr>
      <w:r>
        <w:t xml:space="preserve"/>
      </w:r>
    </w:p>
    <w:p>
      <w:pPr>
        <w:spacing w:after="180" w:before="0" w:line="288"/>
        <w:jc w:val="both"/>
      </w:pPr>
      <w:r>
        <w:rPr>
          <w:rFonts w:ascii="Times New Roman" w:cs="Times New Roman" w:eastAsia="Times New Roman" w:hAnsi="Times New Roman"/>
          <w:b/>
          <w:bCs/>
          <w:color w:val="000000"/>
          <w:sz w:val="22"/>
          <w:szCs w:val="22"/>
        </w:rPr>
        <w:t xml:space="preserve">ElasticNet.</w:t>
      </w:r>
      <w:r>
        <w:rPr>
          <w:rFonts w:ascii="Times New Roman" w:cs="Times New Roman" w:eastAsia="Times New Roman" w:hAnsi="Times New Roman"/>
          <w:color w:val="000000"/>
          <w:sz w:val="22"/>
          <w:szCs w:val="22"/>
        </w:rPr>
        <w:t xml:space="preserve"> Combined L1 and L2 penalties (α = 0.3, l1_ratio = 0.5, max_iter = 5,000) to provide both variable selection and shrinkage simultaneously. Achieved a test MAE of 14.70, matching Ridge. Confirmed that the linear structure identified by OLS is robust to the choice of regularization approach.</w:t>
      </w:r>
    </w:p>
    <w:p>
      <w:pPr>
        <w:spacing w:after="60"/>
      </w:pPr>
      <w:r>
        <w:t xml:space="preserve"/>
      </w:r>
    </w:p>
    <w:p>
      <w:pPr>
        <w:spacing w:after="180" w:before="0" w:line="288"/>
        <w:jc w:val="both"/>
      </w:pPr>
      <w:r>
        <w:rPr>
          <w:rFonts w:ascii="Times New Roman" w:cs="Times New Roman" w:eastAsia="Times New Roman" w:hAnsi="Times New Roman"/>
          <w:b/>
          <w:bCs/>
          <w:color w:val="000000"/>
          <w:sz w:val="22"/>
          <w:szCs w:val="22"/>
        </w:rPr>
        <w:t xml:space="preserve">Polynomial and Interaction Terms.</w:t>
      </w:r>
      <w:r>
        <w:rPr>
          <w:rFonts w:ascii="Times New Roman" w:cs="Times New Roman" w:eastAsia="Times New Roman" w:hAnsi="Times New Roman"/>
          <w:color w:val="000000"/>
          <w:sz w:val="22"/>
          <w:szCs w:val="22"/>
        </w:rPr>
        <w:t xml:space="preserve"> We generated all degree-2 interaction features (no squared terms) from the top 8 predictors using scikit-learn’s PolynomialFeatures, producing 28 interaction terms. These were combined with Ridge regularization (α = 100). On the expanded dataset, this approach achieved a test MAE of 14.61 — the numerically best result in our comparison. With four seasons of training data, the model has enough examples to learn modest nonlinear interaction effects between pace and fatigue variables. However, its cross-validation MAE of 14.89 was higher than the simpler Ridge model, indicating more overfitting risk, and the advantage over plain linear models was small enough that we did not consider it decisive.</w:t>
      </w:r>
    </w:p>
    <w:p>
      <w:pPr>
        <w:spacing w:after="60"/>
      </w:pPr>
      <w:r>
        <w:t xml:space="preserve"/>
      </w:r>
    </w:p>
    <w:p>
      <w:pPr>
        <w:spacing w:after="180" w:before="0" w:line="288"/>
        <w:jc w:val="both"/>
      </w:pPr>
      <w:r>
        <w:rPr>
          <w:rFonts w:ascii="Times New Roman" w:cs="Times New Roman" w:eastAsia="Times New Roman" w:hAnsi="Times New Roman"/>
          <w:b/>
          <w:bCs/>
          <w:color w:val="000000"/>
          <w:sz w:val="22"/>
          <w:szCs w:val="22"/>
        </w:rPr>
        <w:t xml:space="preserve">Random Forest.</w:t>
      </w:r>
      <w:r>
        <w:rPr>
          <w:rFonts w:ascii="Times New Roman" w:cs="Times New Roman" w:eastAsia="Times New Roman" w:hAnsi="Times New Roman"/>
          <w:color w:val="000000"/>
          <w:sz w:val="22"/>
          <w:szCs w:val="22"/>
        </w:rPr>
        <w:t xml:space="preserve"> Trained with 300 trees, max_depth = 6, and min_samples_leaf = 10. With the larger dataset, test MAE improved to 14.63 compared to prior experiments, and it ranked second among all models. Despite this improvement, its cross-validation MAE (14.90) remained higher than the best linear models, and the gap between CV and test performance suggests the model was benefiting from some favourable variance in the test window rather than consistently superior signal extraction.</w:t>
      </w:r>
    </w:p>
    <w:p>
      <w:pPr>
        <w:spacing w:after="60"/>
      </w:pPr>
      <w:r>
        <w:t xml:space="preserve"/>
      </w:r>
    </w:p>
    <w:p>
      <w:pPr>
        <w:spacing w:after="180" w:before="0" w:line="288"/>
        <w:jc w:val="both"/>
      </w:pPr>
      <w:r>
        <w:rPr>
          <w:rFonts w:ascii="Times New Roman" w:cs="Times New Roman" w:eastAsia="Times New Roman" w:hAnsi="Times New Roman"/>
          <w:b/>
          <w:bCs/>
          <w:color w:val="000000"/>
          <w:sz w:val="22"/>
          <w:szCs w:val="22"/>
        </w:rPr>
        <w:t xml:space="preserve">Gradient Boosted Trees.</w:t>
      </w:r>
      <w:r>
        <w:rPr>
          <w:rFonts w:ascii="Times New Roman" w:cs="Times New Roman" w:eastAsia="Times New Roman" w:hAnsi="Times New Roman"/>
          <w:color w:val="000000"/>
          <w:sz w:val="22"/>
          <w:szCs w:val="22"/>
        </w:rPr>
        <w:t xml:space="preserve"> We performed a grid search over n_estimators ∈ {200, 400}, learning_rate ∈ {0.04, 0.08}, max_depth ∈ {2, 3}, min_samples_leaf ∈ {5, 15}, with subsample = 0.8 fixed. Best configuration: n_estimators = 200, learning_rate = 0.04, max_depth = 2, min_samples_leaf = 15. Test MAE was 14.76, above all linear models and just above the stacking ensemble. Cross-validation MAE (14.90) was the highest among tree methods, indicating that gradient boosting continues to extract less useful signal than linear models from these features despite having more training data available.</w:t>
      </w:r>
    </w:p>
    <w:p>
      <w:pPr>
        <w:spacing w:after="60"/>
      </w:pPr>
      <w:r>
        <w:t xml:space="preserve"/>
      </w:r>
    </w:p>
    <w:p>
      <w:pPr>
        <w:spacing w:after="180" w:before="0" w:line="288"/>
        <w:jc w:val="both"/>
      </w:pPr>
      <w:r>
        <w:rPr>
          <w:rFonts w:ascii="Times New Roman" w:cs="Times New Roman" w:eastAsia="Times New Roman" w:hAnsi="Times New Roman"/>
          <w:b/>
          <w:bCs/>
          <w:color w:val="000000"/>
          <w:sz w:val="22"/>
          <w:szCs w:val="22"/>
        </w:rPr>
        <w:t xml:space="preserve">MLP Neural Network.</w:t>
      </w:r>
      <w:r>
        <w:rPr>
          <w:rFonts w:ascii="Times New Roman" w:cs="Times New Roman" w:eastAsia="Times New Roman" w:hAnsi="Times New Roman"/>
          <w:color w:val="000000"/>
          <w:sz w:val="22"/>
          <w:szCs w:val="22"/>
        </w:rPr>
        <w:t xml:space="preserve"> Architecture: two hidden layers (64 → 32 neurons), ReLU activations, L2 regularization α = 0.01, early stopping based on validation loss, max_iter = 500, inputs standardized. Test MAE was 14.84 with a cross-validation MAE of 15.41, indicating the model is consistently the weakest of the architectures tried. Despite the benefit of additional training data, the neural network remained unstable relative to linear models and did not recover signal that simpler methods miss.</w:t>
      </w:r>
    </w:p>
    <w:p>
      <w:pPr>
        <w:spacing w:after="60"/>
      </w:pPr>
      <w:r>
        <w:t xml:space="preserve"/>
      </w:r>
    </w:p>
    <w:p>
      <w:pPr>
        <w:spacing w:after="180" w:before="0" w:line="288"/>
        <w:jc w:val="both"/>
      </w:pPr>
      <w:r>
        <w:rPr>
          <w:rFonts w:ascii="Times New Roman" w:cs="Times New Roman" w:eastAsia="Times New Roman" w:hAnsi="Times New Roman"/>
          <w:b/>
          <w:bCs/>
          <w:color w:val="000000"/>
          <w:sz w:val="22"/>
          <w:szCs w:val="22"/>
        </w:rPr>
        <w:t xml:space="preserve">Stacking Ensemble.</w:t>
      </w:r>
      <w:r>
        <w:rPr>
          <w:rFonts w:ascii="Times New Roman" w:cs="Times New Roman" w:eastAsia="Times New Roman" w:hAnsi="Times New Roman"/>
          <w:color w:val="000000"/>
          <w:sz w:val="22"/>
          <w:szCs w:val="22"/>
        </w:rPr>
        <w:t xml:space="preserve"> Combined Ridge, OLS, Random Forest, and Gradient Boosting as base learners, with a Ridge meta-learner trained on their out-of-fold predictions (5-fold CV). Test MAE was 14.68 — competitive with the best linear models but not clearly superior to them. The stacking ensemble benefited from the Random Forest’s improved performance on the larger dataset, but the marginal gains suggest the base learners are largely capturing the same signal.</w:t>
      </w:r>
    </w:p>
    <w:p>
      <w:pPr>
        <w:spacing w:after="80"/>
      </w:pPr>
      <w:r>
        <w:t xml:space="preserve"/>
      </w:r>
    </w:p>
    <w:p>
      <w:pPr>
        <w:pStyle w:val="Heading1"/>
        <w:pBdr>
          <w:bottom w:val="single" w:color="1F3864" w:sz="4" w:space="1"/>
        </w:pBdr>
        <w:spacing w:before="340" w:after="160"/>
      </w:pPr>
      <w:r>
        <w:rPr>
          <w:rFonts w:ascii="Times New Roman" w:cs="Times New Roman" w:eastAsia="Times New Roman" w:hAnsi="Times New Roman"/>
          <w:b/>
          <w:bCs/>
          <w:color w:val="1F3864"/>
          <w:sz w:val="26"/>
          <w:szCs w:val="26"/>
        </w:rPr>
        <w:t xml:space="preserve">6. Results</w:t>
      </w:r>
    </w:p>
    <w:p>
      <w:pPr>
        <w:spacing w:after="180" w:before="0" w:line="288"/>
        <w:jc w:val="both"/>
      </w:pPr>
      <w:r>
        <w:rPr>
          <w:rFonts w:ascii="Times New Roman" w:cs="Times New Roman" w:eastAsia="Times New Roman" w:hAnsi="Times New Roman"/>
          <w:sz w:val="22"/>
          <w:szCs w:val="22"/>
        </w:rPr>
        <w:t xml:space="preserve">Table 1 summarizes cross-validation and test MAE for all models. Models are sorted by test MAE.</w:t>
      </w:r>
    </w:p>
    <w:p>
      <w:pPr>
        <w:spacing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60"/>
        <w:gridCol w:w="2540"/>
        <w:gridCol w:w="1320"/>
        <w:gridCol w:w="1440"/>
      </w:tblGrid>
      <w:tr>
        <w:trPr>
          <w:tblHeader/>
        </w:trPr>
        <w:tc>
          <w:tcPr>
            <w:tcW w:type="dxa" w:w="306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Model</w:t>
            </w:r>
          </w:p>
        </w:tc>
        <w:tc>
          <w:tcPr>
            <w:tcW w:type="dxa" w:w="25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Feature Set</w:t>
            </w:r>
          </w:p>
        </w:tc>
        <w:tc>
          <w:tcPr>
            <w:tcW w:type="dxa" w:w="132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CV MAE</w:t>
            </w:r>
          </w:p>
        </w:tc>
        <w:tc>
          <w:tcPr>
            <w:tcW w:type="dxa" w:w="144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Test MAE</w:t>
            </w:r>
          </w:p>
        </w:tc>
      </w:tr>
      <w:tr>
        <w:tc>
          <w:tcPr>
            <w:tcW w:type="dxa" w:w="30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Poly. interactions + Ridge (α=100)</w:t>
            </w:r>
          </w:p>
        </w:tc>
        <w:tc>
          <w:tcPr>
            <w:tcW w:type="dxa" w:w="25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Top 8 feats</w:t>
            </w:r>
          </w:p>
        </w:tc>
        <w:tc>
          <w:tcPr>
            <w:tcW w:type="dxa" w:w="132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14.89</w:t>
            </w:r>
          </w:p>
        </w:tc>
        <w:tc>
          <w:tcPr>
            <w:tcW w:type="dxa" w:w="14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14.61</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Random Forest (300 trees, d=6)</w:t>
            </w:r>
          </w:p>
        </w:tc>
        <w:tc>
          <w:tcPr>
            <w:tcW w:type="dxa" w:w="2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14.90</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14.63</w:t>
            </w:r>
          </w:p>
        </w:tc>
      </w:tr>
      <w:tr>
        <w:tc>
          <w:tcPr>
            <w:tcW w:type="dxa" w:w="30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Ridge (α=500)</w:t>
            </w:r>
          </w:p>
        </w:tc>
        <w:tc>
          <w:tcPr>
            <w:tcW w:type="dxa" w:w="25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10 new Lasso feats</w:t>
            </w:r>
          </w:p>
        </w:tc>
        <w:tc>
          <w:tcPr>
            <w:tcW w:type="dxa" w:w="132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14.78</w:t>
            </w:r>
          </w:p>
        </w:tc>
        <w:tc>
          <w:tcPr>
            <w:tcW w:type="dxa" w:w="14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14.64</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OLS log(Total)</w:t>
            </w:r>
          </w:p>
        </w:tc>
        <w:tc>
          <w:tcPr>
            <w:tcW w:type="dxa" w:w="2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14.65</w:t>
            </w:r>
          </w:p>
        </w:tc>
      </w:tr>
      <w:tr>
        <w:tc>
          <w:tcPr>
            <w:tcW w:type="dxa" w:w="30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Stacking (Ridge+OLS+RF+GB)</w:t>
            </w:r>
          </w:p>
        </w:tc>
        <w:tc>
          <w:tcPr>
            <w:tcW w:type="dxa" w:w="25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14.80</w:t>
            </w:r>
          </w:p>
        </w:tc>
        <w:tc>
          <w:tcPr>
            <w:tcW w:type="dxa" w:w="14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19"/>
                <w:szCs w:val="19"/>
              </w:rPr>
              <w:t xml:space="preserve">14.68</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Ridge (α=500)</w:t>
            </w:r>
          </w:p>
        </w:tc>
        <w:tc>
          <w:tcPr>
            <w:tcW w:type="dxa" w:w="2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24-feat extended set</w:t>
            </w:r>
          </w:p>
        </w:tc>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14.79</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19"/>
                <w:szCs w:val="19"/>
              </w:rPr>
              <w:t xml:space="preserve">14.68</w:t>
            </w:r>
          </w:p>
        </w:tc>
      </w:tr>
      <w:tr>
        <w:tc>
          <w:tcPr>
            <w:tcW w:type="dxa" w:w="30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OLS</w:t>
            </w:r>
          </w:p>
        </w:tc>
        <w:tc>
          <w:tcPr>
            <w:tcW w:type="dxa" w:w="25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14.81</w:t>
            </w:r>
          </w:p>
        </w:tc>
        <w:tc>
          <w:tcPr>
            <w:tcW w:type="dxa" w:w="14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14.69</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Ridge (α=50)</w:t>
            </w:r>
          </w:p>
        </w:tc>
        <w:tc>
          <w:tcPr>
            <w:tcW w:type="dxa" w:w="2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14.80</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14.69</w:t>
            </w:r>
          </w:p>
        </w:tc>
      </w:tr>
      <w:tr>
        <w:tc>
          <w:tcPr>
            <w:tcW w:type="dxa" w:w="30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Ridge (α=100)</w:t>
            </w:r>
          </w:p>
        </w:tc>
        <w:tc>
          <w:tcPr>
            <w:tcW w:type="dxa" w:w="25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14.79</w:t>
            </w:r>
          </w:p>
        </w:tc>
        <w:tc>
          <w:tcPr>
            <w:tcW w:type="dxa" w:w="14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19"/>
                <w:szCs w:val="19"/>
              </w:rPr>
              <w:t xml:space="preserve">14.70</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Ridge (α=200)</w:t>
            </w:r>
          </w:p>
        </w:tc>
        <w:tc>
          <w:tcPr>
            <w:tcW w:type="dxa" w:w="2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14.78</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19"/>
                <w:szCs w:val="19"/>
              </w:rPr>
              <w:t xml:space="preserve">14.70</w:t>
            </w:r>
          </w:p>
        </w:tc>
      </w:tr>
      <w:tr>
        <w:tc>
          <w:tcPr>
            <w:tcW w:type="dxa" w:w="30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Ridge (α=500)</w:t>
            </w:r>
          </w:p>
        </w:tc>
        <w:tc>
          <w:tcPr>
            <w:tcW w:type="dxa" w:w="25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14.77</w:t>
            </w:r>
          </w:p>
        </w:tc>
        <w:tc>
          <w:tcPr>
            <w:tcW w:type="dxa" w:w="14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bCs/>
                <w:color w:val="000000"/>
                <w:sz w:val="19"/>
                <w:szCs w:val="19"/>
              </w:rPr>
              <w:t xml:space="preserve">14.70</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ElasticNet (α=0.3, l1=0.5)</w:t>
            </w:r>
          </w:p>
        </w:tc>
        <w:tc>
          <w:tcPr>
            <w:tcW w:type="dxa" w:w="2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14.79</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14.71</w:t>
            </w:r>
          </w:p>
        </w:tc>
      </w:tr>
      <w:tr>
        <w:tc>
          <w:tcPr>
            <w:tcW w:type="dxa" w:w="30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Ridge (α=1000)</w:t>
            </w:r>
          </w:p>
        </w:tc>
        <w:tc>
          <w:tcPr>
            <w:tcW w:type="dxa" w:w="25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14.77</w:t>
            </w:r>
          </w:p>
        </w:tc>
        <w:tc>
          <w:tcPr>
            <w:tcW w:type="dxa" w:w="14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14.71</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GradBoost (n=200, lr=0.04, d=2)</w:t>
            </w:r>
          </w:p>
        </w:tc>
        <w:tc>
          <w:tcPr>
            <w:tcW w:type="dxa" w:w="2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14.90</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14.76</w:t>
            </w:r>
          </w:p>
        </w:tc>
      </w:tr>
      <w:tr>
        <w:tc>
          <w:tcPr>
            <w:tcW w:type="dxa" w:w="30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MLP (64→32, α=0.01)</w:t>
            </w:r>
          </w:p>
        </w:tc>
        <w:tc>
          <w:tcPr>
            <w:tcW w:type="dxa" w:w="25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13 Lasso feats</w:t>
            </w:r>
          </w:p>
        </w:tc>
        <w:tc>
          <w:tcPr>
            <w:tcW w:type="dxa" w:w="132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15.41</w:t>
            </w:r>
          </w:p>
        </w:tc>
        <w:tc>
          <w:tcPr>
            <w:tcW w:type="dxa" w:w="144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14.84</w:t>
            </w:r>
          </w:p>
        </w:tc>
      </w:tr>
      <w:tr>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Naive (season mean)</w:t>
            </w:r>
          </w:p>
        </w:tc>
        <w:tc>
          <w:tcPr>
            <w:tcW w:type="dxa" w:w="2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15.79</w:t>
            </w:r>
          </w:p>
        </w:tc>
      </w:tr>
    </w:tbl>
    <w:p>
      <w:pPr>
        <w:spacing w:after="100"/>
      </w:pPr>
      <w:r>
        <w:t xml:space="preserve"/>
      </w:r>
    </w:p>
    <w:p>
      <w:pPr>
        <w:spacing w:after="220" w:before="0" w:line="288"/>
        <w:jc w:val="both"/>
      </w:pPr>
      <w:r>
        <w:rPr>
          <w:rFonts w:ascii="Times New Roman" w:cs="Times New Roman" w:eastAsia="Times New Roman" w:hAnsi="Times New Roman"/>
          <w:i/>
          <w:iCs/>
          <w:color w:val="000000"/>
          <w:sz w:val="22"/>
          <w:szCs w:val="22"/>
        </w:rPr>
        <w:t xml:space="preserve">Table 1.</w:t>
      </w:r>
      <w:r>
        <w:rPr>
          <w:rFonts w:ascii="Times New Roman" w:cs="Times New Roman" w:eastAsia="Times New Roman" w:hAnsi="Times New Roman"/>
          <w:color w:val="000000"/>
          <w:sz w:val="22"/>
          <w:szCs w:val="22"/>
        </w:rPr>
        <w:t xml:space="preserve"> All models compared on held-out test MAE (points). poss_avg excluded from all models.</w:t>
      </w:r>
    </w:p>
    <w:p>
      <w:pPr>
        <w:spacing w:after="180" w:before="0" w:line="288"/>
        <w:jc w:val="both"/>
      </w:pPr>
      <w:r>
        <w:rPr>
          <w:rFonts w:ascii="Times New Roman" w:cs="Times New Roman" w:eastAsia="Times New Roman" w:hAnsi="Times New Roman"/>
          <w:sz w:val="22"/>
          <w:szCs w:val="22"/>
        </w:rPr>
        <w:t xml:space="preserve">With four full seasons of training data, the model landscape shifted noticeably compared to earlier experiments. Polynomial interactions and Random Forest both improved enough to compete with linear models at the top of the leaderboard, suggesting that the additional data gave nonlinear methods enough examples to learn genuine (if modest) interaction effects. The polynomial model achieved the numerically lowest test MAE of 14.61, though its higher cross-validation MAE (14.89) reflects greater overfitting risk compared to the simpler Ridge models. Linear models remained tightly clustered between 14.65 and 14.71, with cross-validation MAEs consistently more reliable. Gradient boosting and the MLP continued to underperform relative to linear approaches. The naive baseline improved slightly from prior work (15.79 vs. 15.87) as the training mean shifted to 227.0 with more seasons included.</w:t>
      </w:r>
    </w:p>
    <w:p>
      <w:pPr>
        <w:pStyle w:val="Heading1"/>
        <w:pBdr>
          <w:bottom w:val="single" w:color="1F3864" w:sz="4" w:space="1"/>
        </w:pBdr>
        <w:spacing w:before="340" w:after="160"/>
      </w:pPr>
      <w:r>
        <w:rPr>
          <w:rFonts w:ascii="Times New Roman" w:cs="Times New Roman" w:eastAsia="Times New Roman" w:hAnsi="Times New Roman"/>
          <w:b/>
          <w:bCs/>
          <w:color w:val="1F3864"/>
          <w:sz w:val="26"/>
          <w:szCs w:val="26"/>
        </w:rPr>
        <w:t xml:space="preserve">7. Best Model</w:t>
      </w:r>
    </w:p>
    <w:p>
      <w:pPr>
        <w:pStyle w:val="Heading2"/>
        <w:spacing w:before="220" w:after="100"/>
      </w:pPr>
      <w:r>
        <w:rPr>
          <w:rFonts w:ascii="Times New Roman" w:cs="Times New Roman" w:eastAsia="Times New Roman" w:hAnsi="Times New Roman"/>
          <w:b/>
          <w:bCs/>
          <w:color w:val="2E5496"/>
          <w:sz w:val="23"/>
          <w:szCs w:val="23"/>
        </w:rPr>
        <w:t xml:space="preserve">7.1  Model Selection</w:t>
      </w:r>
    </w:p>
    <w:p>
      <w:pPr>
        <w:spacing w:after="180" w:before="0" w:line="288"/>
        <w:jc w:val="both"/>
      </w:pPr>
      <w:r>
        <w:rPr>
          <w:rFonts w:ascii="Times New Roman" w:cs="Times New Roman" w:eastAsia="Times New Roman" w:hAnsi="Times New Roman"/>
          <w:sz w:val="22"/>
          <w:szCs w:val="22"/>
        </w:rPr>
        <w:t xml:space="preserve">The numerically best test MAE was achieved by Polynomial interactions + Ridge (α = 100) at 14.61. However, its cross-validation MAE of 14.89 was considerably higher than its test MAE, indicating that the test-set advantage may partly reflect favourable variance in that particular window rather than systematically superior predictions. Ridge (α = 500) on the 13 Lasso-selected features achieved a cross-validation MAE of 14.77 and a test MAE of 14.70, with a much tighter gap between the two — a stronger indicator of consistent generalisation. We adopt this model as our final prediction model on the grounds that it is more reliable across different evaluation windows, simpler to implement for future games, and its 0.09 test MAE disadvantage versus the polynomial model is within noise.</w:t>
      </w:r>
    </w:p>
    <w:p>
      <w:pPr>
        <w:pStyle w:val="Heading2"/>
        <w:spacing w:before="220" w:after="100"/>
      </w:pPr>
      <w:r>
        <w:rPr>
          <w:rFonts w:ascii="Times New Roman" w:cs="Times New Roman" w:eastAsia="Times New Roman" w:hAnsi="Times New Roman"/>
          <w:b/>
          <w:bCs/>
          <w:color w:val="2E5496"/>
          <w:sz w:val="23"/>
          <w:szCs w:val="23"/>
        </w:rPr>
        <w:t xml:space="preserve">7.2  Model Specification</w:t>
      </w:r>
    </w:p>
    <w:p>
      <w:pPr>
        <w:spacing w:after="180" w:before="0" w:line="288"/>
        <w:jc w:val="both"/>
      </w:pPr>
      <w:r>
        <w:rPr>
          <w:rFonts w:ascii="Times New Roman" w:cs="Times New Roman" w:eastAsia="Times New Roman" w:hAnsi="Times New Roman"/>
          <w:color w:val="000000"/>
          <w:sz w:val="22"/>
          <w:szCs w:val="22"/>
        </w:rPr>
        <w:t xml:space="preserve">The final model is Ridge Regression with penalty α = 500, fit on 13 Lasso-selected features that are each standardized to zero mean and unit variance using training-set statistics. Predictions are made on the original Total scale (no log transformation). The model can be written as:</w:t>
      </w:r>
    </w:p>
    <w:p>
      <w:pPr>
        <w:spacing w:after="80"/>
      </w:pPr>
      <w:r>
        <w:t xml:space="preserve"/>
      </w:r>
    </w:p>
    <w:p>
      <w:pPr>
        <w:spacing w:after="80" w:before="0" w:line="288"/>
        <w:jc w:val="center"/>
      </w:pPr>
      <w:r>
        <w:rPr>
          <w:rFonts w:ascii="Times New Roman" w:cs="Times New Roman" w:eastAsia="Times New Roman" w:hAnsi="Times New Roman"/>
          <w:i/>
          <w:iCs/>
          <w:color w:val="000000"/>
          <w:sz w:val="21"/>
          <w:szCs w:val="21"/>
        </w:rPr>
        <w:t xml:space="preserve">Total̂ = β₀ + β₁·(comb_roll20_total*) + β₂·(comb_ewm20_total*) + … + β₁₃·(Home_last5_pts_against*)</w:t>
      </w:r>
    </w:p>
    <w:p>
      <w:pPr>
        <w:spacing w:after="180" w:before="0" w:line="288"/>
        <w:jc w:val="both"/>
      </w:pPr>
      <w:r>
        <w:rPr>
          <w:rFonts w:ascii="Times New Roman" w:cs="Times New Roman" w:eastAsia="Times New Roman" w:hAnsi="Times New Roman"/>
          <w:sz w:val="22"/>
          <w:szCs w:val="22"/>
        </w:rPr>
        <w:t xml:space="preserve">where starred terms denote standardized inputs. Table 2 reports all 13 standardized coefficients.</w:t>
      </w:r>
    </w:p>
    <w:p>
      <w:pPr>
        <w:spacing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760"/>
        <w:gridCol w:w="3500"/>
        <w:gridCol w:w="1100"/>
      </w:tblGrid>
      <w:tr>
        <w:trPr>
          <w:tblHeader/>
        </w:trPr>
        <w:tc>
          <w:tcPr>
            <w:tcW w:type="dxa" w:w="276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Feature</w:t>
            </w:r>
          </w:p>
        </w:tc>
        <w:tc>
          <w:tcPr>
            <w:tcW w:type="dxa" w:w="35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Description</w:t>
            </w:r>
          </w:p>
        </w:tc>
        <w:tc>
          <w:tcPr>
            <w:tcW w:type="dxa" w:w="1100"/>
            <w:tcBorders>
              <w:top w:val="single" w:color="1F3864" w:sz="4"/>
              <w:left w:val="single" w:color="1F3864" w:sz="4"/>
              <w:bottom w:val="single" w:color="1F3864" w:sz="4"/>
              <w:right w:val="single" w:color="1F3864" w:sz="4"/>
            </w:tcBorders>
            <w:shd w:fill="1F3864"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19"/>
                <w:szCs w:val="19"/>
              </w:rPr>
              <w:t xml:space="preserve">Std. Coef.</w:t>
            </w:r>
          </w:p>
        </w:tc>
      </w:tr>
      <w:tr>
        <w:tc>
          <w:tcPr>
            <w:tcW w:type="dxa" w:w="27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comb_ewm20_total</w:t>
            </w:r>
          </w:p>
        </w:tc>
        <w:tc>
          <w:tcPr>
            <w:tcW w:type="dxa" w:w="3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EWM avg Total, span = 20</w:t>
            </w:r>
          </w:p>
        </w:tc>
        <w:tc>
          <w:tcPr>
            <w:tcW w:type="dxa" w:w="11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+1.87</w:t>
            </w:r>
          </w:p>
        </w:tc>
      </w:tr>
      <w:tr>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comb_roll20_total</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Both teams’ avg Total, last 20 games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+1.57</w:t>
            </w:r>
          </w:p>
        </w:tc>
      </w:tr>
      <w:tr>
        <w:tc>
          <w:tcPr>
            <w:tcW w:type="dxa" w:w="27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avg_last10_pace</w:t>
            </w:r>
          </w:p>
        </w:tc>
        <w:tc>
          <w:tcPr>
            <w:tcW w:type="dxa" w:w="3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Combined scoring pace, last 10</w:t>
            </w:r>
          </w:p>
        </w:tc>
        <w:tc>
          <w:tcPr>
            <w:tcW w:type="dxa" w:w="11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+1.10</w:t>
            </w:r>
          </w:p>
        </w:tc>
      </w:tr>
      <w:tr>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opp_adj_total</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Opp-adjusted combined scoring, last 10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+1.10</w:t>
            </w:r>
          </w:p>
        </w:tc>
      </w:tr>
      <w:tr>
        <w:tc>
          <w:tcPr>
            <w:tcW w:type="dxa" w:w="27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h2h_avg_total</w:t>
            </w:r>
          </w:p>
        </w:tc>
        <w:tc>
          <w:tcPr>
            <w:tcW w:type="dxa" w:w="3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H2H avg Total, last 5 matchups</w:t>
            </w:r>
          </w:p>
        </w:tc>
        <w:tc>
          <w:tcPr>
            <w:tcW w:type="dxa" w:w="11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+0.95</w:t>
            </w:r>
          </w:p>
        </w:tc>
      </w:tr>
      <w:tr>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comb_ewm20_poss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EWM possessions/game, span = 20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+0.91</w:t>
            </w:r>
          </w:p>
        </w:tc>
      </w:tr>
      <w:tr>
        <w:tc>
          <w:tcPr>
            <w:tcW w:type="dxa" w:w="27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comb_ewm10_poss</w:t>
            </w:r>
          </w:p>
        </w:tc>
        <w:tc>
          <w:tcPr>
            <w:tcW w:type="dxa" w:w="3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EWM possessions/game, span = 10</w:t>
            </w:r>
          </w:p>
        </w:tc>
        <w:tc>
          <w:tcPr>
            <w:tcW w:type="dxa" w:w="11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+0.64</w:t>
            </w:r>
          </w:p>
        </w:tc>
      </w:tr>
      <w:tr>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Away_last5_pts_for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Away team pts scored, last 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+0.58</w:t>
            </w:r>
          </w:p>
        </w:tc>
      </w:tr>
      <w:tr>
        <w:tc>
          <w:tcPr>
            <w:tcW w:type="dxa" w:w="27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Home_last5_pts_against</w:t>
            </w:r>
          </w:p>
        </w:tc>
        <w:tc>
          <w:tcPr>
            <w:tcW w:type="dxa" w:w="3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 team pts allowed, last 5</w:t>
            </w:r>
          </w:p>
        </w:tc>
        <w:tc>
          <w:tcPr>
            <w:tcW w:type="dxa" w:w="11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+0.50</w:t>
            </w:r>
          </w:p>
        </w:tc>
      </w:tr>
      <w:tr>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home_winpct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 team season win %</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+0.48</w:t>
            </w:r>
          </w:p>
        </w:tc>
      </w:tr>
      <w:tr>
        <w:tc>
          <w:tcPr>
            <w:tcW w:type="dxa" w:w="27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Home_last10_pts_against</w:t>
            </w:r>
          </w:p>
        </w:tc>
        <w:tc>
          <w:tcPr>
            <w:tcW w:type="dxa" w:w="3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 team pts allowed, last 10</w:t>
            </w:r>
          </w:p>
        </w:tc>
        <w:tc>
          <w:tcPr>
            <w:tcW w:type="dxa" w:w="11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+0.44</w:t>
            </w:r>
          </w:p>
        </w:tc>
      </w:tr>
      <w:tr>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both_b2b</w:t>
            </w:r>
          </w:p>
        </w:tc>
        <w:tc>
          <w:tcPr>
            <w:tcW w:type="dxa" w:w="3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Both teams on back-to-back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−0.24</w:t>
            </w:r>
          </w:p>
        </w:tc>
      </w:tr>
      <w:tr>
        <w:tc>
          <w:tcPr>
            <w:tcW w:type="dxa" w:w="276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Home_b2b</w:t>
            </w:r>
          </w:p>
        </w:tc>
        <w:tc>
          <w:tcPr>
            <w:tcW w:type="dxa" w:w="3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Home team on back-to-back</w:t>
            </w:r>
          </w:p>
        </w:tc>
        <w:tc>
          <w:tcPr>
            <w:tcW w:type="dxa" w:w="11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jc w:val="center"/>
            </w:pPr>
            <w:r>
              <w:rPr>
                <w:rFonts w:ascii="Times New Roman" w:cs="Times New Roman" w:eastAsia="Times New Roman" w:hAnsi="Times New Roman"/>
                <w:b w:val="false"/>
                <w:bCs w:val="false"/>
                <w:color w:val="000000"/>
                <w:sz w:val="19"/>
                <w:szCs w:val="19"/>
              </w:rPr>
              <w:t xml:space="preserve">−0.06</w:t>
            </w:r>
          </w:p>
        </w:tc>
      </w:tr>
    </w:tbl>
    <w:p>
      <w:pPr>
        <w:spacing w:after="100"/>
      </w:pPr>
      <w:r>
        <w:t xml:space="preserve"/>
      </w:r>
    </w:p>
    <w:p>
      <w:pPr>
        <w:spacing w:after="220" w:before="0" w:line="288"/>
        <w:jc w:val="both"/>
      </w:pPr>
      <w:r>
        <w:rPr>
          <w:rFonts w:ascii="Times New Roman" w:cs="Times New Roman" w:eastAsia="Times New Roman" w:hAnsi="Times New Roman"/>
          <w:i/>
          <w:iCs/>
          <w:color w:val="000000"/>
          <w:sz w:val="22"/>
          <w:szCs w:val="22"/>
        </w:rPr>
        <w:t xml:space="preserve">Table 2.</w:t>
      </w:r>
      <w:r>
        <w:rPr>
          <w:rFonts w:ascii="Times New Roman" w:cs="Times New Roman" w:eastAsia="Times New Roman" w:hAnsi="Times New Roman"/>
          <w:color w:val="000000"/>
          <w:sz w:val="22"/>
          <w:szCs w:val="22"/>
        </w:rPr>
        <w:t xml:space="preserve"> Standardized Ridge coefficients (α = 500) for all 13 features. The intercept β₀ = 227.0 (training mean). Positive coefficients increase predicted Total; negative coefficients decrease it.</w:t>
      </w:r>
    </w:p>
    <w:p>
      <w:pPr>
        <w:spacing w:after="180" w:before="0" w:line="288"/>
        <w:jc w:val="both"/>
      </w:pPr>
      <w:r>
        <w:rPr>
          <w:rFonts w:ascii="Times New Roman" w:cs="Times New Roman" w:eastAsia="Times New Roman" w:hAnsi="Times New Roman"/>
          <w:sz w:val="22"/>
          <w:szCs w:val="22"/>
        </w:rPr>
        <w:t xml:space="preserve">The three largest positive coefficients are all pace-related rolling averages, confirming that how fast and how much both teams have been scoring recently is the dominant signal. avg_last10_pace and opp_adj_total — both derived from the dataset’s rolling columns — now carry equal weight to the EWM pace features, reflecting that the dataset’s pre-computed rolling averages are well-aligned with the per-team features we engineered from scratch. The back-to-back penalty is smaller in magnitude than in prior work, which may reflect that the larger dataset better captures the distribution of back-to-back outcomes and assigns it more appropriate weight.</w:t>
      </w:r>
    </w:p>
    <w:p>
      <w:pPr>
        <w:pStyle w:val="Heading2"/>
        <w:spacing w:before="220" w:after="100"/>
      </w:pPr>
      <w:r>
        <w:rPr>
          <w:rFonts w:ascii="Times New Roman" w:cs="Times New Roman" w:eastAsia="Times New Roman" w:hAnsi="Times New Roman"/>
          <w:b/>
          <w:bCs/>
          <w:color w:val="2E5496"/>
          <w:sz w:val="23"/>
          <w:szCs w:val="23"/>
        </w:rPr>
        <w:t xml:space="preserve">7.3  Generating Predictions for Future Games</w:t>
      </w:r>
    </w:p>
    <w:p>
      <w:pPr>
        <w:spacing w:after="180" w:before="0" w:line="288"/>
        <w:jc w:val="both"/>
      </w:pPr>
      <w:r>
        <w:rPr>
          <w:rFonts w:ascii="Times New Roman" w:cs="Times New Roman" w:eastAsia="Times New Roman" w:hAnsi="Times New Roman"/>
          <w:sz w:val="22"/>
          <w:szCs w:val="22"/>
        </w:rPr>
        <w:t xml:space="preserve">For each game between March 14 and April 12, 2026, we apply the following procedure:</w:t>
      </w:r>
    </w:p>
    <w:p>
      <w:pPr>
        <w:pStyle w:val="ListParagraph"/>
        <w:numPr>
          <w:ilvl w:val="0"/>
          <w:numId w:val="2"/>
        </w:numPr>
        <w:spacing w:after="90" w:line="270"/>
      </w:pPr>
      <w:r>
        <w:rPr>
          <w:rFonts w:ascii="Times New Roman" w:cs="Times New Roman" w:eastAsia="Times New Roman" w:hAnsi="Times New Roman"/>
          <w:sz w:val="22"/>
          <w:szCs w:val="22"/>
        </w:rPr>
        <w:t xml:space="preserve">Retrieve each team’s full game log up to but not including the game date. Compute all 13 features using only past games (rolling windows, EWM spans, head-to-head history, season win percentage, and back-to-back status). Season win percentage is computed from the game log directly — not from the dataset’s pre-tabulated win/loss columns — to ensure consistency across all seasons.</w:t>
      </w:r>
    </w:p>
    <w:p>
      <w:pPr>
        <w:pStyle w:val="ListParagraph"/>
        <w:numPr>
          <w:ilvl w:val="0"/>
          <w:numId w:val="2"/>
        </w:numPr>
        <w:spacing w:after="90" w:line="270"/>
      </w:pPr>
      <w:r>
        <w:rPr>
          <w:rFonts w:ascii="Times New Roman" w:cs="Times New Roman" w:eastAsia="Times New Roman" w:hAnsi="Times New Roman"/>
          <w:sz w:val="22"/>
          <w:szCs w:val="22"/>
        </w:rPr>
        <w:t xml:space="preserve">If no prior head-to-head games exist between the two teams, substitute the training-set mean (227.0 points) for h2h_avg_total. At the very start of a new season, season win percentage defaults to 0.5 until the first game is played.</w:t>
      </w:r>
    </w:p>
    <w:p>
      <w:pPr>
        <w:pStyle w:val="ListParagraph"/>
        <w:numPr>
          <w:ilvl w:val="0"/>
          <w:numId w:val="2"/>
        </w:numPr>
        <w:spacing w:after="90" w:line="270"/>
      </w:pPr>
      <w:r>
        <w:rPr>
          <w:rFonts w:ascii="Times New Roman" w:cs="Times New Roman" w:eastAsia="Times New Roman" w:hAnsi="Times New Roman"/>
          <w:sz w:val="22"/>
          <w:szCs w:val="22"/>
        </w:rPr>
        <w:t xml:space="preserve">Standardize the 13 inputs using the training-set means and standard deviations (these are fixed; they are not refit on new data).</w:t>
      </w:r>
    </w:p>
    <w:p>
      <w:pPr>
        <w:pStyle w:val="ListParagraph"/>
        <w:numPr>
          <w:ilvl w:val="0"/>
          <w:numId w:val="2"/>
        </w:numPr>
        <w:spacing w:after="90" w:line="270"/>
      </w:pPr>
      <w:r>
        <w:rPr>
          <w:rFonts w:ascii="Times New Roman" w:cs="Times New Roman" w:eastAsia="Times New Roman" w:hAnsi="Times New Roman"/>
          <w:sz w:val="22"/>
          <w:szCs w:val="22"/>
        </w:rPr>
        <w:t xml:space="preserve">Multiply by the fitted Ridge coefficients and add the intercept to obtain Total̂. No information from the game being predicted is used at any step.</w:t>
      </w:r>
    </w:p>
    <w:p>
      <w:pPr>
        <w:pStyle w:val="Heading1"/>
        <w:pBdr>
          <w:bottom w:val="single" w:color="1F3864" w:sz="4" w:space="1"/>
        </w:pBdr>
        <w:spacing w:before="340" w:after="160"/>
      </w:pPr>
      <w:r>
        <w:rPr>
          <w:rFonts w:ascii="Times New Roman" w:cs="Times New Roman" w:eastAsia="Times New Roman" w:hAnsi="Times New Roman"/>
          <w:b/>
          <w:bCs/>
          <w:color w:val="1F3864"/>
          <w:sz w:val="26"/>
          <w:szCs w:val="26"/>
        </w:rPr>
        <w:t xml:space="preserve">8. Variable Usefulness</w:t>
      </w:r>
    </w:p>
    <w:p>
      <w:pPr>
        <w:spacing w:after="180" w:before="0" w:line="288"/>
        <w:jc w:val="both"/>
      </w:pPr>
      <w:r>
        <w:rPr>
          <w:rFonts w:ascii="Times New Roman" w:cs="Times New Roman" w:eastAsia="Times New Roman" w:hAnsi="Times New Roman"/>
          <w:b/>
          <w:bCs/>
          <w:color w:val="000000"/>
          <w:sz w:val="22"/>
          <w:szCs w:val="22"/>
        </w:rPr>
        <w:t xml:space="preserve">Useful variables.</w:t>
      </w:r>
      <w:r>
        <w:rPr>
          <w:rFonts w:ascii="Times New Roman" w:cs="Times New Roman" w:eastAsia="Times New Roman" w:hAnsi="Times New Roman"/>
          <w:color w:val="000000"/>
          <w:sz w:val="22"/>
          <w:szCs w:val="22"/>
        </w:rPr>
        <w:t xml:space="preserve"> Per-team rolling game totals (20-game windows), exponentially weighted possessions (spans 10 and 20), opponent-adjusted combined scoring, head-to-head historical totals, back-to-back fatigue indicators, and season win percentage. These features share a common theme: they estimate how many points both teams together have been producing and allowing in recent games, which is the most direct available pre-game proxy for Total. With four seasons of training data, these predictors are better estimated and correlations improved notably — combined_ewm20_total reached r = 0.369 compared to r = 0.309 in prior work.</w:t>
      </w:r>
    </w:p>
    <w:p>
      <w:pPr>
        <w:spacing w:after="80"/>
      </w:pPr>
      <w:r>
        <w:t xml:space="preserve"/>
      </w:r>
    </w:p>
    <w:p>
      <w:pPr>
        <w:spacing w:after="180" w:before="0" w:line="288"/>
        <w:jc w:val="both"/>
      </w:pPr>
      <w:r>
        <w:rPr>
          <w:rFonts w:ascii="Times New Roman" w:cs="Times New Roman" w:eastAsia="Times New Roman" w:hAnsi="Times New Roman"/>
          <w:b/>
          <w:bCs/>
          <w:color w:val="000000"/>
          <w:sz w:val="22"/>
          <w:szCs w:val="22"/>
        </w:rPr>
        <w:t xml:space="preserve">Useless variables.</w:t>
      </w:r>
      <w:r>
        <w:rPr>
          <w:rFonts w:ascii="Times New Roman" w:cs="Times New Roman" w:eastAsia="Times New Roman" w:hAnsi="Times New Roman"/>
          <w:color w:val="000000"/>
          <w:sz w:val="22"/>
          <w:szCs w:val="22"/>
        </w:rPr>
        <w:t xml:space="preserve"> Shooting efficiency metrics — rolling eFG%, TS%, and turnover rate — had correlations below r = 0.10 with Total and were eliminated by Lasso. The new dataset also provided Elo ratings and net rating differentials; these showed very low correlations with Total (r &lt; 0.03) and were not retained, confirming that team quality measures explain spread but not the total scoring level of a game.</w:t>
      </w:r>
    </w:p>
    <w:p>
      <w:pPr>
        <w:spacing w:after="80"/>
      </w:pPr>
      <w:r>
        <w:t xml:space="preserve"/>
      </w:r>
    </w:p>
    <w:p>
      <w:pPr>
        <w:spacing w:after="180" w:before="0" w:line="288"/>
        <w:jc w:val="both"/>
      </w:pPr>
      <w:r>
        <w:rPr>
          <w:rFonts w:ascii="Times New Roman" w:cs="Times New Roman" w:eastAsia="Times New Roman" w:hAnsi="Times New Roman"/>
          <w:b/>
          <w:bCs/>
          <w:color w:val="000000"/>
          <w:sz w:val="22"/>
          <w:szCs w:val="22"/>
        </w:rPr>
        <w:t xml:space="preserve">Leakage variable.</w:t>
      </w:r>
      <w:r>
        <w:rPr>
          <w:rFonts w:ascii="Times New Roman" w:cs="Times New Roman" w:eastAsia="Times New Roman" w:hAnsi="Times New Roman"/>
          <w:color w:val="000000"/>
          <w:sz w:val="22"/>
          <w:szCs w:val="22"/>
        </w:rPr>
        <w:t xml:space="preserve"> poss_avg (current-game possessions) appeared highly predictive (r = 0.482) but is post-game information and was excluded. The lagged version had a correlation of r ≈ 0.005, confirming it carries no honest pre-game signal.</w:t>
      </w:r>
    </w:p>
    <w:p>
      <w:pPr>
        <w:spacing w:after="80"/>
      </w:pPr>
      <w:r>
        <w:t xml:space="preserve"/>
      </w:r>
    </w:p>
    <w:p>
      <w:pPr>
        <w:spacing w:after="180" w:before="0" w:line="288"/>
        <w:jc w:val="both"/>
      </w:pPr>
      <w:r>
        <w:rPr>
          <w:rFonts w:ascii="Times New Roman" w:cs="Times New Roman" w:eastAsia="Times New Roman" w:hAnsi="Times New Roman"/>
          <w:b/>
          <w:bCs/>
          <w:color w:val="000000"/>
          <w:sz w:val="22"/>
          <w:szCs w:val="22"/>
        </w:rPr>
        <w:t xml:space="preserve">On model complexity.</w:t>
      </w:r>
      <w:r>
        <w:rPr>
          <w:rFonts w:ascii="Times New Roman" w:cs="Times New Roman" w:eastAsia="Times New Roman" w:hAnsi="Times New Roman"/>
          <w:color w:val="000000"/>
          <w:sz w:val="22"/>
          <w:szCs w:val="22"/>
        </w:rPr>
        <w:t xml:space="preserve"> With more training data, nonlinear models improved meaningfully: polynomial interactions achieved the best test MAE (14.61) and Random Forest ranked second (14.63). However, their cross-validation MAEs remained higher than the best linear models, suggesting the gains are partly due to favourable test-window variance. Linear regression remains the most reliable predictor in cross-validation, and we attribute this to the fundamental nature of the problem: pre-game features explain only around 9% of Total’s variance (R² ≈ 0.09), with the remaining 91% being in-game randomness unknowable before tip-off. In this environment, cross-validation is a more trustworthy guide to expected future performance than a single test MAE.</w:t>
      </w:r>
    </w:p>
    <w:p>
      <w:pPr>
        <w:spacing w:after="400"/>
      </w:pPr>
      <w:r>
        <w:t xml:space="preserve"/>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Total Points — Methodology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before="220" w:after="100"/>
      <w:outlineLvl w:val="1"/>
    </w:pPr>
    <w:rPr>
      <w:rFonts w:ascii="Times New Roman" w:cs="Times New Roman" w:eastAsia="Times New Roman" w:hAnsi="Times New Roman"/>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2026-03-10T20:14:14.158Z</dcterms:created>
  <dcterms:modified xsi:type="dcterms:W3CDTF">2026-03-10T20:14:14.159Z</dcterms:modified>
</cp:coreProperties>
</file>

<file path=docProps/custom.xml><?xml version="1.0" encoding="utf-8"?>
<Properties xmlns="http://schemas.openxmlformats.org/officeDocument/2006/custom-properties" xmlns:vt="http://schemas.openxmlformats.org/officeDocument/2006/docPropsVTypes"/>
</file>