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// asm to print the upper case of a character and error otherwise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inputMsg db 'Enter a lowercase alphabet : '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inputMsgLen equ $-inputMsg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errorMsg db 'The Character entered is neither uppercase nor lowercase', 13, 10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lenErrorMsg equ $-errorMsg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invalidMsg db 'The Character entered is not lowercase', 13, 10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lenInvalidMsg equ $-invalidMsg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newline db '', 13, 10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lenNewline equ $-newline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lowercase resb 2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uppercase resb 2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_start:'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inputMsg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inputMsgLen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3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lowercase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1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[lowercase]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'A'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jb error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'z'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ja error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cmp eax, 'Z'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jb invalid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call lowToUpper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mov ecx, newline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mov edx, lenNewline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jmp exit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lowToUpper: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;Converting lowercase to uppercase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sub eax, 32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[uppercase], eax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uppercase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1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error: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;Displaying Message 'The Character entered is neither uppercase nor lowercase'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errorMsg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lenErrorMsg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invalid: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;Displaying Message 'The Character entered is not lowercase'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4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ebx, 1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ecx, invalidMsg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edx, lenInvalidMsg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exit: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mov eax, 1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80h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4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