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23E" w:rsidRPr="00DD52AD" w:rsidRDefault="00B2123E" w:rsidP="00B2123E">
      <w:pPr>
        <w:jc w:val="both"/>
        <w:rPr>
          <w:rFonts w:ascii="Georgia" w:hAnsi="Georgia"/>
          <w:lang w:val="en-US"/>
        </w:rPr>
      </w:pPr>
      <w:r w:rsidRPr="00DD52AD">
        <w:rPr>
          <w:rFonts w:ascii="Georgia" w:hAnsi="Georgia"/>
          <w:lang w:val="en-US"/>
        </w:rPr>
        <w:t xml:space="preserve">FREQUENTLY </w:t>
      </w:r>
      <w:r w:rsidR="00E17073">
        <w:rPr>
          <w:rFonts w:ascii="Georgia" w:hAnsi="Georgia"/>
          <w:lang w:val="en-US"/>
        </w:rPr>
        <w:t xml:space="preserve">ASKED QUESTIONS IN RESPECT OF REQUIREMENT TO OBTAIN LESSOR’S CONSENT </w:t>
      </w:r>
    </w:p>
    <w:tbl>
      <w:tblPr>
        <w:tblStyle w:val="TableGrid"/>
        <w:tblW w:w="0" w:type="auto"/>
        <w:tblLook w:val="04A0" w:firstRow="1" w:lastRow="0" w:firstColumn="1" w:lastColumn="0" w:noHBand="0" w:noVBand="1"/>
      </w:tblPr>
      <w:tblGrid>
        <w:gridCol w:w="846"/>
        <w:gridCol w:w="3544"/>
        <w:gridCol w:w="4626"/>
      </w:tblGrid>
      <w:tr w:rsidR="00B2123E" w:rsidRPr="00DD52AD" w:rsidTr="000A3887">
        <w:tc>
          <w:tcPr>
            <w:tcW w:w="846" w:type="dxa"/>
            <w:shd w:val="clear" w:color="auto" w:fill="C00000"/>
          </w:tcPr>
          <w:p w:rsidR="00B2123E" w:rsidRPr="00DD52AD" w:rsidRDefault="00B2123E" w:rsidP="000A3887">
            <w:pPr>
              <w:jc w:val="both"/>
              <w:rPr>
                <w:rFonts w:ascii="Georgia" w:hAnsi="Georgia"/>
                <w:lang w:val="en-US"/>
              </w:rPr>
            </w:pPr>
            <w:r w:rsidRPr="00DD52AD">
              <w:rPr>
                <w:rFonts w:ascii="Georgia" w:hAnsi="Georgia"/>
                <w:lang w:val="en-US"/>
              </w:rPr>
              <w:t>No.</w:t>
            </w:r>
          </w:p>
        </w:tc>
        <w:tc>
          <w:tcPr>
            <w:tcW w:w="3544" w:type="dxa"/>
            <w:shd w:val="clear" w:color="auto" w:fill="C00000"/>
          </w:tcPr>
          <w:p w:rsidR="00B2123E" w:rsidRPr="00DD52AD" w:rsidRDefault="00B2123E" w:rsidP="000A3887">
            <w:pPr>
              <w:jc w:val="both"/>
              <w:rPr>
                <w:rFonts w:ascii="Georgia" w:hAnsi="Georgia"/>
                <w:lang w:val="en-US"/>
              </w:rPr>
            </w:pPr>
            <w:r w:rsidRPr="00DD52AD">
              <w:rPr>
                <w:rFonts w:ascii="Georgia" w:hAnsi="Georgia"/>
                <w:lang w:val="en-US"/>
              </w:rPr>
              <w:t>QUESTION</w:t>
            </w:r>
          </w:p>
        </w:tc>
        <w:tc>
          <w:tcPr>
            <w:tcW w:w="4626" w:type="dxa"/>
            <w:shd w:val="clear" w:color="auto" w:fill="C00000"/>
          </w:tcPr>
          <w:p w:rsidR="00B2123E" w:rsidRPr="00DD52AD" w:rsidRDefault="00B2123E" w:rsidP="000A3887">
            <w:pPr>
              <w:jc w:val="both"/>
              <w:rPr>
                <w:rFonts w:ascii="Georgia" w:hAnsi="Georgia"/>
                <w:lang w:val="en-US"/>
              </w:rPr>
            </w:pPr>
            <w:r w:rsidRPr="00DD52AD">
              <w:rPr>
                <w:rFonts w:ascii="Georgia" w:hAnsi="Georgia"/>
                <w:lang w:val="en-US"/>
              </w:rPr>
              <w:t>ANSWER</w:t>
            </w:r>
          </w:p>
          <w:p w:rsidR="00B2123E" w:rsidRPr="00DD52AD" w:rsidRDefault="00B2123E" w:rsidP="000A3887">
            <w:pPr>
              <w:jc w:val="both"/>
              <w:rPr>
                <w:rFonts w:ascii="Georgia" w:hAnsi="Georgia"/>
                <w:lang w:val="en-US"/>
              </w:rPr>
            </w:pPr>
          </w:p>
        </w:tc>
        <w:bookmarkStart w:id="0" w:name="_GoBack"/>
        <w:bookmarkEnd w:id="0"/>
      </w:tr>
      <w:tr w:rsidR="00B2123E" w:rsidRPr="00DD52AD" w:rsidTr="000A3887">
        <w:tc>
          <w:tcPr>
            <w:tcW w:w="846" w:type="dxa"/>
          </w:tcPr>
          <w:p w:rsidR="00B2123E" w:rsidRPr="00DD52AD" w:rsidRDefault="00B2123E" w:rsidP="000A3887">
            <w:pPr>
              <w:pStyle w:val="ListParagraph"/>
              <w:numPr>
                <w:ilvl w:val="0"/>
                <w:numId w:val="1"/>
              </w:numPr>
              <w:jc w:val="both"/>
              <w:rPr>
                <w:rFonts w:ascii="Georgia" w:hAnsi="Georgia"/>
              </w:rPr>
            </w:pPr>
          </w:p>
        </w:tc>
        <w:tc>
          <w:tcPr>
            <w:tcW w:w="3544" w:type="dxa"/>
          </w:tcPr>
          <w:p w:rsidR="00B2123E" w:rsidRPr="00DD52AD" w:rsidRDefault="00E17073" w:rsidP="000A3887">
            <w:pPr>
              <w:jc w:val="both"/>
              <w:rPr>
                <w:rFonts w:ascii="Georgia" w:hAnsi="Georgia"/>
                <w:lang w:val="en-US"/>
              </w:rPr>
            </w:pPr>
            <w:r>
              <w:rPr>
                <w:rFonts w:ascii="Georgia" w:hAnsi="Georgia"/>
                <w:lang w:val="en-US"/>
              </w:rPr>
              <w:t xml:space="preserve">When </w:t>
            </w:r>
            <w:r w:rsidR="00B2123E" w:rsidRPr="00DD52AD">
              <w:rPr>
                <w:rFonts w:ascii="Georgia" w:hAnsi="Georgia"/>
                <w:lang w:val="en-US"/>
              </w:rPr>
              <w:t>is a</w:t>
            </w:r>
            <w:r>
              <w:rPr>
                <w:rFonts w:ascii="Georgia" w:hAnsi="Georgia"/>
                <w:lang w:val="en-US"/>
              </w:rPr>
              <w:t xml:space="preserve"> Lessor’s consent required</w:t>
            </w:r>
            <w:r w:rsidR="00B2123E" w:rsidRPr="00DD52AD">
              <w:rPr>
                <w:rFonts w:ascii="Georgia" w:hAnsi="Georgia"/>
                <w:lang w:val="en-US"/>
              </w:rPr>
              <w:t>?</w:t>
            </w:r>
          </w:p>
        </w:tc>
        <w:tc>
          <w:tcPr>
            <w:tcW w:w="4626" w:type="dxa"/>
          </w:tcPr>
          <w:p w:rsidR="00E17073" w:rsidRPr="00E17073" w:rsidRDefault="00B2123E" w:rsidP="00A9757F">
            <w:pPr>
              <w:jc w:val="both"/>
              <w:rPr>
                <w:rFonts w:ascii="Georgia" w:hAnsi="Georgia"/>
              </w:rPr>
            </w:pPr>
            <w:r w:rsidRPr="00E17073">
              <w:rPr>
                <w:rFonts w:ascii="Georgia" w:hAnsi="Georgia"/>
                <w:lang w:val="en-US"/>
              </w:rPr>
              <w:t xml:space="preserve">In </w:t>
            </w:r>
            <w:r w:rsidR="00A9757F" w:rsidRPr="00E17073">
              <w:rPr>
                <w:rFonts w:ascii="Georgia" w:hAnsi="Georgia"/>
                <w:lang w:val="en-US"/>
              </w:rPr>
              <w:t>general,</w:t>
            </w:r>
            <w:r w:rsidRPr="00E17073">
              <w:rPr>
                <w:rFonts w:ascii="Georgia" w:hAnsi="Georgia"/>
                <w:lang w:val="en-US"/>
              </w:rPr>
              <w:t xml:space="preserve"> </w:t>
            </w:r>
            <w:r w:rsidR="00E17073" w:rsidRPr="00E17073">
              <w:rPr>
                <w:rFonts w:ascii="Georgia" w:hAnsi="Georgia"/>
                <w:lang w:val="en-US"/>
              </w:rPr>
              <w:t xml:space="preserve">any act of disposition intended by the Lessee requires the Lessor’s consent. The law defines what constitutes a disposition. Generally, </w:t>
            </w:r>
            <w:r w:rsidR="00E17073" w:rsidRPr="00E17073">
              <w:rPr>
                <w:rFonts w:ascii="Georgia" w:hAnsi="Georgia"/>
              </w:rPr>
              <w:t>where there is a covenant in the lease that requires that an action by the Lessee affecting the property must first be preceded by an application for consent/ approval by the Lessor, the Lessee must make such application in good and reasonable time to the Lessor for the Lessor’s consent.</w:t>
            </w:r>
          </w:p>
          <w:p w:rsidR="00E17073" w:rsidRDefault="00E17073" w:rsidP="00A9757F">
            <w:pPr>
              <w:jc w:val="both"/>
              <w:rPr>
                <w:rFonts w:ascii="Georgia" w:hAnsi="Georgia"/>
                <w:lang w:val="en-US"/>
              </w:rPr>
            </w:pPr>
            <w:r w:rsidRPr="00E17073">
              <w:rPr>
                <w:rFonts w:ascii="Georgia" w:hAnsi="Georgia"/>
              </w:rPr>
              <w:t>Actions that require consent could include: transfer or assignment of the lease to a Lessee</w:t>
            </w:r>
            <w:r w:rsidRPr="00E17073">
              <w:rPr>
                <w:rFonts w:ascii="Georgia" w:hAnsi="Georgia"/>
                <w:lang w:val="en-US"/>
              </w:rPr>
              <w:t xml:space="preserve"> or even where the Lessee intends to charge the property with a financier. </w:t>
            </w:r>
          </w:p>
          <w:p w:rsidR="00B2123E" w:rsidRPr="00A9757F" w:rsidRDefault="00A9757F" w:rsidP="00E17073">
            <w:pPr>
              <w:jc w:val="both"/>
              <w:rPr>
                <w:rFonts w:ascii="Georgia" w:hAnsi="Georgia"/>
                <w:lang w:val="en-US"/>
              </w:rPr>
            </w:pPr>
            <w:r>
              <w:rPr>
                <w:rFonts w:ascii="Georgia" w:hAnsi="Georgia"/>
                <w:lang w:val="en-US"/>
              </w:rPr>
              <w:t xml:space="preserve">Where the reversionary interest has passed to a management company, the consent will be required in that instance shall be from the management company. </w:t>
            </w:r>
          </w:p>
        </w:tc>
      </w:tr>
      <w:tr w:rsidR="00B2123E" w:rsidRPr="00DD52AD" w:rsidTr="000A3887">
        <w:tc>
          <w:tcPr>
            <w:tcW w:w="846" w:type="dxa"/>
          </w:tcPr>
          <w:p w:rsidR="00B2123E" w:rsidRPr="00DD52AD" w:rsidRDefault="00B2123E" w:rsidP="000A3887">
            <w:pPr>
              <w:pStyle w:val="ListParagraph"/>
              <w:numPr>
                <w:ilvl w:val="0"/>
                <w:numId w:val="1"/>
              </w:numPr>
              <w:jc w:val="both"/>
              <w:rPr>
                <w:rFonts w:ascii="Georgia" w:hAnsi="Georgia"/>
              </w:rPr>
            </w:pPr>
          </w:p>
        </w:tc>
        <w:tc>
          <w:tcPr>
            <w:tcW w:w="3544" w:type="dxa"/>
          </w:tcPr>
          <w:p w:rsidR="00B2123E" w:rsidRPr="00B80A6A" w:rsidRDefault="00A9757F" w:rsidP="000A3887">
            <w:pPr>
              <w:jc w:val="both"/>
              <w:rPr>
                <w:rFonts w:ascii="Georgia" w:hAnsi="Georgia"/>
                <w:lang w:val="en-US"/>
              </w:rPr>
            </w:pPr>
            <w:r>
              <w:rPr>
                <w:rFonts w:ascii="Georgia" w:hAnsi="Georgia"/>
                <w:lang w:val="en-US"/>
              </w:rPr>
              <w:t>Is obtaining a Lessor’s consent a mandatory requirement?</w:t>
            </w:r>
          </w:p>
        </w:tc>
        <w:tc>
          <w:tcPr>
            <w:tcW w:w="4626" w:type="dxa"/>
          </w:tcPr>
          <w:p w:rsidR="00A9757F" w:rsidRPr="0064735F" w:rsidRDefault="00A9757F" w:rsidP="00A9757F">
            <w:pPr>
              <w:jc w:val="both"/>
              <w:rPr>
                <w:rFonts w:ascii="Georgia" w:hAnsi="Georgia"/>
              </w:rPr>
            </w:pPr>
            <w:r w:rsidRPr="0064735F">
              <w:rPr>
                <w:rFonts w:ascii="Georgia" w:hAnsi="Georgia"/>
                <w:lang w:val="en-US"/>
              </w:rPr>
              <w:t xml:space="preserve">Where the lease contains a covenant by the lessee not to take an action without the Lessor’s consent, </w:t>
            </w:r>
            <w:r w:rsidRPr="0064735F">
              <w:rPr>
                <w:rFonts w:ascii="Georgia" w:hAnsi="Georgia" w:cs="Arial"/>
                <w:shd w:val="clear" w:color="auto" w:fill="FFFFFF"/>
              </w:rPr>
              <w:t xml:space="preserve">the lessee shall make an application for the lessor’s consent which shall not be unreasonably withheld. </w:t>
            </w:r>
          </w:p>
          <w:p w:rsidR="00B2123E" w:rsidRPr="00DD52AD" w:rsidRDefault="00B2123E" w:rsidP="000A3887">
            <w:pPr>
              <w:jc w:val="both"/>
              <w:rPr>
                <w:rFonts w:ascii="Georgia" w:hAnsi="Georgia"/>
              </w:rPr>
            </w:pPr>
          </w:p>
        </w:tc>
      </w:tr>
      <w:tr w:rsidR="00B2123E" w:rsidRPr="00DD52AD" w:rsidTr="000A3887">
        <w:tc>
          <w:tcPr>
            <w:tcW w:w="846" w:type="dxa"/>
          </w:tcPr>
          <w:p w:rsidR="00B2123E" w:rsidRPr="00DD52AD" w:rsidRDefault="00B2123E" w:rsidP="000A3887">
            <w:pPr>
              <w:pStyle w:val="ListParagraph"/>
              <w:numPr>
                <w:ilvl w:val="0"/>
                <w:numId w:val="1"/>
              </w:numPr>
              <w:jc w:val="both"/>
              <w:rPr>
                <w:rFonts w:ascii="Georgia" w:hAnsi="Georgia"/>
              </w:rPr>
            </w:pPr>
          </w:p>
        </w:tc>
        <w:tc>
          <w:tcPr>
            <w:tcW w:w="3544" w:type="dxa"/>
          </w:tcPr>
          <w:p w:rsidR="00B2123E" w:rsidRDefault="0064735F" w:rsidP="0064735F">
            <w:pPr>
              <w:jc w:val="both"/>
              <w:rPr>
                <w:rFonts w:ascii="Georgia" w:hAnsi="Georgia"/>
                <w:lang w:val="en-US"/>
              </w:rPr>
            </w:pPr>
            <w:r>
              <w:rPr>
                <w:rFonts w:ascii="Georgia" w:hAnsi="Georgia"/>
                <w:lang w:val="en-US"/>
              </w:rPr>
              <w:t>When is the lessor’s consent considered to be unreasonably withheld?</w:t>
            </w:r>
          </w:p>
        </w:tc>
        <w:tc>
          <w:tcPr>
            <w:tcW w:w="4626" w:type="dxa"/>
          </w:tcPr>
          <w:p w:rsidR="0064735F" w:rsidRDefault="0064735F" w:rsidP="0064735F">
            <w:pPr>
              <w:jc w:val="both"/>
              <w:rPr>
                <w:rFonts w:ascii="Georgia" w:hAnsi="Georgia"/>
                <w:lang w:val="en-US"/>
              </w:rPr>
            </w:pPr>
            <w:r>
              <w:rPr>
                <w:rFonts w:ascii="Georgia" w:hAnsi="Georgia"/>
                <w:lang w:val="en-US"/>
              </w:rPr>
              <w:t>Consent is unreasonably withheld if:</w:t>
            </w:r>
          </w:p>
          <w:p w:rsidR="00B2123E" w:rsidRDefault="0064735F" w:rsidP="0064735F">
            <w:pPr>
              <w:pStyle w:val="ListParagraph"/>
              <w:numPr>
                <w:ilvl w:val="0"/>
                <w:numId w:val="3"/>
              </w:numPr>
              <w:jc w:val="both"/>
              <w:rPr>
                <w:rFonts w:ascii="Georgia" w:hAnsi="Georgia"/>
                <w:lang w:val="en-US"/>
              </w:rPr>
            </w:pPr>
            <w:r w:rsidRPr="0064735F">
              <w:rPr>
                <w:rFonts w:ascii="Georgia" w:hAnsi="Georgia"/>
                <w:lang w:val="en-US"/>
              </w:rPr>
              <w:t xml:space="preserve">the lessor imposes </w:t>
            </w:r>
            <w:r>
              <w:rPr>
                <w:rFonts w:ascii="Georgia" w:hAnsi="Georgia"/>
                <w:lang w:val="en-US"/>
              </w:rPr>
              <w:t>unreasonable conditions to the giving of consent;</w:t>
            </w:r>
          </w:p>
          <w:p w:rsidR="0064735F" w:rsidRDefault="0064735F" w:rsidP="0064735F">
            <w:pPr>
              <w:pStyle w:val="ListParagraph"/>
              <w:numPr>
                <w:ilvl w:val="0"/>
                <w:numId w:val="3"/>
              </w:numPr>
              <w:jc w:val="both"/>
              <w:rPr>
                <w:rFonts w:ascii="Georgia" w:hAnsi="Georgia"/>
                <w:lang w:val="en-US"/>
              </w:rPr>
            </w:pPr>
            <w:r>
              <w:rPr>
                <w:rFonts w:ascii="Georgia" w:hAnsi="Georgia"/>
                <w:lang w:val="en-US"/>
              </w:rPr>
              <w:t>the lessor requires the lessee to pay money in form of rent or more premium save for the lessor’s costs towards obtaining the consent; and</w:t>
            </w:r>
          </w:p>
          <w:p w:rsidR="0064735F" w:rsidRDefault="0064735F" w:rsidP="0064735F">
            <w:pPr>
              <w:pStyle w:val="ListParagraph"/>
              <w:numPr>
                <w:ilvl w:val="0"/>
                <w:numId w:val="3"/>
              </w:numPr>
              <w:jc w:val="both"/>
              <w:rPr>
                <w:rFonts w:ascii="Georgia" w:hAnsi="Georgia"/>
                <w:lang w:val="en-US"/>
              </w:rPr>
            </w:pPr>
            <w:r>
              <w:rPr>
                <w:rFonts w:ascii="Georgia" w:hAnsi="Georgia"/>
                <w:lang w:val="en-US"/>
              </w:rPr>
              <w:t>lessor refuses to grant consent on the basis of the gender, race, nationality or other discriminatory basis;</w:t>
            </w:r>
          </w:p>
          <w:p w:rsidR="0064735F" w:rsidRPr="0064735F" w:rsidRDefault="0064735F" w:rsidP="0064735F">
            <w:pPr>
              <w:pStyle w:val="ListParagraph"/>
              <w:numPr>
                <w:ilvl w:val="0"/>
                <w:numId w:val="3"/>
              </w:numPr>
              <w:jc w:val="both"/>
              <w:rPr>
                <w:rFonts w:ascii="Georgia" w:hAnsi="Georgia"/>
                <w:lang w:val="en-US"/>
              </w:rPr>
            </w:pPr>
            <w:r>
              <w:rPr>
                <w:rFonts w:ascii="Georgia" w:hAnsi="Georgia"/>
                <w:lang w:val="en-US"/>
              </w:rPr>
              <w:t xml:space="preserve">other grounds that can reasonably be deemed to be unfair or irrelevant to the granting of consent. </w:t>
            </w:r>
          </w:p>
        </w:tc>
      </w:tr>
      <w:tr w:rsidR="00EC6E84" w:rsidRPr="00DD52AD" w:rsidTr="000A3887">
        <w:tc>
          <w:tcPr>
            <w:tcW w:w="846" w:type="dxa"/>
          </w:tcPr>
          <w:p w:rsidR="00EC6E84" w:rsidRPr="00DD52AD" w:rsidRDefault="00EC6E84" w:rsidP="000A3887">
            <w:pPr>
              <w:pStyle w:val="ListParagraph"/>
              <w:numPr>
                <w:ilvl w:val="0"/>
                <w:numId w:val="1"/>
              </w:numPr>
              <w:jc w:val="both"/>
              <w:rPr>
                <w:rFonts w:ascii="Georgia" w:hAnsi="Georgia"/>
              </w:rPr>
            </w:pPr>
          </w:p>
        </w:tc>
        <w:tc>
          <w:tcPr>
            <w:tcW w:w="3544" w:type="dxa"/>
          </w:tcPr>
          <w:p w:rsidR="00EC6E84" w:rsidRDefault="00EC6E84" w:rsidP="0064735F">
            <w:pPr>
              <w:jc w:val="both"/>
              <w:rPr>
                <w:rFonts w:ascii="Georgia" w:hAnsi="Georgia"/>
                <w:lang w:val="en-US"/>
              </w:rPr>
            </w:pPr>
            <w:r>
              <w:rPr>
                <w:rFonts w:ascii="Georgia" w:hAnsi="Georgia"/>
                <w:lang w:val="en-US"/>
              </w:rPr>
              <w:t>What is the effect of not obtaining the Lessor’s consent?</w:t>
            </w:r>
          </w:p>
        </w:tc>
        <w:tc>
          <w:tcPr>
            <w:tcW w:w="4626" w:type="dxa"/>
          </w:tcPr>
          <w:p w:rsidR="00EC6E84" w:rsidRDefault="00EC6E84" w:rsidP="00EC6E84">
            <w:pPr>
              <w:jc w:val="both"/>
              <w:rPr>
                <w:rFonts w:ascii="Georgia" w:hAnsi="Georgia"/>
                <w:lang w:val="en-US"/>
              </w:rPr>
            </w:pPr>
            <w:r>
              <w:rPr>
                <w:rFonts w:ascii="Georgia" w:hAnsi="Georgia"/>
                <w:lang w:val="en-US"/>
              </w:rPr>
              <w:t>The Registrar may refuse any other dealing with the Lease where the registered lease contains a covenant or agreement requiring certain actions by the lessee to be preceded by obtaining the lessor’s consent.</w:t>
            </w:r>
          </w:p>
          <w:p w:rsidR="00EC6E84" w:rsidRDefault="00EC6E84" w:rsidP="00EC6E84">
            <w:pPr>
              <w:jc w:val="both"/>
              <w:rPr>
                <w:rFonts w:ascii="Georgia" w:hAnsi="Georgia"/>
                <w:lang w:val="en-US"/>
              </w:rPr>
            </w:pPr>
          </w:p>
          <w:p w:rsidR="00EC6E84" w:rsidRDefault="00EC6E84" w:rsidP="00EC6E84">
            <w:pPr>
              <w:jc w:val="both"/>
              <w:rPr>
                <w:rFonts w:ascii="Georgia" w:hAnsi="Georgia"/>
                <w:lang w:val="en-US"/>
              </w:rPr>
            </w:pPr>
            <w:r>
              <w:rPr>
                <w:rFonts w:ascii="Georgia" w:hAnsi="Georgia"/>
                <w:lang w:val="en-US"/>
              </w:rPr>
              <w:t>Where the lessee is seeking to transfer the lease or charge the property, the Lessor’s consent must be obtained. Where the Lessor’s consent is not obtained, it can adversely affect the validity of the Chargee’s security.</w:t>
            </w:r>
          </w:p>
        </w:tc>
      </w:tr>
    </w:tbl>
    <w:p w:rsidR="00B2123E" w:rsidRPr="00DD52AD" w:rsidRDefault="00B2123E" w:rsidP="00B2123E"/>
    <w:tbl>
      <w:tblPr>
        <w:tblW w:w="0" w:type="auto"/>
        <w:tblCellSpacing w:w="15" w:type="dxa"/>
        <w:tblCellMar>
          <w:left w:w="0" w:type="dxa"/>
          <w:right w:w="0" w:type="dxa"/>
        </w:tblCellMar>
        <w:tblLook w:val="04A0" w:firstRow="1" w:lastRow="0" w:firstColumn="1" w:lastColumn="0" w:noHBand="0" w:noVBand="1"/>
      </w:tblPr>
      <w:tblGrid>
        <w:gridCol w:w="216"/>
      </w:tblGrid>
      <w:tr w:rsidR="00EC6E84" w:rsidRPr="00EC6E84" w:rsidTr="00EC6E84">
        <w:trPr>
          <w:tblCellSpacing w:w="15" w:type="dxa"/>
        </w:trPr>
        <w:tc>
          <w:tcPr>
            <w:tcW w:w="0" w:type="auto"/>
            <w:tcBorders>
              <w:top w:val="nil"/>
              <w:left w:val="nil"/>
              <w:bottom w:val="nil"/>
              <w:right w:val="nil"/>
            </w:tcBorders>
            <w:tcMar>
              <w:top w:w="0" w:type="dxa"/>
              <w:left w:w="150" w:type="dxa"/>
              <w:bottom w:w="0" w:type="dxa"/>
              <w:right w:w="0" w:type="dxa"/>
            </w:tcMar>
            <w:hideMark/>
          </w:tcPr>
          <w:p w:rsidR="00EC6E84" w:rsidRPr="00EC6E84" w:rsidRDefault="00EC6E84" w:rsidP="00EC6E84">
            <w:pPr>
              <w:spacing w:after="0" w:line="240" w:lineRule="auto"/>
              <w:rPr>
                <w:rFonts w:ascii="inherit" w:eastAsia="Times New Roman" w:hAnsi="inherit" w:cs="Times New Roman"/>
                <w:sz w:val="24"/>
                <w:szCs w:val="24"/>
                <w:lang w:val="en-US"/>
              </w:rPr>
            </w:pPr>
          </w:p>
        </w:tc>
      </w:tr>
    </w:tbl>
    <w:p w:rsidR="00D20DE7" w:rsidRDefault="00D20DE7"/>
    <w:sectPr w:rsidR="00D20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2513D"/>
    <w:multiLevelType w:val="hybridMultilevel"/>
    <w:tmpl w:val="150028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A88606D"/>
    <w:multiLevelType w:val="hybridMultilevel"/>
    <w:tmpl w:val="E7765E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3038D"/>
    <w:multiLevelType w:val="hybridMultilevel"/>
    <w:tmpl w:val="D786BA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3E"/>
    <w:rsid w:val="00103E4E"/>
    <w:rsid w:val="0064735F"/>
    <w:rsid w:val="008241B7"/>
    <w:rsid w:val="00A9757F"/>
    <w:rsid w:val="00B2123E"/>
    <w:rsid w:val="00CE4C8E"/>
    <w:rsid w:val="00D20DE7"/>
    <w:rsid w:val="00D5408A"/>
    <w:rsid w:val="00E17073"/>
    <w:rsid w:val="00EC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E3DD"/>
  <w15:chartTrackingRefBased/>
  <w15:docId w15:val="{0BF399C3-0BF8-4EED-BD97-3B9DBDAB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3E"/>
    <w:rPr>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23E"/>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23E"/>
    <w:pPr>
      <w:ind w:left="720"/>
      <w:contextualSpacing/>
    </w:pPr>
  </w:style>
  <w:style w:type="paragraph" w:styleId="NormalWeb">
    <w:name w:val="Normal (Web)"/>
    <w:basedOn w:val="Normal"/>
    <w:uiPriority w:val="99"/>
    <w:semiHidden/>
    <w:unhideWhenUsed/>
    <w:rsid w:val="00EC6E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34824">
      <w:bodyDiv w:val="1"/>
      <w:marLeft w:val="0"/>
      <w:marRight w:val="0"/>
      <w:marTop w:val="0"/>
      <w:marBottom w:val="0"/>
      <w:divBdr>
        <w:top w:val="none" w:sz="0" w:space="0" w:color="auto"/>
        <w:left w:val="none" w:sz="0" w:space="0" w:color="auto"/>
        <w:bottom w:val="none" w:sz="0" w:space="0" w:color="auto"/>
        <w:right w:val="none" w:sz="0" w:space="0" w:color="auto"/>
      </w:divBdr>
      <w:divsChild>
        <w:div w:id="17705272">
          <w:marLeft w:val="0"/>
          <w:marRight w:val="0"/>
          <w:marTop w:val="150"/>
          <w:marBottom w:val="0"/>
          <w:divBdr>
            <w:top w:val="none" w:sz="0" w:space="0" w:color="auto"/>
            <w:left w:val="none" w:sz="0" w:space="0" w:color="auto"/>
            <w:bottom w:val="none" w:sz="0" w:space="0" w:color="auto"/>
            <w:right w:val="none" w:sz="0" w:space="0" w:color="auto"/>
          </w:divBdr>
          <w:divsChild>
            <w:div w:id="111635966">
              <w:marLeft w:val="0"/>
              <w:marRight w:val="0"/>
              <w:marTop w:val="0"/>
              <w:marBottom w:val="0"/>
              <w:divBdr>
                <w:top w:val="none" w:sz="0" w:space="0" w:color="auto"/>
                <w:left w:val="none" w:sz="0" w:space="0" w:color="auto"/>
                <w:bottom w:val="none" w:sz="0" w:space="0" w:color="auto"/>
                <w:right w:val="none" w:sz="0" w:space="0" w:color="auto"/>
              </w:divBdr>
            </w:div>
          </w:divsChild>
        </w:div>
        <w:div w:id="1274362866">
          <w:marLeft w:val="0"/>
          <w:marRight w:val="0"/>
          <w:marTop w:val="0"/>
          <w:marBottom w:val="0"/>
          <w:divBdr>
            <w:top w:val="none" w:sz="0" w:space="0" w:color="auto"/>
            <w:left w:val="none" w:sz="0" w:space="0" w:color="auto"/>
            <w:bottom w:val="none" w:sz="0" w:space="0" w:color="auto"/>
            <w:right w:val="none" w:sz="0" w:space="0" w:color="auto"/>
          </w:divBdr>
          <w:divsChild>
            <w:div w:id="1472282797">
              <w:marLeft w:val="0"/>
              <w:marRight w:val="0"/>
              <w:marTop w:val="0"/>
              <w:marBottom w:val="0"/>
              <w:divBdr>
                <w:top w:val="none" w:sz="0" w:space="0" w:color="auto"/>
                <w:left w:val="none" w:sz="0" w:space="0" w:color="auto"/>
                <w:bottom w:val="none" w:sz="0" w:space="0" w:color="auto"/>
                <w:right w:val="none" w:sz="0" w:space="0" w:color="auto"/>
              </w:divBdr>
            </w:div>
          </w:divsChild>
        </w:div>
        <w:div w:id="170412300">
          <w:marLeft w:val="450"/>
          <w:marRight w:val="0"/>
          <w:marTop w:val="150"/>
          <w:marBottom w:val="150"/>
          <w:divBdr>
            <w:top w:val="none" w:sz="0" w:space="0" w:color="auto"/>
            <w:left w:val="none" w:sz="0" w:space="0" w:color="auto"/>
            <w:bottom w:val="none" w:sz="0" w:space="0" w:color="auto"/>
            <w:right w:val="none" w:sz="0" w:space="0" w:color="auto"/>
          </w:divBdr>
          <w:divsChild>
            <w:div w:id="1468275443">
              <w:marLeft w:val="0"/>
              <w:marRight w:val="0"/>
              <w:marTop w:val="0"/>
              <w:marBottom w:val="0"/>
              <w:divBdr>
                <w:top w:val="none" w:sz="0" w:space="0" w:color="auto"/>
                <w:left w:val="none" w:sz="0" w:space="0" w:color="auto"/>
                <w:bottom w:val="none" w:sz="0" w:space="0" w:color="auto"/>
                <w:right w:val="none" w:sz="0" w:space="0" w:color="auto"/>
              </w:divBdr>
            </w:div>
          </w:divsChild>
        </w:div>
        <w:div w:id="1914663238">
          <w:marLeft w:val="0"/>
          <w:marRight w:val="0"/>
          <w:marTop w:val="0"/>
          <w:marBottom w:val="0"/>
          <w:divBdr>
            <w:top w:val="none" w:sz="0" w:space="0" w:color="auto"/>
            <w:left w:val="none" w:sz="0" w:space="0" w:color="auto"/>
            <w:bottom w:val="none" w:sz="0" w:space="0" w:color="auto"/>
            <w:right w:val="none" w:sz="0" w:space="0" w:color="auto"/>
          </w:divBdr>
        </w:div>
      </w:divsChild>
    </w:div>
    <w:div w:id="177296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Nderitu</dc:creator>
  <cp:keywords/>
  <dc:description/>
  <cp:lastModifiedBy>Diana Nderitu</cp:lastModifiedBy>
  <cp:revision>2</cp:revision>
  <dcterms:created xsi:type="dcterms:W3CDTF">2021-01-07T10:21:00Z</dcterms:created>
  <dcterms:modified xsi:type="dcterms:W3CDTF">2021-01-07T10:21:00Z</dcterms:modified>
</cp:coreProperties>
</file>