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974ADF" w14:textId="25B56F92" w:rsidR="00712861" w:rsidRPr="009A562A" w:rsidRDefault="00712861" w:rsidP="00712861">
      <w:pPr>
        <w:jc w:val="both"/>
        <w:rPr>
          <w:rFonts w:ascii="Georgia" w:hAnsi="Georgia"/>
          <w:sz w:val="24"/>
          <w:szCs w:val="24"/>
          <w:lang w:val="en-US"/>
        </w:rPr>
      </w:pPr>
      <w:bookmarkStart w:id="0" w:name="_GoBack"/>
      <w:bookmarkEnd w:id="0"/>
      <w:r>
        <w:rPr>
          <w:rFonts w:ascii="Georgia" w:hAnsi="Georgia"/>
          <w:sz w:val="24"/>
          <w:szCs w:val="24"/>
          <w:lang w:val="en-US"/>
        </w:rPr>
        <w:t xml:space="preserve">FREQUENTLY ASKED QUESTIONS IN RESPECT </w:t>
      </w:r>
      <w:r w:rsidR="00A10452">
        <w:rPr>
          <w:rFonts w:ascii="Georgia" w:hAnsi="Georgia"/>
          <w:sz w:val="24"/>
          <w:szCs w:val="24"/>
          <w:lang w:val="en-US"/>
        </w:rPr>
        <w:t>OF SPOUSAL CONENT</w:t>
      </w:r>
    </w:p>
    <w:tbl>
      <w:tblPr>
        <w:tblStyle w:val="TableGrid"/>
        <w:tblW w:w="0" w:type="auto"/>
        <w:tblLook w:val="04A0" w:firstRow="1" w:lastRow="0" w:firstColumn="1" w:lastColumn="0" w:noHBand="0" w:noVBand="1"/>
      </w:tblPr>
      <w:tblGrid>
        <w:gridCol w:w="846"/>
        <w:gridCol w:w="3544"/>
        <w:gridCol w:w="4626"/>
      </w:tblGrid>
      <w:tr w:rsidR="00712861" w:rsidRPr="00430A95" w14:paraId="403BAAD9" w14:textId="77777777" w:rsidTr="00712861">
        <w:tc>
          <w:tcPr>
            <w:tcW w:w="846" w:type="dxa"/>
            <w:shd w:val="clear" w:color="auto" w:fill="C00000"/>
          </w:tcPr>
          <w:p w14:paraId="602039BB" w14:textId="77777777" w:rsidR="00712861" w:rsidRPr="00430A95" w:rsidRDefault="00712861" w:rsidP="007058E3">
            <w:pPr>
              <w:spacing w:after="160" w:line="259" w:lineRule="auto"/>
              <w:jc w:val="both"/>
              <w:rPr>
                <w:rFonts w:ascii="Georgia" w:hAnsi="Georgia"/>
                <w:sz w:val="24"/>
                <w:szCs w:val="24"/>
                <w:lang w:val="en-US"/>
              </w:rPr>
            </w:pPr>
            <w:r w:rsidRPr="00430A95">
              <w:rPr>
                <w:rFonts w:ascii="Georgia" w:hAnsi="Georgia"/>
                <w:sz w:val="24"/>
                <w:szCs w:val="24"/>
                <w:lang w:val="en-US"/>
              </w:rPr>
              <w:t>No.</w:t>
            </w:r>
          </w:p>
        </w:tc>
        <w:tc>
          <w:tcPr>
            <w:tcW w:w="3544" w:type="dxa"/>
            <w:shd w:val="clear" w:color="auto" w:fill="C00000"/>
          </w:tcPr>
          <w:p w14:paraId="4F53AA5A" w14:textId="77777777" w:rsidR="00712861" w:rsidRPr="00430A95" w:rsidRDefault="00712861" w:rsidP="007058E3">
            <w:pPr>
              <w:spacing w:after="160" w:line="259" w:lineRule="auto"/>
              <w:jc w:val="both"/>
              <w:rPr>
                <w:rFonts w:ascii="Georgia" w:hAnsi="Georgia"/>
                <w:sz w:val="24"/>
                <w:szCs w:val="24"/>
                <w:lang w:val="en-US"/>
              </w:rPr>
            </w:pPr>
            <w:r w:rsidRPr="00430A95">
              <w:rPr>
                <w:rFonts w:ascii="Georgia" w:hAnsi="Georgia"/>
                <w:sz w:val="24"/>
                <w:szCs w:val="24"/>
                <w:lang w:val="en-US"/>
              </w:rPr>
              <w:t>QUESTION</w:t>
            </w:r>
          </w:p>
        </w:tc>
        <w:tc>
          <w:tcPr>
            <w:tcW w:w="4626" w:type="dxa"/>
            <w:shd w:val="clear" w:color="auto" w:fill="C00000"/>
          </w:tcPr>
          <w:p w14:paraId="57BB1C5B" w14:textId="77777777" w:rsidR="00712861" w:rsidRPr="00430A95" w:rsidRDefault="00712861" w:rsidP="007058E3">
            <w:pPr>
              <w:spacing w:after="160" w:line="259" w:lineRule="auto"/>
              <w:jc w:val="both"/>
              <w:rPr>
                <w:rFonts w:ascii="Georgia" w:hAnsi="Georgia"/>
                <w:sz w:val="24"/>
                <w:szCs w:val="24"/>
                <w:lang w:val="en-US"/>
              </w:rPr>
            </w:pPr>
            <w:r w:rsidRPr="00430A95">
              <w:rPr>
                <w:rFonts w:ascii="Georgia" w:hAnsi="Georgia"/>
                <w:sz w:val="24"/>
                <w:szCs w:val="24"/>
                <w:lang w:val="en-US"/>
              </w:rPr>
              <w:t>ANSWER</w:t>
            </w:r>
          </w:p>
        </w:tc>
      </w:tr>
      <w:tr w:rsidR="00712861" w:rsidRPr="00430A95" w14:paraId="727AEAB8" w14:textId="77777777" w:rsidTr="007058E3">
        <w:tc>
          <w:tcPr>
            <w:tcW w:w="846" w:type="dxa"/>
          </w:tcPr>
          <w:p w14:paraId="4C160DDD" w14:textId="77777777" w:rsidR="00712861" w:rsidRPr="00430A95" w:rsidRDefault="00712861" w:rsidP="00712861">
            <w:pPr>
              <w:numPr>
                <w:ilvl w:val="0"/>
                <w:numId w:val="1"/>
              </w:numPr>
              <w:spacing w:after="160" w:line="259" w:lineRule="auto"/>
              <w:jc w:val="both"/>
              <w:rPr>
                <w:rFonts w:ascii="Georgia" w:hAnsi="Georgia"/>
                <w:sz w:val="24"/>
                <w:szCs w:val="24"/>
              </w:rPr>
            </w:pPr>
          </w:p>
        </w:tc>
        <w:tc>
          <w:tcPr>
            <w:tcW w:w="3544" w:type="dxa"/>
          </w:tcPr>
          <w:p w14:paraId="051EB89F" w14:textId="59FD79AF" w:rsidR="00712861" w:rsidRPr="00430A95" w:rsidRDefault="00712861" w:rsidP="007058E3">
            <w:pPr>
              <w:spacing w:after="160" w:line="259" w:lineRule="auto"/>
              <w:jc w:val="both"/>
              <w:rPr>
                <w:rFonts w:ascii="Georgia" w:hAnsi="Georgia"/>
                <w:sz w:val="24"/>
                <w:szCs w:val="24"/>
                <w:lang w:val="en-US"/>
              </w:rPr>
            </w:pPr>
            <w:r w:rsidRPr="00430A95">
              <w:rPr>
                <w:rFonts w:ascii="Georgia" w:hAnsi="Georgia"/>
                <w:sz w:val="24"/>
                <w:szCs w:val="24"/>
                <w:lang w:val="en-US"/>
              </w:rPr>
              <w:t xml:space="preserve">What is a </w:t>
            </w:r>
            <w:r>
              <w:rPr>
                <w:rFonts w:ascii="Georgia" w:hAnsi="Georgia"/>
                <w:sz w:val="24"/>
                <w:szCs w:val="24"/>
                <w:lang w:val="en-US"/>
              </w:rPr>
              <w:t>S</w:t>
            </w:r>
            <w:r w:rsidR="00A10452">
              <w:rPr>
                <w:rFonts w:ascii="Georgia" w:hAnsi="Georgia"/>
                <w:sz w:val="24"/>
                <w:szCs w:val="24"/>
                <w:lang w:val="en-US"/>
              </w:rPr>
              <w:t>pousal Consent</w:t>
            </w:r>
            <w:r w:rsidRPr="00430A95">
              <w:rPr>
                <w:rFonts w:ascii="Georgia" w:hAnsi="Georgia"/>
                <w:sz w:val="24"/>
                <w:szCs w:val="24"/>
                <w:lang w:val="en-US"/>
              </w:rPr>
              <w:t>?</w:t>
            </w:r>
          </w:p>
        </w:tc>
        <w:tc>
          <w:tcPr>
            <w:tcW w:w="4626" w:type="dxa"/>
          </w:tcPr>
          <w:p w14:paraId="31570581" w14:textId="6188672A" w:rsidR="00712861" w:rsidRPr="00F602B8" w:rsidRDefault="00A10452" w:rsidP="007058E3">
            <w:pPr>
              <w:spacing w:after="160" w:line="259" w:lineRule="auto"/>
              <w:jc w:val="both"/>
              <w:rPr>
                <w:rFonts w:ascii="Georgia" w:hAnsi="Georgia"/>
                <w:sz w:val="24"/>
                <w:szCs w:val="24"/>
                <w:lang w:val="en-US"/>
              </w:rPr>
            </w:pPr>
            <w:r>
              <w:rPr>
                <w:rFonts w:ascii="Georgia" w:hAnsi="Georgia"/>
                <w:sz w:val="24"/>
                <w:szCs w:val="24"/>
                <w:lang w:val="en-US"/>
              </w:rPr>
              <w:t>It is a requirement that for there to be a successful sale, lease, charge or gift of matrimonial property both spouses must be aware of the transaction and must agree to it.</w:t>
            </w:r>
          </w:p>
        </w:tc>
      </w:tr>
      <w:tr w:rsidR="00712861" w:rsidRPr="00430A95" w14:paraId="60C4A0FC" w14:textId="77777777" w:rsidTr="007058E3">
        <w:tc>
          <w:tcPr>
            <w:tcW w:w="846" w:type="dxa"/>
          </w:tcPr>
          <w:p w14:paraId="708B9245" w14:textId="77777777" w:rsidR="00712861" w:rsidRPr="00430A95" w:rsidRDefault="00712861" w:rsidP="00712861">
            <w:pPr>
              <w:numPr>
                <w:ilvl w:val="0"/>
                <w:numId w:val="1"/>
              </w:numPr>
              <w:spacing w:after="160" w:line="259" w:lineRule="auto"/>
              <w:jc w:val="both"/>
              <w:rPr>
                <w:rFonts w:ascii="Georgia" w:hAnsi="Georgia"/>
                <w:sz w:val="24"/>
                <w:szCs w:val="24"/>
              </w:rPr>
            </w:pPr>
          </w:p>
        </w:tc>
        <w:tc>
          <w:tcPr>
            <w:tcW w:w="3544" w:type="dxa"/>
          </w:tcPr>
          <w:p w14:paraId="357763F8" w14:textId="34EA39AB" w:rsidR="00712861" w:rsidRPr="00430A95" w:rsidRDefault="00F17A5D" w:rsidP="007058E3">
            <w:pPr>
              <w:spacing w:after="160" w:line="259" w:lineRule="auto"/>
              <w:jc w:val="both"/>
              <w:rPr>
                <w:rFonts w:ascii="Georgia" w:hAnsi="Georgia"/>
                <w:sz w:val="24"/>
                <w:szCs w:val="24"/>
                <w:lang w:val="en-US"/>
              </w:rPr>
            </w:pPr>
            <w:r>
              <w:rPr>
                <w:rFonts w:ascii="Georgia" w:hAnsi="Georgia"/>
                <w:sz w:val="24"/>
                <w:szCs w:val="24"/>
                <w:lang w:val="en-US"/>
              </w:rPr>
              <w:t>Who is a spouse?</w:t>
            </w:r>
          </w:p>
        </w:tc>
        <w:tc>
          <w:tcPr>
            <w:tcW w:w="4626" w:type="dxa"/>
          </w:tcPr>
          <w:p w14:paraId="4042E128" w14:textId="73EAEDFF" w:rsidR="00712861" w:rsidRPr="00F17A5D" w:rsidRDefault="00F17A5D" w:rsidP="007058E3">
            <w:pPr>
              <w:spacing w:after="160" w:line="259" w:lineRule="auto"/>
              <w:jc w:val="both"/>
              <w:rPr>
                <w:rFonts w:ascii="Georgia" w:hAnsi="Georgia"/>
                <w:sz w:val="24"/>
                <w:szCs w:val="24"/>
                <w:lang w:val="en-US"/>
              </w:rPr>
            </w:pPr>
            <w:r>
              <w:rPr>
                <w:rFonts w:ascii="Georgia" w:hAnsi="Georgia"/>
                <w:sz w:val="24"/>
                <w:szCs w:val="24"/>
              </w:rPr>
              <w:t>A spouse is either a husban</w:t>
            </w:r>
            <w:r>
              <w:rPr>
                <w:rFonts w:ascii="Georgia" w:hAnsi="Georgia"/>
                <w:sz w:val="24"/>
                <w:szCs w:val="24"/>
                <w:lang w:val="en-US"/>
              </w:rPr>
              <w:t xml:space="preserve">d or a wife married under any recognized marriage regimes in Kenya. The </w:t>
            </w:r>
            <w:r w:rsidR="00AC4830">
              <w:rPr>
                <w:rFonts w:ascii="Georgia" w:hAnsi="Georgia"/>
                <w:sz w:val="24"/>
                <w:szCs w:val="24"/>
                <w:lang w:val="en-US"/>
              </w:rPr>
              <w:t>recognized marriages</w:t>
            </w:r>
            <w:r>
              <w:rPr>
                <w:rFonts w:ascii="Georgia" w:hAnsi="Georgia"/>
                <w:sz w:val="24"/>
                <w:szCs w:val="24"/>
                <w:lang w:val="en-US"/>
              </w:rPr>
              <w:t xml:space="preserve"> in Kenya include Civil, Customary, Christian, Islamic and Hindu marriages.</w:t>
            </w:r>
          </w:p>
        </w:tc>
      </w:tr>
      <w:tr w:rsidR="00712861" w:rsidRPr="00430A95" w14:paraId="2C4E268A" w14:textId="77777777" w:rsidTr="007058E3">
        <w:tc>
          <w:tcPr>
            <w:tcW w:w="846" w:type="dxa"/>
          </w:tcPr>
          <w:p w14:paraId="7260BB23" w14:textId="77777777" w:rsidR="00712861" w:rsidRPr="00430A95" w:rsidRDefault="00712861" w:rsidP="00712861">
            <w:pPr>
              <w:numPr>
                <w:ilvl w:val="0"/>
                <w:numId w:val="1"/>
              </w:numPr>
              <w:spacing w:after="160" w:line="259" w:lineRule="auto"/>
              <w:jc w:val="both"/>
              <w:rPr>
                <w:rFonts w:ascii="Georgia" w:hAnsi="Georgia"/>
                <w:sz w:val="24"/>
                <w:szCs w:val="24"/>
                <w:lang w:val="en-US"/>
              </w:rPr>
            </w:pPr>
          </w:p>
        </w:tc>
        <w:tc>
          <w:tcPr>
            <w:tcW w:w="3544" w:type="dxa"/>
          </w:tcPr>
          <w:p w14:paraId="03F81485" w14:textId="582987C4" w:rsidR="00712861" w:rsidRPr="00430A95" w:rsidRDefault="00F17A5D" w:rsidP="007058E3">
            <w:pPr>
              <w:spacing w:after="160" w:line="259" w:lineRule="auto"/>
              <w:jc w:val="both"/>
              <w:rPr>
                <w:rFonts w:ascii="Georgia" w:hAnsi="Georgia"/>
                <w:sz w:val="24"/>
                <w:szCs w:val="24"/>
                <w:lang w:val="en-US"/>
              </w:rPr>
            </w:pPr>
            <w:r>
              <w:rPr>
                <w:rFonts w:ascii="Georgia" w:hAnsi="Georgia"/>
                <w:sz w:val="24"/>
                <w:szCs w:val="24"/>
                <w:lang w:val="en-US"/>
              </w:rPr>
              <w:t>What is matrimonial property?</w:t>
            </w:r>
          </w:p>
        </w:tc>
        <w:tc>
          <w:tcPr>
            <w:tcW w:w="4626" w:type="dxa"/>
          </w:tcPr>
          <w:p w14:paraId="4C888474" w14:textId="76437E45" w:rsidR="00712861" w:rsidRPr="00AE06B1" w:rsidRDefault="00AC4830" w:rsidP="007058E3">
            <w:pPr>
              <w:spacing w:after="160" w:line="259" w:lineRule="auto"/>
              <w:jc w:val="both"/>
              <w:rPr>
                <w:rFonts w:ascii="Georgia" w:hAnsi="Georgia"/>
                <w:sz w:val="24"/>
                <w:szCs w:val="24"/>
                <w:lang w:val="en-US"/>
              </w:rPr>
            </w:pPr>
            <w:r>
              <w:rPr>
                <w:rFonts w:ascii="Georgia" w:hAnsi="Georgia"/>
                <w:sz w:val="24"/>
                <w:szCs w:val="24"/>
                <w:lang w:val="en-US"/>
              </w:rPr>
              <w:t>It is any property acquired by any of the spouses during the subsistence of the marriage and includes matrimonial home, household goods and effects in the matrimonial home and any other immovable and movable property.</w:t>
            </w:r>
          </w:p>
        </w:tc>
      </w:tr>
      <w:tr w:rsidR="00712861" w:rsidRPr="00430A95" w14:paraId="4A37F693" w14:textId="77777777" w:rsidTr="007058E3">
        <w:tc>
          <w:tcPr>
            <w:tcW w:w="846" w:type="dxa"/>
          </w:tcPr>
          <w:p w14:paraId="4D295226" w14:textId="77777777" w:rsidR="00712861" w:rsidRPr="00430A95" w:rsidRDefault="00712861" w:rsidP="00712861">
            <w:pPr>
              <w:numPr>
                <w:ilvl w:val="0"/>
                <w:numId w:val="1"/>
              </w:numPr>
              <w:spacing w:after="160" w:line="259" w:lineRule="auto"/>
              <w:jc w:val="both"/>
              <w:rPr>
                <w:rFonts w:ascii="Georgia" w:hAnsi="Georgia"/>
                <w:sz w:val="24"/>
                <w:szCs w:val="24"/>
                <w:lang w:val="en-US"/>
              </w:rPr>
            </w:pPr>
          </w:p>
        </w:tc>
        <w:tc>
          <w:tcPr>
            <w:tcW w:w="3544" w:type="dxa"/>
          </w:tcPr>
          <w:p w14:paraId="454169B9" w14:textId="5E161F89" w:rsidR="00712861" w:rsidRPr="00430A95" w:rsidRDefault="00712861" w:rsidP="007058E3">
            <w:pPr>
              <w:spacing w:after="160" w:line="259" w:lineRule="auto"/>
              <w:jc w:val="both"/>
              <w:rPr>
                <w:rFonts w:ascii="Georgia" w:hAnsi="Georgia"/>
                <w:sz w:val="24"/>
                <w:szCs w:val="24"/>
                <w:lang w:val="en-US"/>
              </w:rPr>
            </w:pPr>
            <w:r>
              <w:rPr>
                <w:rFonts w:ascii="Georgia" w:hAnsi="Georgia"/>
                <w:sz w:val="24"/>
                <w:szCs w:val="24"/>
                <w:lang w:val="en-US"/>
              </w:rPr>
              <w:t>What is the p</w:t>
            </w:r>
            <w:r w:rsidR="00AC4830">
              <w:rPr>
                <w:rFonts w:ascii="Georgia" w:hAnsi="Georgia"/>
                <w:sz w:val="24"/>
                <w:szCs w:val="24"/>
                <w:lang w:val="en-US"/>
              </w:rPr>
              <w:t>urpose of spousal consent</w:t>
            </w:r>
            <w:r>
              <w:rPr>
                <w:rFonts w:ascii="Georgia" w:hAnsi="Georgia"/>
                <w:sz w:val="24"/>
                <w:szCs w:val="24"/>
                <w:lang w:val="en-US"/>
              </w:rPr>
              <w:t>?</w:t>
            </w:r>
          </w:p>
        </w:tc>
        <w:tc>
          <w:tcPr>
            <w:tcW w:w="4626" w:type="dxa"/>
          </w:tcPr>
          <w:p w14:paraId="63A4F42B" w14:textId="4BA46450" w:rsidR="00712861" w:rsidRPr="00AE06B1" w:rsidRDefault="00AC4830" w:rsidP="007058E3">
            <w:pPr>
              <w:spacing w:after="160" w:line="259" w:lineRule="auto"/>
              <w:jc w:val="both"/>
              <w:rPr>
                <w:rFonts w:ascii="Georgia" w:hAnsi="Georgia"/>
                <w:sz w:val="24"/>
                <w:szCs w:val="24"/>
                <w:lang w:val="en-US"/>
              </w:rPr>
            </w:pPr>
            <w:r>
              <w:rPr>
                <w:rFonts w:ascii="Georgia" w:hAnsi="Georgia"/>
                <w:sz w:val="24"/>
                <w:szCs w:val="24"/>
                <w:lang w:val="en-US"/>
              </w:rPr>
              <w:t>It ensures that the spouses’ rights to dispose of matrimonial property are equal as both parties must agree to such disposition.</w:t>
            </w:r>
          </w:p>
        </w:tc>
      </w:tr>
      <w:tr w:rsidR="00712861" w:rsidRPr="00430A95" w14:paraId="7FBED796" w14:textId="77777777" w:rsidTr="007058E3">
        <w:tc>
          <w:tcPr>
            <w:tcW w:w="846" w:type="dxa"/>
          </w:tcPr>
          <w:p w14:paraId="5FFB393F" w14:textId="77777777" w:rsidR="00712861" w:rsidRPr="00430A95" w:rsidRDefault="00712861" w:rsidP="00712861">
            <w:pPr>
              <w:numPr>
                <w:ilvl w:val="0"/>
                <w:numId w:val="1"/>
              </w:numPr>
              <w:spacing w:after="160" w:line="259" w:lineRule="auto"/>
              <w:jc w:val="both"/>
              <w:rPr>
                <w:rFonts w:ascii="Georgia" w:hAnsi="Georgia"/>
                <w:sz w:val="24"/>
                <w:szCs w:val="24"/>
                <w:lang w:val="en-US"/>
              </w:rPr>
            </w:pPr>
          </w:p>
        </w:tc>
        <w:tc>
          <w:tcPr>
            <w:tcW w:w="3544" w:type="dxa"/>
          </w:tcPr>
          <w:p w14:paraId="43D0098B" w14:textId="4B2289D3" w:rsidR="00712861" w:rsidRPr="00430A95" w:rsidRDefault="007058E3" w:rsidP="007058E3">
            <w:pPr>
              <w:spacing w:after="160" w:line="259" w:lineRule="auto"/>
              <w:jc w:val="both"/>
              <w:rPr>
                <w:rFonts w:ascii="Georgia" w:hAnsi="Georgia"/>
                <w:sz w:val="24"/>
                <w:szCs w:val="24"/>
                <w:lang w:val="en-US"/>
              </w:rPr>
            </w:pPr>
            <w:r>
              <w:rPr>
                <w:rFonts w:ascii="Georgia" w:hAnsi="Georgia"/>
                <w:sz w:val="24"/>
                <w:szCs w:val="24"/>
                <w:lang w:val="en-US"/>
              </w:rPr>
              <w:t>What is an affidavit of negation of spousal consent?</w:t>
            </w:r>
          </w:p>
        </w:tc>
        <w:tc>
          <w:tcPr>
            <w:tcW w:w="4626" w:type="dxa"/>
          </w:tcPr>
          <w:p w14:paraId="1F0AE34E" w14:textId="6DDBB344" w:rsidR="00712861" w:rsidRPr="009E0FA9" w:rsidRDefault="007058E3" w:rsidP="007058E3">
            <w:pPr>
              <w:spacing w:after="160" w:line="259" w:lineRule="auto"/>
              <w:jc w:val="both"/>
              <w:rPr>
                <w:rFonts w:ascii="Georgia" w:hAnsi="Georgia"/>
                <w:sz w:val="24"/>
                <w:szCs w:val="24"/>
                <w:lang w:val="en-US"/>
              </w:rPr>
            </w:pPr>
            <w:r>
              <w:rPr>
                <w:rFonts w:ascii="Georgia" w:hAnsi="Georgia"/>
                <w:sz w:val="24"/>
                <w:szCs w:val="24"/>
                <w:lang w:val="en-US"/>
              </w:rPr>
              <w:t>It is an affidavit confirming that spousal consent for transfer/charge is not required. It is required where the property is not matrimonial property.</w:t>
            </w:r>
          </w:p>
        </w:tc>
      </w:tr>
    </w:tbl>
    <w:p w14:paraId="51BD434F" w14:textId="77777777" w:rsidR="00E85B9E" w:rsidRDefault="00E85B9E"/>
    <w:sectPr w:rsidR="00E85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C56A5"/>
    <w:multiLevelType w:val="hybridMultilevel"/>
    <w:tmpl w:val="150028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861"/>
    <w:rsid w:val="005632EE"/>
    <w:rsid w:val="007058E3"/>
    <w:rsid w:val="00712861"/>
    <w:rsid w:val="0096627E"/>
    <w:rsid w:val="00A10452"/>
    <w:rsid w:val="00A402DA"/>
    <w:rsid w:val="00AC4830"/>
    <w:rsid w:val="00CF60C3"/>
    <w:rsid w:val="00DD7DFF"/>
    <w:rsid w:val="00E85B9E"/>
    <w:rsid w:val="00F17A5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0ADD"/>
  <w15:chartTrackingRefBased/>
  <w15:docId w15:val="{6D4EBD02-8BD7-44DE-A8B9-A80839BA2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8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2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Mwai</dc:creator>
  <cp:keywords/>
  <dc:description/>
  <cp:lastModifiedBy>Olive Nyaga</cp:lastModifiedBy>
  <cp:revision>2</cp:revision>
  <dcterms:created xsi:type="dcterms:W3CDTF">2021-01-05T07:39:00Z</dcterms:created>
  <dcterms:modified xsi:type="dcterms:W3CDTF">2021-01-05T07:39:00Z</dcterms:modified>
</cp:coreProperties>
</file>