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Rule="auto"/>
        <w:rPr>
          <w:rFonts w:ascii="Lato" w:cs="Lato" w:eastAsia="Lato" w:hAnsi="Lato"/>
          <w:color w:val="6670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lineRule="auto"/>
        <w:rPr>
          <w:rFonts w:ascii="Lato" w:cs="Lato" w:eastAsia="Lato" w:hAnsi="Lato"/>
          <w:color w:val="6670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Rule="auto"/>
        <w:rPr>
          <w:rFonts w:ascii="Lato" w:cs="Lato" w:eastAsia="Lato" w:hAnsi="Lato"/>
          <w:color w:val="6670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Rule="auto"/>
        <w:rPr>
          <w:rFonts w:ascii="Lato" w:cs="Lato" w:eastAsia="Lato" w:hAnsi="Lato"/>
          <w:color w:val="6670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lineRule="auto"/>
        <w:rPr>
          <w:rFonts w:ascii="Lato" w:cs="Lato" w:eastAsia="Lato" w:hAnsi="Lato"/>
          <w:color w:val="6670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Rule="auto"/>
        <w:rPr>
          <w:rFonts w:ascii="Lato" w:cs="Lato" w:eastAsia="Lato" w:hAnsi="Lato"/>
          <w:color w:val="6670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lineRule="auto"/>
        <w:rPr>
          <w:rFonts w:ascii="Lato" w:cs="Lato" w:eastAsia="Lato" w:hAnsi="Lato"/>
          <w:color w:val="6670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120" w:before="480" w:line="240" w:lineRule="auto"/>
        <w:ind w:left="720" w:right="-180" w:firstLine="720"/>
        <w:rPr>
          <w:rFonts w:ascii="Lato Light" w:cs="Lato Light" w:eastAsia="Lato Light" w:hAnsi="Lato Light"/>
          <w:color w:val="232f40"/>
          <w:sz w:val="60"/>
          <w:szCs w:val="60"/>
        </w:rPr>
      </w:pPr>
      <w:bookmarkStart w:colFirst="0" w:colLast="0" w:name="_1qoehd16ezky" w:id="0"/>
      <w:bookmarkEnd w:id="0"/>
      <w:r w:rsidDel="00000000" w:rsidR="00000000" w:rsidRPr="00000000">
        <w:rPr>
          <w:rFonts w:ascii="Lato Light" w:cs="Lato Light" w:eastAsia="Lato Light" w:hAnsi="Lato Light"/>
          <w:color w:val="232f40"/>
          <w:sz w:val="60"/>
          <w:szCs w:val="60"/>
          <w:rtl w:val="0"/>
        </w:rPr>
        <w:t xml:space="preserve">FAQ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98320" cy="6810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20" cy="681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Subtitle"/>
        <w:widowControl w:val="0"/>
        <w:spacing w:after="0" w:line="240" w:lineRule="auto"/>
        <w:ind w:left="720" w:firstLine="720"/>
        <w:rPr>
          <w:rFonts w:ascii="Lato Light" w:cs="Lato Light" w:eastAsia="Lato Light" w:hAnsi="Lato Light"/>
          <w:color w:val="4f80f7"/>
          <w:sz w:val="32"/>
          <w:szCs w:val="32"/>
        </w:rPr>
      </w:pPr>
      <w:bookmarkStart w:colFirst="0" w:colLast="0" w:name="_epm56532xdve" w:id="1"/>
      <w:bookmarkEnd w:id="1"/>
      <w:r w:rsidDel="00000000" w:rsidR="00000000" w:rsidRPr="00000000">
        <w:rPr>
          <w:rFonts w:ascii="Lato Light" w:cs="Lato Light" w:eastAsia="Lato Light" w:hAnsi="Lato Light"/>
          <w:color w:val="4f80f7"/>
          <w:sz w:val="36"/>
          <w:szCs w:val="36"/>
          <w:rtl w:val="0"/>
        </w:rPr>
        <w:t xml:space="preserve">Canton Network Quickstart FAQ</w:t>
      </w:r>
      <w:r w:rsidDel="00000000" w:rsidR="00000000" w:rsidRPr="00000000">
        <w:rPr>
          <w:rFonts w:ascii="Lato Light" w:cs="Lato Light" w:eastAsia="Lato Light" w:hAnsi="Lato Light"/>
          <w:color w:val="4f80f7"/>
          <w:sz w:val="32"/>
          <w:szCs w:val="32"/>
          <w:rtl w:val="0"/>
        </w:rPr>
        <w:t xml:space="preserve"> | 2025</w:t>
      </w:r>
    </w:p>
    <w:p w:rsidR="00000000" w:rsidDel="00000000" w:rsidP="00000000" w:rsidRDefault="00000000" w:rsidRPr="00000000" w14:paraId="0000000A">
      <w:pPr>
        <w:spacing w:after="180" w:before="200" w:lineRule="auto"/>
        <w:ind w:left="1440" w:firstLine="0"/>
        <w:rPr>
          <w:rFonts w:ascii="Lato Hairline" w:cs="Lato Hairline" w:eastAsia="Lato Hairline" w:hAnsi="Lato Hairline"/>
          <w:color w:val="667079"/>
        </w:rPr>
      </w:pPr>
      <w:r w:rsidDel="00000000" w:rsidR="00000000" w:rsidRPr="00000000">
        <w:rPr>
          <w:rFonts w:ascii="Lato Hairline" w:cs="Lato Hairline" w:eastAsia="Lato Hairline" w:hAnsi="Lato Hairline"/>
          <w:color w:val="667079"/>
          <w:rtl w:val="0"/>
        </w:rPr>
        <w:t xml:space="preserve">Version: 1.0.0-2025-02-27</w:t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d70ynkiw5ta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lineRule="auto"/>
        <w:rPr>
          <w:rFonts w:ascii="Lato" w:cs="Lato" w:eastAsia="Lato" w:hAnsi="Lato"/>
          <w:b w:val="1"/>
          <w:color w:val="4f80f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4f80f7"/>
          <w:sz w:val="24"/>
          <w:szCs w:val="24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88vy6dd4qm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CN-QS Frequently Asked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48eg016q5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System Requirements &amp;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l4p6zdu1b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Common Issues &amp; Troubleshooting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brydl3ysv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Development &amp;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me4o78085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Infrastructure &amp; Environment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wuoi2w1u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Best Practices &amp; Common Pitfalls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whgbxstp6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 &amp; Query Access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xprqmbi2o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CN-QS Make Target Reference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1k3ikt9vr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UI Opening Commands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jwzyoefi5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LocalNet URLs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spacing w:after="180" w:lineRule="auto"/>
        <w:rPr>
          <w:rFonts w:ascii="Lato" w:cs="Lato" w:eastAsia="Lato" w:hAnsi="Lato"/>
          <w:b w:val="1"/>
          <w:color w:val="4f80f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Rule="auto"/>
        <w:rPr>
          <w:rFonts w:ascii="Lato" w:cs="Lato" w:eastAsia="Lato" w:hAnsi="Lato"/>
          <w:b w:val="1"/>
          <w:color w:val="4f80f7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8vy6dd4qmn5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CN-QS Frequently Asked Questions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8eg016q50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Requirements &amp; Setup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minimum system requirements to run CN-QS LocalNet?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CN-QS requires Docker Desktop with</w:t>
      </w:r>
      <w:r w:rsidDel="00000000" w:rsidR="00000000" w:rsidRPr="00000000">
        <w:rPr>
          <w:rtl w:val="0"/>
        </w:rPr>
        <w:t xml:space="preserve"> at least 25 GB of memory allocated</w:t>
      </w:r>
      <w:r w:rsidDel="00000000" w:rsidR="00000000" w:rsidRPr="00000000">
        <w:rPr>
          <w:rtl w:val="0"/>
        </w:rPr>
        <w:t xml:space="preserve"> to 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LocalNet</w:t>
      </w:r>
      <w:r w:rsidDel="00000000" w:rsidR="00000000" w:rsidRPr="00000000">
        <w:rPr>
          <w:rtl w:val="0"/>
        </w:rPr>
        <w:t xml:space="preserve"> properly. If your machine has less memory, consider declining Observability when prompted during setup.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browsers are supported for running CN-QS?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Chromium browsers such as Chrome, Edge, and </w:t>
      </w:r>
      <w:r w:rsidDel="00000000" w:rsidR="00000000" w:rsidRPr="00000000">
        <w:rPr>
          <w:rtl w:val="0"/>
        </w:rPr>
        <w:t xml:space="preserve">Brave</w:t>
      </w:r>
      <w:r w:rsidDel="00000000" w:rsidR="00000000" w:rsidRPr="00000000">
        <w:rPr>
          <w:rtl w:val="0"/>
        </w:rPr>
        <w:t xml:space="preserve">, as well as Firefox are recommended. Safari has known issues with local URLs and should be avoided.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should I test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interactions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LocalNet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DevNet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testing multiple users, use separate browsers or one browser in standard mode and another in incognito to avoid session/cookie interference.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I handle authentication for JFrog Artifactory?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~/.netrc</w:t>
      </w:r>
      <w:r w:rsidDel="00000000" w:rsidR="00000000" w:rsidRPr="00000000">
        <w:rPr>
          <w:rtl w:val="0"/>
        </w:rPr>
        <w:t xml:space="preserve"> file with the following format:</w:t>
      </w:r>
    </w:p>
    <w:p w:rsidR="00000000" w:rsidDel="00000000" w:rsidP="00000000" w:rsidRDefault="00000000" w:rsidRPr="00000000" w14:paraId="00000023">
      <w:pPr>
        <w:shd w:fill="efefe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machine digitalasset.jfrog.io</w:t>
      </w:r>
    </w:p>
    <w:p w:rsidR="00000000" w:rsidDel="00000000" w:rsidP="00000000" w:rsidRDefault="00000000" w:rsidRPr="00000000" w14:paraId="00000024">
      <w:pPr>
        <w:shd w:fill="efefe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 &lt;your-email&gt;</w:t>
      </w:r>
    </w:p>
    <w:p w:rsidR="00000000" w:rsidDel="00000000" w:rsidP="00000000" w:rsidRDefault="00000000" w:rsidRPr="00000000" w14:paraId="00000025">
      <w:pPr>
        <w:shd w:fill="efefe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 &lt;your-api-key&gt;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permissions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 600 ~/.netrc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information see: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Nix-shell unable to download my SSL certificate?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Nix prerequisite may introduce hurdles to installation if your enterprise runs behind a corporate proxy.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nix-shell</w:t>
      </w:r>
      <w:r w:rsidDel="00000000" w:rsidR="00000000" w:rsidRPr="00000000">
        <w:rPr>
          <w:rtl w:val="0"/>
        </w:rPr>
        <w:t xml:space="preserve"> is not found, then verify that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/nix/var/nix/profiles/default/etc/ssl/certs/ca-bundle.crt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your corporate CA.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CN, PQS, Daml Shell and other CN-QS related services run on a user-supplied JVM. CN-QS assumes that you have access to JVM v17+ with access to the internet. If your organization operates behind a web proxy then JVM may not have automatic knowledge of the corporate certificate. In these instances, JVM must be instructed to trust the certificate.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Nix-related errors occur, verify that the correct certificates exist by looking at the log file. </w:t>
      </w:r>
    </w:p>
    <w:p w:rsidR="00000000" w:rsidDel="00000000" w:rsidP="00000000" w:rsidRDefault="00000000" w:rsidRPr="00000000" w14:paraId="0000002E">
      <w:pPr>
        <w:shd w:fill="efefef" w:val="clear"/>
        <w:spacing w:after="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sudo HOME=/var/root NIX_SSL_CERT_FILE=/nix/var/nix/profiles/default/etc/ssl/certs/ca-bundle.crt /nix/store/dfqs9x0l0r4dn7zjp1hymmv9wvpp9x2k-nix-2.26.2/bin/nix-channel --update nixpkgs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log returns an error message such as:</w:t>
      </w:r>
    </w:p>
    <w:p w:rsidR="00000000" w:rsidDel="00000000" w:rsidP="00000000" w:rsidRDefault="00000000" w:rsidRPr="00000000" w14:paraId="00000030">
      <w:pPr>
        <w:shd w:fill="efefef" w:val="clear"/>
        <w:spacing w:after="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error: unable to download 'https://nixos.org/channels/nixpkgs-unstable': SSL peer certificate or SSH remote key was not OK (60)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the required corporate CA does not exist. Request your corporate CA from your organization’s tech administrator and merge the certificate into the Nix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certs ca-bundle.crt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additional support,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Nix reference manual</w:t>
        </w:r>
      </w:hyperlink>
      <w:r w:rsidDel="00000000" w:rsidR="00000000" w:rsidRPr="00000000">
        <w:rPr>
          <w:rtl w:val="0"/>
        </w:rPr>
        <w:t xml:space="preserve"> offers guidance regarding the order at which cert files are detected and used on the host, as well as environment variables to override default file locations.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Graham Christensen’s Determinate Systems blog offers a solution for Nix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corporate TLS certificates</w:t>
        </w:r>
      </w:hyperlink>
      <w:r w:rsidDel="00000000" w:rsidR="00000000" w:rsidRPr="00000000">
        <w:rPr>
          <w:rtl w:val="0"/>
        </w:rPr>
        <w:t xml:space="preserve"> problems on MacOS. The NixOS team forked this solution as an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experimental installer</w:t>
        </w:r>
      </w:hyperlink>
      <w:r w:rsidDel="00000000" w:rsidR="00000000" w:rsidRPr="00000000">
        <w:rPr>
          <w:rtl w:val="0"/>
        </w:rPr>
        <w:t xml:space="preserve"> that is stable on most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4p6zdu1bv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Common Issues &amp; Troubleshooting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I check if my CN-QS deployment is running correctly?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status</w:t>
      </w:r>
      <w:r w:rsidDel="00000000" w:rsidR="00000000" w:rsidRPr="00000000">
        <w:rPr>
          <w:rtl w:val="0"/>
        </w:rPr>
        <w:t xml:space="preserve"> to see all running containers and their health status.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should I do if containers show as "unhealthy" after startup?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most common cause is insufficient memory allocation to Docker. Try: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 Docker memory allocation to at least 25 GB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stop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clean-all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setup</w:t>
      </w:r>
      <w:r w:rsidDel="00000000" w:rsidR="00000000" w:rsidRPr="00000000">
        <w:rPr>
          <w:rtl w:val="0"/>
        </w:rPr>
        <w:t xml:space="preserve"> and turn off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observability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Restart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I monitor system metrics?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Grafana at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http://localhost:3030/</w:t>
        </w:r>
      </w:hyperlink>
      <w:r w:rsidDel="00000000" w:rsidR="00000000" w:rsidRPr="00000000">
        <w:rPr>
          <w:rtl w:val="0"/>
        </w:rPr>
        <w:t xml:space="preserve"> to monitor system metrics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 is enabled.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information see: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Observability and Troubleshooting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should I do if I need to completely reset my environment?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the following commands in order: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stop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clean-all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setup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(to reconfigure environment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rydl3ysvm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Development &amp; Testing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I access the Daml Shell for debugging?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shell</w:t>
      </w:r>
      <w:r w:rsidDel="00000000" w:rsidR="00000000" w:rsidRPr="00000000">
        <w:rPr>
          <w:rtl w:val="0"/>
        </w:rPr>
        <w:t xml:space="preserve"> from the quickstart directory. This provides access to useful commands like: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- shows summary of contracts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active quickstart:Main:Asset</w:t>
      </w:r>
      <w:r w:rsidDel="00000000" w:rsidR="00000000" w:rsidRPr="00000000">
        <w:rPr>
          <w:rtl w:val="0"/>
        </w:rPr>
        <w:t xml:space="preserve"> - shows Asset contract details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contract [contract-id]</w:t>
      </w:r>
      <w:r w:rsidDel="00000000" w:rsidR="00000000" w:rsidRPr="00000000">
        <w:rPr>
          <w:rtl w:val="0"/>
        </w:rPr>
        <w:t xml:space="preserve"> - shows full contract details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I monitor application logs and traces?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CN-QS provides several observability options: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 container logs: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logs &lt;container-name&gt;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Grafana dashboards: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http://localhost:3030/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Consolidated logs view in Grafana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e4o78085q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Infrastructure &amp; Environment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the difference between LocalNet and DevNet deployment?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LocalNet</w:t>
      </w:r>
      <w:r w:rsidDel="00000000" w:rsidR="00000000" w:rsidRPr="00000000">
        <w:rPr>
          <w:rtl w:val="0"/>
        </w:rPr>
        <w:t xml:space="preserve"> runs everything locally including a Super Validator and Canton Coin wallet, making it more resource intensive but self-contained.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DevNet</w:t>
      </w:r>
      <w:r w:rsidDel="00000000" w:rsidR="00000000" w:rsidRPr="00000000">
        <w:rPr>
          <w:rtl w:val="0"/>
        </w:rPr>
        <w:t xml:space="preserve"> connects to actual decentralized Global Synchronizer infrastructure operated by Super Validators.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DevNet</w:t>
      </w:r>
      <w:r w:rsidDel="00000000" w:rsidR="00000000" w:rsidRPr="00000000">
        <w:rPr>
          <w:rtl w:val="0"/>
        </w:rPr>
        <w:t xml:space="preserve"> requires less local resources but needs whitelisted VPN access and connectivity.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information see: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Project Structure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I need VPN access to use CN-QS?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VPN access is only required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DevNet</w:t>
      </w:r>
      <w:r w:rsidDel="00000000" w:rsidR="00000000" w:rsidRPr="00000000">
        <w:rPr>
          <w:rtl w:val="0"/>
        </w:rPr>
        <w:t xml:space="preserve"> connections. You need either: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the DAML-VPN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a SV Node that is whitelisted on the CN. Contact your sponsoring Super Validator agent for connection information. 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more information see: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Explore the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uoi2w1ue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Best Practices &amp; Common Pitfalls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should I handle multiple user testing in the local environment?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practices include: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separate browsers for different users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proper logout procedures between user switches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aware that even incognito mode in the same browser may have session interference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using the make commands for testing specific operations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create-app-install-request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hgbxstp6h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Database &amp; Query Access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the recommended way to query ledger data?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Participant Query Store (PQS) is recommended for querying ledger data. 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xprqmbi2oja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CN-QS Make Target Reference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5.4545454545455"/>
        <w:gridCol w:w="6594.545454545455"/>
        <w:tblGridChange w:id="0">
          <w:tblGrid>
            <w:gridCol w:w="2765.4545454545455"/>
            <w:gridCol w:w="6594.5454545454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Build frontend, backend, Daml model and docker images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build-frontend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Build the frontend application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build-backend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Build the backend service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build-daml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Build the Daml model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create-app-install-request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Submit an App Install Request from the App User participant node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restart-backend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Build and restart the backend service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restart-frontend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Build and restart the frontend application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Start the application and observability services if enabled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Stop the application and observability services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stop-application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Stop only the application, leaving observability services running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Restart the entire application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Show status of Docker containers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Show logs of Docker containers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Tail logs of Docker containers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Configure local development environment (enable DevNet/LocalNet, Observability)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Start the Canton console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clean-console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Stop and remove the Canton console container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Start Daml Shell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clean-shell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Stop and remove the Daml Shell container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Clean the build artifacts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clean-docker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Stop and remove application Docker containers and volumes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clean-application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Like clean-docker, but leave observability services running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clean-all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Stop and remove all build artifacts, Docker containers and volumes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install-daml-sdk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Install the Daml SDK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generate-NOTICES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Generate the NOTICES.txt file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update-env-sdk-runtime-version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Helper to update DAML_RUNTIME_VERSION in .env based on daml/daml.yaml sdk-version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xvdqer4xh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k3ikt9vrc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UI Opening Commands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2.2763366860772"/>
        <w:gridCol w:w="6857.723663313923"/>
        <w:tblGridChange w:id="0">
          <w:tblGrid>
            <w:gridCol w:w="2502.2763366860772"/>
            <w:gridCol w:w="6857.723663313923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open-app-ui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Open the Application UI in the active browser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open-observe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Open the Grafana UI in the active browser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open-sv-gateway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Open the Super Validator gateway UI in the active browser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open-sv-wallet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Open the Super Validator wallet UI in the active browser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open-sv-interface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Open the Super Validator interface UI in the active browser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open-sv-scan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Open the Super Validator Scan UI in the active browser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open-app-user-wallet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Open the App User wallet UI in the active browser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jwzyoefi55k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LocalNet URLs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5190"/>
        <w:tblGridChange w:id="0">
          <w:tblGrid>
            <w:gridCol w:w="4170"/>
            <w:gridCol w:w="519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http://localhost:3000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Main application UI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http://localhost:3030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Grafana observability dashboard (if enabled)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http://localhost:4000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Super Validator gateway - lists available web UI options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http://wallet.localhost:2000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Canton Coin wallet interface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http://sv.localhost:4000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Super Validator Operations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http://scan.localhost:4000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Canton Coin Scan web UI - shows balances and validator rewards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http://localhost:7575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Ledger API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http://localhost:5003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Validator API service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DevNet</w:t>
      </w:r>
      <w:r w:rsidDel="00000000" w:rsidR="00000000" w:rsidRPr="00000000">
        <w:rPr>
          <w:rtl w:val="0"/>
        </w:rPr>
        <w:t xml:space="preserve"> mode, Super Validator and wallet services are hosted externally rather than locally. The exact URLs for those services are provided by your sponsoring Super Validator.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Hairlin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30/" TargetMode="External"/><Relationship Id="rId10" Type="http://schemas.openxmlformats.org/officeDocument/2006/relationships/hyperlink" Target="https://github.com/NixOS/experimental-nix-installer" TargetMode="External"/><Relationship Id="rId13" Type="http://schemas.openxmlformats.org/officeDocument/2006/relationships/hyperlink" Target="https://github.com/digital-asset/cn-quickstart/blob/main/docs/guide/ObservabilityTroubleshootingOverview-20250220.pdf" TargetMode="External"/><Relationship Id="rId12" Type="http://schemas.openxmlformats.org/officeDocument/2006/relationships/hyperlink" Target="http://localhost:303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terminate.systems/posts/zscaler-macos-and-nix-on-corporate-networks/" TargetMode="External"/><Relationship Id="rId15" Type="http://schemas.openxmlformats.org/officeDocument/2006/relationships/hyperlink" Target="http://localhost:3030/" TargetMode="External"/><Relationship Id="rId14" Type="http://schemas.openxmlformats.org/officeDocument/2006/relationships/hyperlink" Target="http://localhost:3030/" TargetMode="External"/><Relationship Id="rId17" Type="http://schemas.openxmlformats.org/officeDocument/2006/relationships/hyperlink" Target="https://github.com/digital-asset/cn-quickstart/blob/main/docs/guide/ExploringTheDemo-20250221.pdf" TargetMode="External"/><Relationship Id="rId16" Type="http://schemas.openxmlformats.org/officeDocument/2006/relationships/hyperlink" Target="https://github.com/digital-asset/cn-quickstart/blob/main/docs/guide/ProjectStructureGuide-20250212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igital-asset/cn-quickstart/blob/main/docs/guide/CantonNetworkQuickstartInstallationGuide-20250213.pdf" TargetMode="External"/><Relationship Id="rId8" Type="http://schemas.openxmlformats.org/officeDocument/2006/relationships/hyperlink" Target="https://nix.dev/manual/nix/2.24/command-ref/conf-file.html#conf-ssl-cert-file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Hairline-italic.ttf"/><Relationship Id="rId10" Type="http://schemas.openxmlformats.org/officeDocument/2006/relationships/font" Target="fonts/LatoHairline-bold.ttf"/><Relationship Id="rId13" Type="http://schemas.openxmlformats.org/officeDocument/2006/relationships/font" Target="fonts/RobotoMono-regular.ttf"/><Relationship Id="rId12" Type="http://schemas.openxmlformats.org/officeDocument/2006/relationships/font" Target="fonts/LatoHairline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LatoHairline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