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293B"/>
          <w:sz w:val="44"/>
          <w:szCs w:val="44"/>
        </w:rPr>
        <w:t xml:space="preserve">ComplianceOS</w:t>
      </w:r>
    </w:p>
    <w:p>
      <w:pPr>
        <w:spacing w:after="80"/>
        <w:jc w:val="center"/>
      </w:pPr>
      <w:r>
        <w:rPr>
          <w:color w:val="047857"/>
          <w:sz w:val="32"/>
          <w:szCs w:val="32"/>
        </w:rPr>
        <w:t xml:space="preserve">Project Scope</w:t>
      </w:r>
    </w:p>
    <w:p>
      <w:pPr>
        <w:spacing w:after="320"/>
        <w:jc w:val="center"/>
      </w:pPr>
      <w:r>
        <w:rPr>
          <w:i/>
          <w:iCs/>
          <w:color w:val="475569"/>
          <w:sz w:val="22"/>
          <w:szCs w:val="22"/>
        </w:rPr>
        <w:t xml:space="preserve">Backend engineer contract</w:t>
      </w:r>
    </w:p>
    <w:p>
      <w:pPr>
        <w:spacing w:after="120"/>
      </w:pPr>
      <w:r>
        <w:t xml:space="preserve">Audience: senior backend engineer on contract.</w:t>
      </w:r>
    </w:p>
    <w:p>
      <w:pPr>
        <w:spacing w:after="120"/>
      </w:pPr>
      <w:r>
        <w:t xml:space="preserve">Prepared by: Hani.</w:t>
      </w:r>
    </w:p>
    <w:p>
      <w:pPr>
        <w:spacing w:after="120"/>
      </w:pPr>
      <w:r>
        <w:t xml:space="preserve">Last updated: April 2026.</w:t>
      </w:r>
    </w:p>
    <w:p>
      <w:pPr>
        <w:spacing w:after="120"/>
      </w:pPr>
      <w:r>
        <w:t xml:space="preserve">Technical companion document: ComplianceOS Backend Requirements (name may change later).</w:t>
      </w:r>
    </w:p>
    <w:p>
      <w:pPr>
        <w:pStyle w:val="Heading1"/>
      </w:pPr>
      <w:r>
        <w:t xml:space="preserve">1. Overview</w:t>
      </w:r>
    </w:p>
    <w:p>
      <w:pPr>
        <w:spacing w:after="120"/>
      </w:pPr>
      <w:r>
        <w:t xml:space="preserve">ComplianceOS is a governance, risk, and compliance platform for Saudi financial institutions regulated by SAMA. It starts as a single-tenant deployment for one client and is built to evolve into a multi-tenant SaaS product. The platform manages correspondence with regulators, tracks observations and their remediation, runs a compliance calendar, handles HR compliance data including Saudization and training, logs policies, manages audits, and produces executive reports.</w:t>
      </w:r>
    </w:p>
    <w:p>
      <w:pPr>
        <w:spacing w:after="120"/>
      </w:pPr>
      <w:r>
        <w:t xml:space="preserve">The frontend is complete. It is a 32-screen Next.js 16 application with 29 Zustand stores and 95+ TypeScript interfaces. The compliance scoring engine is already implemented on the client in 585 lines and must be ported to the server bit-for-bit. The backend work is replacing the in-memory state layer with real persistence, business logic, and background jobs, all hosted inside Saudi Arabia.</w:t>
      </w:r>
    </w:p>
    <w:p>
      <w:pPr>
        <w:spacing w:after="120"/>
      </w:pPr>
      <w:r>
        <w:t xml:space="preserve">The client currently tracks compliance using Excel sheets and Google Drive. There is no legacy system to migrate from. Data entry is manual from day one.</w:t>
      </w:r>
    </w:p>
    <w:p>
      <w:pPr>
        <w:pStyle w:val="Heading1"/>
      </w:pPr>
      <w:r>
        <w:t xml:space="preserve">2. Hosting and regulatory constraints</w:t>
      </w:r>
    </w:p>
    <w:p>
      <w:pPr>
        <w:spacing w:after="120"/>
      </w:pPr>
      <w:r>
        <w:t xml:space="preserve">All personal and regulated data processed by the platform must reside on infrastructure physically located within the Kingdom of Saudi Arabia. This is not a single-authority requirement. Multiple overlapping Saudi regulations apply simultaneously, and the platform must satisfy each of them for the data it touches:</w:t>
      </w:r>
    </w:p>
    <w:p>
      <w:pPr>
        <w:pStyle w:val="ListParagraph"/>
        <w:numPr>
          <w:ilvl w:val="0"/>
          <w:numId w:val="2"/>
        </w:numPr>
        <w:spacing w:after="80"/>
      </w:pPr>
      <w:r>
        <w:t xml:space="preserve">SAMA Cloud Computing Framework. Applies to all banks, insurance companies, fintech and payment providers regulated by the Saudi Central Bank. Customer data, transactions, backups, logs, and audit trails must reside in-kingdom. Cross-border transfer is exception-based and requires documented risk assessments with SAMA approval.</w:t>
      </w:r>
    </w:p>
    <w:p>
      <w:pPr>
        <w:pStyle w:val="ListParagraph"/>
        <w:numPr>
          <w:ilvl w:val="0"/>
          <w:numId w:val="2"/>
        </w:numPr>
        <w:spacing w:after="80"/>
      </w:pPr>
      <w:r>
        <w:t xml:space="preserve">SDAIA PDPL (Personal Data Protection Law). Fully enforced since September 2024. Applies horizontally to any entity processing personal data of Saudi residents, regardless of sector. Because the platform stores names, contact details, Saudization records, and employee training data, PDPL is always triggered.</w:t>
      </w:r>
    </w:p>
    <w:p>
      <w:pPr>
        <w:pStyle w:val="ListParagraph"/>
        <w:numPr>
          <w:ilvl w:val="0"/>
          <w:numId w:val="2"/>
        </w:numPr>
        <w:spacing w:after="80"/>
      </w:pPr>
      <w:r>
        <w:t xml:space="preserve">NCA ECC (Essential Cybersecurity Controls). Applies to all critical national infrastructure operators including financial services. Has its own residency and logging expectations that overlap with SAMA.</w:t>
      </w:r>
    </w:p>
    <w:p>
      <w:pPr>
        <w:pStyle w:val="ListParagraph"/>
        <w:numPr>
          <w:ilvl w:val="0"/>
          <w:numId w:val="2"/>
        </w:numPr>
        <w:spacing w:after="80"/>
      </w:pPr>
      <w:r>
        <w:t xml:space="preserve">CMA (Capital Market Authority). Applies to broker-dealers, asset managers, and capital market institutions. Own cybersecurity and data governance rules that effectively require in-kingdom storage for licensee data.</w:t>
      </w:r>
    </w:p>
    <w:p>
      <w:pPr>
        <w:pStyle w:val="ListParagraph"/>
        <w:numPr>
          <w:ilvl w:val="0"/>
          <w:numId w:val="2"/>
        </w:numPr>
        <w:spacing w:after="80"/>
      </w:pPr>
      <w:r>
        <w:t xml:space="preserve">CITC. Applies to telecom and ICT sector licensees. Subscriber and traffic data must stay in-kingdom.</w:t>
      </w:r>
    </w:p>
    <w:p>
      <w:pPr>
        <w:spacing w:after="120"/>
      </w:pPr>
      <w:r>
        <w:t xml:space="preserve">ZATCA (tax), MISA (investment), SAFIU (AML), and IA (insurance) do not have separate independent residency rules in practice; their data either falls under SAMA (for regulated financial entities) or PDPL (for everything else).</w:t>
      </w:r>
    </w:p>
    <w:p>
      <w:pPr>
        <w:spacing w:after="120"/>
      </w:pPr>
      <w:r>
        <w:t xml:space="preserve">For this project the constraint is treated as binding from day one, not a later migration. The backend, database, storage, job queue, logs, backups, and any analytics must all run inside a Saudi region. The UAE and Bahrain regions do not satisfy Saudi residency. Because a compliance platform necessarily touches personal data (PDPL) and, for the first client, SAMA-regulated data, the strictest interpretation applies: all data, all environments, in-kingdom.</w:t>
      </w:r>
    </w:p>
    <w:p>
      <w:pPr>
        <w:pStyle w:val="Heading2"/>
      </w:pPr>
      <w:r>
        <w:t xml:space="preserve">Chosen platform</w:t>
      </w:r>
    </w:p>
    <w:p>
      <w:pPr>
        <w:spacing w:after="120"/>
      </w:pPr>
      <w:r>
        <w:t xml:space="preserve">Google Cloud Platform, Saudi Arabia (Dammam) region, me-central2. GCP publishes SAMA contractual mappings and operates a certified in-kingdom region that satisfies the residency requirements above.</w:t>
      </w:r>
    </w:p>
    <w:p>
      <w:pPr>
        <w:pStyle w:val="ListParagraph"/>
        <w:numPr>
          <w:ilvl w:val="0"/>
          <w:numId w:val="2"/>
        </w:numPr>
        <w:spacing w:after="80"/>
      </w:pPr>
      <w:r>
        <w:t xml:space="preserve">Cloud SQL for Postgres for the primary database, with automated backups kept in-region</w:t>
      </w:r>
    </w:p>
    <w:p>
      <w:pPr>
        <w:pStyle w:val="ListParagraph"/>
        <w:numPr>
          <w:ilvl w:val="0"/>
          <w:numId w:val="2"/>
        </w:numPr>
        <w:spacing w:after="80"/>
      </w:pPr>
      <w:r>
        <w:t xml:space="preserve">Cloud Run for the Express API and pg-boss worker processes</w:t>
      </w:r>
    </w:p>
    <w:p>
      <w:pPr>
        <w:pStyle w:val="ListParagraph"/>
        <w:numPr>
          <w:ilvl w:val="0"/>
          <w:numId w:val="2"/>
        </w:numPr>
        <w:spacing w:after="80"/>
      </w:pPr>
      <w:r>
        <w:t xml:space="preserve">Cloud Storage for attachments and generated PDFs, in-region buckets</w:t>
      </w:r>
    </w:p>
    <w:p>
      <w:pPr>
        <w:pStyle w:val="ListParagraph"/>
        <w:numPr>
          <w:ilvl w:val="0"/>
          <w:numId w:val="2"/>
        </w:numPr>
        <w:spacing w:after="80"/>
      </w:pPr>
      <w:r>
        <w:t xml:space="preserve">Secret Manager for credentials and keys</w:t>
      </w:r>
    </w:p>
    <w:p>
      <w:pPr>
        <w:pStyle w:val="ListParagraph"/>
        <w:numPr>
          <w:ilvl w:val="0"/>
          <w:numId w:val="2"/>
        </w:numPr>
        <w:spacing w:after="80"/>
      </w:pPr>
      <w:r>
        <w:t xml:space="preserve">Cloud Logging and Cloud Monitoring for observability, with log sinks configured to keep all logs in-region</w:t>
      </w:r>
    </w:p>
    <w:p>
      <w:pPr>
        <w:pStyle w:val="ListParagraph"/>
        <w:numPr>
          <w:ilvl w:val="0"/>
          <w:numId w:val="2"/>
        </w:numPr>
        <w:spacing w:after="80"/>
      </w:pPr>
      <w:r>
        <w:t xml:space="preserve">Published SAMA contractual mappings available from Google Cloud for client onboarding</w:t>
      </w:r>
    </w:p>
    <w:p>
      <w:pPr>
        <w:spacing w:after="120"/>
      </w:pPr>
      <w:r>
        <w:t xml:space="preserve">If the cofounder's client has an existing relationship with another SAMA-compliant KSA provider (Huawei Cloud KSA, STC Cloud, Oracle Cloud KSA), the provider may change during Discovery. The architectural patterns in this scope stay the same.</w:t>
      </w:r>
    </w:p>
    <w:p>
      <w:pPr>
        <w:pStyle w:val="Heading2"/>
      </w:pPr>
      <w:r>
        <w:t xml:space="preserve">What the engineer builds because of the Google Cloud choice</w:t>
      </w:r>
    </w:p>
    <w:p>
      <w:pPr>
        <w:spacing w:after="120"/>
      </w:pPr>
      <w:r>
        <w:t xml:space="preserve">Unlike a Supabase deployment, where auth, storage, realtime, and several DevOps pieces are handled by the platform, a Cloud SQL plus Cloud Run stack requires the engineer to assemble these components themselves. The list below enumerates every piece of work that exists specifically because of the hosting constraint, so there is no ambiguity between 'platform gave us this' and 'we built this'.</w:t>
      </w:r>
    </w:p>
    <w:p>
      <w:pPr>
        <w:pStyle w:val="Heading2"/>
      </w:pPr>
      <w:r>
        <w:t xml:space="preserve">1. Project and account setup</w:t>
      </w:r>
    </w:p>
    <w:p>
      <w:pPr>
        <w:pStyle w:val="ListParagraph"/>
        <w:numPr>
          <w:ilvl w:val="0"/>
          <w:numId w:val="2"/>
        </w:numPr>
        <w:spacing w:after="80"/>
      </w:pPr>
      <w:r>
        <w:t xml:space="preserve">GCP organization, billing account, and project structure. One project per environment (dev, staging, prod) at minimum.</w:t>
      </w:r>
    </w:p>
    <w:p>
      <w:pPr>
        <w:pStyle w:val="ListParagraph"/>
        <w:numPr>
          <w:ilvl w:val="0"/>
          <w:numId w:val="2"/>
        </w:numPr>
        <w:spacing w:after="80"/>
      </w:pPr>
      <w:r>
        <w:t xml:space="preserve">IAM policy definitions. Principle of least privilege for service accounts, developer accounts, and CI/CD pipelines.</w:t>
      </w:r>
    </w:p>
    <w:p>
      <w:pPr>
        <w:pStyle w:val="ListParagraph"/>
        <w:numPr>
          <w:ilvl w:val="0"/>
          <w:numId w:val="2"/>
        </w:numPr>
        <w:spacing w:after="80"/>
      </w:pPr>
      <w:r>
        <w:t xml:space="preserve">Enabling Saudi region-specific services in the project (me-central2). Confirming every service used is available in-region.</w:t>
      </w:r>
    </w:p>
    <w:p>
      <w:pPr>
        <w:pStyle w:val="ListParagraph"/>
        <w:numPr>
          <w:ilvl w:val="0"/>
          <w:numId w:val="2"/>
        </w:numPr>
        <w:spacing w:after="80"/>
      </w:pPr>
      <w:r>
        <w:t xml:space="preserve">Billing alerts and budget caps per project.</w:t>
      </w:r>
    </w:p>
    <w:p>
      <w:pPr>
        <w:pStyle w:val="ListParagraph"/>
        <w:numPr>
          <w:ilvl w:val="0"/>
          <w:numId w:val="2"/>
        </w:numPr>
        <w:spacing w:after="80"/>
      </w:pPr>
      <w:r>
        <w:t xml:space="preserve">VPC network design inside me-central2 with private service connect for Cloud SQL so the database is not exposed to the public internet.</w:t>
      </w:r>
    </w:p>
    <w:p>
      <w:pPr>
        <w:pStyle w:val="Heading2"/>
      </w:pPr>
      <w:r>
        <w:t xml:space="preserve">2. Authentication service</w:t>
      </w:r>
    </w:p>
    <w:p>
      <w:pPr>
        <w:spacing w:after="120"/>
      </w:pPr>
      <w:r>
        <w:t xml:space="preserve">Self-hosted GoTrue deployed on Cloud Run in the Saudi region, pointed at Cloud SQL for Postgres. If GoTrue cannot be configured to the project's needs, a minimal Express auth service is the fallback. Either way, the feature surface below is the contract:</w:t>
      </w:r>
    </w:p>
    <w:p>
      <w:pPr>
        <w:pStyle w:val="ListParagraph"/>
        <w:numPr>
          <w:ilvl w:val="0"/>
          <w:numId w:val="2"/>
        </w:numPr>
        <w:spacing w:after="80"/>
      </w:pPr>
      <w:r>
        <w:t xml:space="preserve">Signup with email and password</w:t>
      </w:r>
    </w:p>
    <w:p>
      <w:pPr>
        <w:pStyle w:val="ListParagraph"/>
        <w:numPr>
          <w:ilvl w:val="0"/>
          <w:numId w:val="2"/>
        </w:numPr>
        <w:spacing w:after="80"/>
      </w:pPr>
      <w:r>
        <w:t xml:space="preserve">Login with email and password, returning a JWT with tenant_id, user_id, and role claims</w:t>
      </w:r>
    </w:p>
    <w:p>
      <w:pPr>
        <w:pStyle w:val="ListParagraph"/>
        <w:numPr>
          <w:ilvl w:val="0"/>
          <w:numId w:val="2"/>
        </w:numPr>
        <w:spacing w:after="80"/>
      </w:pPr>
      <w:r>
        <w:t xml:space="preserve">Password hashing with bcrypt or argon2 at a correct work factor</w:t>
      </w:r>
    </w:p>
    <w:p>
      <w:pPr>
        <w:pStyle w:val="ListParagraph"/>
        <w:numPr>
          <w:ilvl w:val="0"/>
          <w:numId w:val="2"/>
        </w:numPr>
        <w:spacing w:after="80"/>
      </w:pPr>
      <w:r>
        <w:t xml:space="preserve">Email verification flow: signup sends a verification link, link is single-use, token expires after a defined window</w:t>
      </w:r>
    </w:p>
    <w:p>
      <w:pPr>
        <w:pStyle w:val="ListParagraph"/>
        <w:numPr>
          <w:ilvl w:val="0"/>
          <w:numId w:val="2"/>
        </w:numPr>
        <w:spacing w:after="80"/>
      </w:pPr>
      <w:r>
        <w:t xml:space="preserve">Password reset flow: user requests reset, email is sent, token is single-use, rate-limited to prevent abuse</w:t>
      </w:r>
    </w:p>
    <w:p>
      <w:pPr>
        <w:pStyle w:val="ListParagraph"/>
        <w:numPr>
          <w:ilvl w:val="0"/>
          <w:numId w:val="2"/>
        </w:numPr>
        <w:spacing w:after="80"/>
      </w:pPr>
      <w:r>
        <w:t xml:space="preserve">Multi-factor authentication via TOTP (Google Authenticator, Authy) with backup codes</w:t>
      </w:r>
    </w:p>
    <w:p>
      <w:pPr>
        <w:pStyle w:val="ListParagraph"/>
        <w:numPr>
          <w:ilvl w:val="0"/>
          <w:numId w:val="2"/>
        </w:numPr>
        <w:spacing w:after="80"/>
      </w:pPr>
      <w:r>
        <w:t xml:space="preserve">Refresh token rotation with theft detection: reuse of an already-rotated token invalidates the entire session family and raises a security alert</w:t>
      </w:r>
    </w:p>
    <w:p>
      <w:pPr>
        <w:pStyle w:val="ListParagraph"/>
        <w:numPr>
          <w:ilvl w:val="0"/>
          <w:numId w:val="2"/>
        </w:numPr>
        <w:spacing w:after="80"/>
      </w:pPr>
      <w:r>
        <w:t xml:space="preserve">Session revocation and logout-everywhere: admin can force-logout a user across all devices</w:t>
      </w:r>
    </w:p>
    <w:p>
      <w:pPr>
        <w:pStyle w:val="ListParagraph"/>
        <w:numPr>
          <w:ilvl w:val="0"/>
          <w:numId w:val="2"/>
        </w:numPr>
        <w:spacing w:after="80"/>
      </w:pPr>
      <w:r>
        <w:t xml:space="preserve">Account lockout after a defined number of failed login attempts, with exponential backoff</w:t>
      </w:r>
    </w:p>
    <w:p>
      <w:pPr>
        <w:pStyle w:val="ListParagraph"/>
        <w:numPr>
          <w:ilvl w:val="0"/>
          <w:numId w:val="2"/>
        </w:numPr>
        <w:spacing w:after="80"/>
      </w:pPr>
      <w:r>
        <w:t xml:space="preserve">Rate limiting on all auth endpoints (signup, login, password reset, MFA challenge) per IP and per account</w:t>
      </w:r>
    </w:p>
    <w:p>
      <w:pPr>
        <w:pStyle w:val="ListParagraph"/>
        <w:numPr>
          <w:ilvl w:val="0"/>
          <w:numId w:val="2"/>
        </w:numPr>
        <w:spacing w:after="80"/>
      </w:pPr>
      <w:r>
        <w:t xml:space="preserve">Audit log entries for every auth event (login success, login failure, MFA enrolled, password changed, MFA challenged) written to the central audit_log</w:t>
      </w:r>
    </w:p>
    <w:p>
      <w:pPr>
        <w:pStyle w:val="ListParagraph"/>
        <w:numPr>
          <w:ilvl w:val="0"/>
          <w:numId w:val="2"/>
        </w:numPr>
        <w:spacing w:after="80"/>
      </w:pPr>
      <w:r>
        <w:t xml:space="preserve">Password complexity rules consistent with SAMA and NCA expectations (minimum length, character classes, no common passwords)</w:t>
      </w:r>
    </w:p>
    <w:p>
      <w:pPr>
        <w:pStyle w:val="ListParagraph"/>
        <w:numPr>
          <w:ilvl w:val="0"/>
          <w:numId w:val="2"/>
        </w:numPr>
        <w:spacing w:after="80"/>
      </w:pPr>
      <w:r>
        <w:t xml:space="preserve">Email delivery from an in-region SMTP relay or third-party provider with a Saudi delivery endpoint, so verification and reset emails do not leak metadata cross-border</w:t>
      </w:r>
    </w:p>
    <w:p>
      <w:pPr>
        <w:pStyle w:val="Heading2"/>
      </w:pPr>
      <w:r>
        <w:t xml:space="preserve">3. Database (Cloud SQL for Postgres)</w:t>
      </w:r>
    </w:p>
    <w:p>
      <w:pPr>
        <w:pStyle w:val="ListParagraph"/>
        <w:numPr>
          <w:ilvl w:val="0"/>
          <w:numId w:val="2"/>
        </w:numPr>
        <w:spacing w:after="80"/>
      </w:pPr>
      <w:r>
        <w:t xml:space="preserve">Provision Cloud SQL for Postgres 15 in me-central2 with private IP and VPC peering</w:t>
      </w:r>
    </w:p>
    <w:p>
      <w:pPr>
        <w:pStyle w:val="ListParagraph"/>
        <w:numPr>
          <w:ilvl w:val="0"/>
          <w:numId w:val="2"/>
        </w:numPr>
        <w:spacing w:after="80"/>
      </w:pPr>
      <w:r>
        <w:t xml:space="preserve">Automated daily backups retained in-region with 30-day minimum retention</w:t>
      </w:r>
    </w:p>
    <w:p>
      <w:pPr>
        <w:pStyle w:val="ListParagraph"/>
        <w:numPr>
          <w:ilvl w:val="0"/>
          <w:numId w:val="2"/>
        </w:numPr>
        <w:spacing w:after="80"/>
      </w:pPr>
      <w:r>
        <w:t xml:space="preserve">Point-in-time recovery enabled</w:t>
      </w:r>
    </w:p>
    <w:p>
      <w:pPr>
        <w:pStyle w:val="ListParagraph"/>
        <w:numPr>
          <w:ilvl w:val="0"/>
          <w:numId w:val="2"/>
        </w:numPr>
        <w:spacing w:after="80"/>
      </w:pPr>
      <w:r>
        <w:t xml:space="preserve">High availability configuration (regional with a standby instance) for production</w:t>
      </w:r>
    </w:p>
    <w:p>
      <w:pPr>
        <w:pStyle w:val="ListParagraph"/>
        <w:numPr>
          <w:ilvl w:val="0"/>
          <w:numId w:val="2"/>
        </w:numPr>
        <w:spacing w:after="80"/>
      </w:pPr>
      <w:r>
        <w:t xml:space="preserve">Connection pooling via PgBouncer or Cloud SQL's built-in pool to handle Cloud Run's burst connections</w:t>
      </w:r>
    </w:p>
    <w:p>
      <w:pPr>
        <w:pStyle w:val="ListParagraph"/>
        <w:numPr>
          <w:ilvl w:val="0"/>
          <w:numId w:val="2"/>
        </w:numPr>
        <w:spacing w:after="80"/>
      </w:pPr>
      <w:r>
        <w:t xml:space="preserve">Read replica planning documented even if not provisioned initially, for future scaling</w:t>
      </w:r>
    </w:p>
    <w:p>
      <w:pPr>
        <w:pStyle w:val="ListParagraph"/>
        <w:numPr>
          <w:ilvl w:val="0"/>
          <w:numId w:val="2"/>
        </w:numPr>
        <w:spacing w:after="80"/>
      </w:pPr>
      <w:r>
        <w:t xml:space="preserve">Maintenance window configuration aligned with low-traffic hours in KSA</w:t>
      </w:r>
    </w:p>
    <w:p>
      <w:pPr>
        <w:pStyle w:val="ListParagraph"/>
        <w:numPr>
          <w:ilvl w:val="0"/>
          <w:numId w:val="2"/>
        </w:numPr>
        <w:spacing w:after="80"/>
      </w:pPr>
      <w:r>
        <w:t xml:space="preserve">Database migrations managed via a tool like Prisma Migrate, Drizzle, or Flyway, versioned in the repo</w:t>
      </w:r>
    </w:p>
    <w:p>
      <w:pPr>
        <w:pStyle w:val="Heading2"/>
      </w:pPr>
      <w:r>
        <w:t xml:space="preserve">4. Multi-tenancy enforcement</w:t>
      </w:r>
    </w:p>
    <w:p>
      <w:pPr>
        <w:pStyle w:val="ListParagraph"/>
        <w:numPr>
          <w:ilvl w:val="0"/>
          <w:numId w:val="2"/>
        </w:numPr>
        <w:spacing w:after="80"/>
      </w:pPr>
      <w:r>
        <w:t xml:space="preserve">tenant_id column on every tenant-scoped table with a NOT NULL constraint and a foreign key to tenants.id</w:t>
      </w:r>
    </w:p>
    <w:p>
      <w:pPr>
        <w:pStyle w:val="ListParagraph"/>
        <w:numPr>
          <w:ilvl w:val="0"/>
          <w:numId w:val="2"/>
        </w:numPr>
        <w:spacing w:after="80"/>
      </w:pPr>
      <w:r>
        <w:t xml:space="preserve">Row-level security policies on every tenant-scoped table, binding tenant_id to current_setting('app.current_tenant_id')</w:t>
      </w:r>
    </w:p>
    <w:p>
      <w:pPr>
        <w:pStyle w:val="ListParagraph"/>
        <w:numPr>
          <w:ilvl w:val="0"/>
          <w:numId w:val="2"/>
        </w:numPr>
        <w:spacing w:after="80"/>
      </w:pPr>
      <w:r>
        <w:t xml:space="preserve">Express middleware that validates the JWT, extracts tenant_id and user_id, and sets both as Postgres GUCs (app.current_tenant_id and app.current_user_id) on every request</w:t>
      </w:r>
    </w:p>
    <w:p>
      <w:pPr>
        <w:pStyle w:val="ListParagraph"/>
        <w:numPr>
          <w:ilvl w:val="0"/>
          <w:numId w:val="2"/>
        </w:numPr>
        <w:spacing w:after="80"/>
      </w:pPr>
      <w:r>
        <w:t xml:space="preserve">Automated tests proving cross-tenant access is blocked at the database level, not just the application level</w:t>
      </w:r>
    </w:p>
    <w:p>
      <w:pPr>
        <w:pStyle w:val="ListParagraph"/>
        <w:numPr>
          <w:ilvl w:val="0"/>
          <w:numId w:val="2"/>
        </w:numPr>
        <w:spacing w:after="80"/>
      </w:pPr>
      <w:r>
        <w:t xml:space="preserve">Service-role connection pattern for admin tasks that legitimately cross tenant boundaries (tenant provisioning, support operations)</w:t>
      </w:r>
    </w:p>
    <w:p>
      <w:pPr>
        <w:pStyle w:val="ListParagraph"/>
        <w:numPr>
          <w:ilvl w:val="0"/>
          <w:numId w:val="2"/>
        </w:numPr>
        <w:spacing w:after="80"/>
      </w:pPr>
      <w:r>
        <w:t xml:space="preserve">Tenant provisioning flow: admin triggers creation, platform inserts tenants row, creates first admin user, seeds framework applicability config</w:t>
      </w:r>
    </w:p>
    <w:p>
      <w:pPr>
        <w:pStyle w:val="ListParagraph"/>
        <w:numPr>
          <w:ilvl w:val="0"/>
          <w:numId w:val="2"/>
        </w:numPr>
        <w:spacing w:after="80"/>
      </w:pPr>
      <w:r>
        <w:t xml:space="preserve">Tenant deletion flow with a soft-delete pattern and a grace period before hard deletion, complying with SAMA and PDPL data disposal rules</w:t>
      </w:r>
    </w:p>
    <w:p>
      <w:pPr>
        <w:pStyle w:val="Heading2"/>
      </w:pPr>
      <w:r>
        <w:t xml:space="preserve">5. API and worker deployment</w:t>
      </w:r>
    </w:p>
    <w:p>
      <w:pPr>
        <w:pStyle w:val="ListParagraph"/>
        <w:numPr>
          <w:ilvl w:val="0"/>
          <w:numId w:val="2"/>
        </w:numPr>
        <w:spacing w:after="80"/>
      </w:pPr>
      <w:r>
        <w:t xml:space="preserve">Cloud Run service for the Express API with container image stored in Artifact Registry in me-central2</w:t>
      </w:r>
    </w:p>
    <w:p>
      <w:pPr>
        <w:pStyle w:val="ListParagraph"/>
        <w:numPr>
          <w:ilvl w:val="0"/>
          <w:numId w:val="2"/>
        </w:numPr>
        <w:spacing w:after="80"/>
      </w:pPr>
      <w:r>
        <w:t xml:space="preserve">Cloud Run service or separate job scheduler for pg-boss workers</w:t>
      </w:r>
    </w:p>
    <w:p>
      <w:pPr>
        <w:pStyle w:val="ListParagraph"/>
        <w:numPr>
          <w:ilvl w:val="0"/>
          <w:numId w:val="2"/>
        </w:numPr>
        <w:spacing w:after="80"/>
      </w:pPr>
      <w:r>
        <w:t xml:space="preserve">CI/CD pipeline (Cloud Build or GitHub Actions with workload identity federation) that builds images, runs tests, and deploys to staging on every merge</w:t>
      </w:r>
    </w:p>
    <w:p>
      <w:pPr>
        <w:pStyle w:val="ListParagraph"/>
        <w:numPr>
          <w:ilvl w:val="0"/>
          <w:numId w:val="2"/>
        </w:numPr>
        <w:spacing w:after="80"/>
      </w:pPr>
      <w:r>
        <w:t xml:space="preserve">Production deployments gated by manual approval or a tagged release</w:t>
      </w:r>
    </w:p>
    <w:p>
      <w:pPr>
        <w:pStyle w:val="ListParagraph"/>
        <w:numPr>
          <w:ilvl w:val="0"/>
          <w:numId w:val="2"/>
        </w:numPr>
        <w:spacing w:after="80"/>
      </w:pPr>
      <w:r>
        <w:t xml:space="preserve">Cloud Run auto-scaling configuration: min instances, max instances, concurrency, CPU allocation</w:t>
      </w:r>
    </w:p>
    <w:p>
      <w:pPr>
        <w:pStyle w:val="ListParagraph"/>
        <w:numPr>
          <w:ilvl w:val="0"/>
          <w:numId w:val="2"/>
        </w:numPr>
        <w:spacing w:after="80"/>
      </w:pPr>
      <w:r>
        <w:t xml:space="preserve">Custom domain binding with managed SSL certificates via Cloud Load Balancing</w:t>
      </w:r>
    </w:p>
    <w:p>
      <w:pPr>
        <w:pStyle w:val="ListParagraph"/>
        <w:numPr>
          <w:ilvl w:val="0"/>
          <w:numId w:val="2"/>
        </w:numPr>
        <w:spacing w:after="80"/>
      </w:pPr>
      <w:r>
        <w:t xml:space="preserve">Cloud Armor rules for basic WAF protection (rate limiting, geo-blocking if desired, SQL injection and XSS signatures)</w:t>
      </w:r>
    </w:p>
    <w:p>
      <w:pPr>
        <w:pStyle w:val="Heading2"/>
      </w:pPr>
      <w:r>
        <w:t xml:space="preserve">6. Storage</w:t>
      </w:r>
    </w:p>
    <w:p>
      <w:pPr>
        <w:pStyle w:val="ListParagraph"/>
        <w:numPr>
          <w:ilvl w:val="0"/>
          <w:numId w:val="2"/>
        </w:numPr>
        <w:spacing w:after="80"/>
      </w:pPr>
      <w:r>
        <w:t xml:space="preserve">Cloud Storage buckets in me-central2 for attachments and generated PDFs</w:t>
      </w:r>
    </w:p>
    <w:p>
      <w:pPr>
        <w:pStyle w:val="ListParagraph"/>
        <w:numPr>
          <w:ilvl w:val="0"/>
          <w:numId w:val="2"/>
        </w:numPr>
        <w:spacing w:after="80"/>
      </w:pPr>
      <w:r>
        <w:t xml:space="preserve">Bucket structure: one root bucket per environment, tenant-scoped prefixes (tenant_id as a path component) enforced at the application layer</w:t>
      </w:r>
    </w:p>
    <w:p>
      <w:pPr>
        <w:pStyle w:val="ListParagraph"/>
        <w:numPr>
          <w:ilvl w:val="0"/>
          <w:numId w:val="2"/>
        </w:numPr>
        <w:spacing w:after="80"/>
      </w:pPr>
      <w:r>
        <w:t xml:space="preserve">Signed URL generation for downloads so the backend never proxies large files</w:t>
      </w:r>
    </w:p>
    <w:p>
      <w:pPr>
        <w:pStyle w:val="ListParagraph"/>
        <w:numPr>
          <w:ilvl w:val="0"/>
          <w:numId w:val="2"/>
        </w:numPr>
        <w:spacing w:after="80"/>
      </w:pPr>
      <w:r>
        <w:t xml:space="preserve">Signed URL generation for uploads so the frontend uploads directly to Cloud Storage, reducing backend load</w:t>
      </w:r>
    </w:p>
    <w:p>
      <w:pPr>
        <w:pStyle w:val="ListParagraph"/>
        <w:numPr>
          <w:ilvl w:val="0"/>
          <w:numId w:val="2"/>
        </w:numPr>
        <w:spacing w:after="80"/>
      </w:pPr>
      <w:r>
        <w:t xml:space="preserve">Bucket-level IAM restricting access to the application service accounts</w:t>
      </w:r>
    </w:p>
    <w:p>
      <w:pPr>
        <w:pStyle w:val="ListParagraph"/>
        <w:numPr>
          <w:ilvl w:val="0"/>
          <w:numId w:val="2"/>
        </w:numPr>
        <w:spacing w:after="80"/>
      </w:pPr>
      <w:r>
        <w:t xml:space="preserve">Object versioning enabled for audit and restore scenarios</w:t>
      </w:r>
    </w:p>
    <w:p>
      <w:pPr>
        <w:pStyle w:val="ListParagraph"/>
        <w:numPr>
          <w:ilvl w:val="0"/>
          <w:numId w:val="2"/>
        </w:numPr>
        <w:spacing w:after="80"/>
      </w:pPr>
      <w:r>
        <w:t xml:space="preserve">Lifecycle policies for generated PDFs (automatic cleanup of short-lived files, retention for archived reports)</w:t>
      </w:r>
    </w:p>
    <w:p>
      <w:pPr>
        <w:pStyle w:val="Heading2"/>
      </w:pPr>
      <w:r>
        <w:t xml:space="preserve">7. Secrets and configuration</w:t>
      </w:r>
    </w:p>
    <w:p>
      <w:pPr>
        <w:pStyle w:val="ListParagraph"/>
        <w:numPr>
          <w:ilvl w:val="0"/>
          <w:numId w:val="2"/>
        </w:numPr>
        <w:spacing w:after="80"/>
      </w:pPr>
      <w:r>
        <w:t xml:space="preserve">Secret Manager for all credentials (database passwords, JWT signing keys, API keys, SMTP credentials)</w:t>
      </w:r>
    </w:p>
    <w:p>
      <w:pPr>
        <w:pStyle w:val="ListParagraph"/>
        <w:numPr>
          <w:ilvl w:val="0"/>
          <w:numId w:val="2"/>
        </w:numPr>
        <w:spacing w:after="80"/>
      </w:pPr>
      <w:r>
        <w:t xml:space="preserve">Workload Identity Federation or service account keys for Cloud Run to fetch secrets at runtime without baking them into images</w:t>
      </w:r>
    </w:p>
    <w:p>
      <w:pPr>
        <w:pStyle w:val="ListParagraph"/>
        <w:numPr>
          <w:ilvl w:val="0"/>
          <w:numId w:val="2"/>
        </w:numPr>
        <w:spacing w:after="80"/>
      </w:pPr>
      <w:r>
        <w:t xml:space="preserve">JWT signing key rotation procedure documented and testable</w:t>
      </w:r>
    </w:p>
    <w:p>
      <w:pPr>
        <w:pStyle w:val="ListParagraph"/>
        <w:numPr>
          <w:ilvl w:val="0"/>
          <w:numId w:val="2"/>
        </w:numPr>
        <w:spacing w:after="80"/>
      </w:pPr>
      <w:r>
        <w:t xml:space="preserve">Environment-specific configuration separated from secrets (non-sensitive config in env vars, sensitive config in Secret Manager)</w:t>
      </w:r>
    </w:p>
    <w:p>
      <w:pPr>
        <w:pStyle w:val="Heading2"/>
      </w:pPr>
      <w:r>
        <w:t xml:space="preserve">8. Background jobs</w:t>
      </w:r>
    </w:p>
    <w:p>
      <w:pPr>
        <w:pStyle w:val="ListParagraph"/>
        <w:numPr>
          <w:ilvl w:val="0"/>
          <w:numId w:val="2"/>
        </w:numPr>
        <w:spacing w:after="80"/>
      </w:pPr>
      <w:r>
        <w:t xml:space="preserve">pg-boss schema deployed in the same Cloud SQL database, separate Postgres schema</w:t>
      </w:r>
    </w:p>
    <w:p>
      <w:pPr>
        <w:pStyle w:val="ListParagraph"/>
        <w:numPr>
          <w:ilvl w:val="0"/>
          <w:numId w:val="2"/>
        </w:numPr>
        <w:spacing w:after="80"/>
      </w:pPr>
      <w:r>
        <w:t xml:space="preserve">13 jobs configured: deadline reminders, recurring calendar items, status transitions, score recalculation (overall and per-framework), notification dispatch, email digest batch, PDF generation, version pruning, audit log archival, tenant provisioning, data export, failed-job dead-letter handling</w:t>
      </w:r>
    </w:p>
    <w:p>
      <w:pPr>
        <w:pStyle w:val="ListParagraph"/>
        <w:numPr>
          <w:ilvl w:val="0"/>
          <w:numId w:val="2"/>
        </w:numPr>
        <w:spacing w:after="80"/>
      </w:pPr>
      <w:r>
        <w:t xml:space="preserve">Job monitoring dashboard or query pattern so failed and stalled jobs are visible</w:t>
      </w:r>
    </w:p>
    <w:p>
      <w:pPr>
        <w:pStyle w:val="ListParagraph"/>
        <w:numPr>
          <w:ilvl w:val="0"/>
          <w:numId w:val="2"/>
        </w:numPr>
        <w:spacing w:after="80"/>
      </w:pPr>
      <w:r>
        <w:t xml:space="preserve">Dead-letter handling: jobs that fail N times are moved to a dead-letter state and trigger an alert</w:t>
      </w:r>
    </w:p>
    <w:p>
      <w:pPr>
        <w:pStyle w:val="ListParagraph"/>
        <w:numPr>
          <w:ilvl w:val="0"/>
          <w:numId w:val="2"/>
        </w:numPr>
        <w:spacing w:after="80"/>
      </w:pPr>
      <w:r>
        <w:t xml:space="preserve">Idempotency keys on every job so retries do not double-execute</w:t>
      </w:r>
    </w:p>
    <w:p>
      <w:pPr>
        <w:pStyle w:val="ListParagraph"/>
        <w:numPr>
          <w:ilvl w:val="0"/>
          <w:numId w:val="2"/>
        </w:numPr>
        <w:spacing w:after="80"/>
      </w:pPr>
      <w:r>
        <w:t xml:space="preserve">Transactional enqueue pattern: boss.send inside the same transaction as the source mutation, so a rolled-back mutation never produces a ghost job</w:t>
      </w:r>
    </w:p>
    <w:p>
      <w:pPr>
        <w:pStyle w:val="Heading2"/>
      </w:pPr>
      <w:r>
        <w:t xml:space="preserve">9. Observability and logging</w:t>
      </w:r>
    </w:p>
    <w:p>
      <w:pPr>
        <w:pStyle w:val="ListParagraph"/>
        <w:numPr>
          <w:ilvl w:val="0"/>
          <w:numId w:val="2"/>
        </w:numPr>
        <w:spacing w:after="80"/>
      </w:pPr>
      <w:r>
        <w:t xml:space="preserve">Cloud Logging with log sinks configured to stay in me-central2</w:t>
      </w:r>
    </w:p>
    <w:p>
      <w:pPr>
        <w:pStyle w:val="ListParagraph"/>
        <w:numPr>
          <w:ilvl w:val="0"/>
          <w:numId w:val="2"/>
        </w:numPr>
        <w:spacing w:after="80"/>
      </w:pPr>
      <w:r>
        <w:t xml:space="preserve">Structured logging in the Express app (JSON logs with request_id, tenant_id, user_id correlation)</w:t>
      </w:r>
    </w:p>
    <w:p>
      <w:pPr>
        <w:pStyle w:val="ListParagraph"/>
        <w:numPr>
          <w:ilvl w:val="0"/>
          <w:numId w:val="2"/>
        </w:numPr>
        <w:spacing w:after="80"/>
      </w:pPr>
      <w:r>
        <w:t xml:space="preserve">Cloud Monitoring dashboards for API latency, error rate, database connections, job queue depth, failed jobs</w:t>
      </w:r>
    </w:p>
    <w:p>
      <w:pPr>
        <w:pStyle w:val="ListParagraph"/>
        <w:numPr>
          <w:ilvl w:val="0"/>
          <w:numId w:val="2"/>
        </w:numPr>
        <w:spacing w:after="80"/>
      </w:pPr>
      <w:r>
        <w:t xml:space="preserve">Alerting policies for high error rate, database CPU saturation, job queue backup, deployment failures</w:t>
      </w:r>
    </w:p>
    <w:p>
      <w:pPr>
        <w:pStyle w:val="ListParagraph"/>
        <w:numPr>
          <w:ilvl w:val="0"/>
          <w:numId w:val="2"/>
        </w:numPr>
        <w:spacing w:after="80"/>
      </w:pPr>
      <w:r>
        <w:t xml:space="preserve">Log-based metrics for auth events (failed logins per minute, lockouts per day)</w:t>
      </w:r>
    </w:p>
    <w:p>
      <w:pPr>
        <w:pStyle w:val="ListParagraph"/>
        <w:numPr>
          <w:ilvl w:val="0"/>
          <w:numId w:val="2"/>
        </w:numPr>
        <w:spacing w:after="80"/>
      </w:pPr>
      <w:r>
        <w:t xml:space="preserve">Log retention policy aligned with SAMA, PDPL, and NCA rules</w:t>
      </w:r>
    </w:p>
    <w:p>
      <w:pPr>
        <w:pStyle w:val="ListParagraph"/>
        <w:numPr>
          <w:ilvl w:val="0"/>
          <w:numId w:val="2"/>
        </w:numPr>
        <w:spacing w:after="80"/>
      </w:pPr>
      <w:r>
        <w:t xml:space="preserve">Audit log entries written to the dedicated audit_log table, which is separate from Cloud Logging and has its own retention</w:t>
      </w:r>
    </w:p>
    <w:p>
      <w:pPr>
        <w:pStyle w:val="Heading2"/>
      </w:pPr>
      <w:r>
        <w:t xml:space="preserve">10. Load balancing and networking</w:t>
      </w:r>
    </w:p>
    <w:p>
      <w:pPr>
        <w:pStyle w:val="ListParagraph"/>
        <w:numPr>
          <w:ilvl w:val="0"/>
          <w:numId w:val="2"/>
        </w:numPr>
        <w:spacing w:after="80"/>
      </w:pPr>
      <w:r>
        <w:t xml:space="preserve">Global HTTPS Load Balancer (or regional, for the Saudi region only) fronting Cloud Run</w:t>
      </w:r>
    </w:p>
    <w:p>
      <w:pPr>
        <w:pStyle w:val="ListParagraph"/>
        <w:numPr>
          <w:ilvl w:val="0"/>
          <w:numId w:val="2"/>
        </w:numPr>
        <w:spacing w:after="80"/>
      </w:pPr>
      <w:r>
        <w:t xml:space="preserve">Managed SSL certificate for the custom domain</w:t>
      </w:r>
    </w:p>
    <w:p>
      <w:pPr>
        <w:pStyle w:val="ListParagraph"/>
        <w:numPr>
          <w:ilvl w:val="0"/>
          <w:numId w:val="2"/>
        </w:numPr>
        <w:spacing w:after="80"/>
      </w:pPr>
      <w:r>
        <w:t xml:space="preserve">Cloud CDN in front of static assets if the frontend is also served from GCP (optional)</w:t>
      </w:r>
    </w:p>
    <w:p>
      <w:pPr>
        <w:pStyle w:val="ListParagraph"/>
        <w:numPr>
          <w:ilvl w:val="0"/>
          <w:numId w:val="2"/>
        </w:numPr>
        <w:spacing w:after="80"/>
      </w:pPr>
      <w:r>
        <w:t xml:space="preserve">VPC connector so Cloud Run can reach Cloud SQL via private IP</w:t>
      </w:r>
    </w:p>
    <w:p>
      <w:pPr>
        <w:pStyle w:val="ListParagraph"/>
        <w:numPr>
          <w:ilvl w:val="0"/>
          <w:numId w:val="2"/>
        </w:numPr>
        <w:spacing w:after="80"/>
      </w:pPr>
      <w:r>
        <w:t xml:space="preserve">Cloud Armor rules for rate limiting on the public endpoint</w:t>
      </w:r>
    </w:p>
    <w:p>
      <w:pPr>
        <w:pStyle w:val="Heading2"/>
      </w:pPr>
      <w:r>
        <w:t xml:space="preserve">11. Disaster recovery and backups</w:t>
      </w:r>
    </w:p>
    <w:p>
      <w:pPr>
        <w:pStyle w:val="ListParagraph"/>
        <w:numPr>
          <w:ilvl w:val="0"/>
          <w:numId w:val="2"/>
        </w:numPr>
        <w:spacing w:after="80"/>
      </w:pPr>
      <w:r>
        <w:t xml:space="preserve">Cloud SQL automated backups with point-in-time recovery, retained in-region</w:t>
      </w:r>
    </w:p>
    <w:p>
      <w:pPr>
        <w:pStyle w:val="ListParagraph"/>
        <w:numPr>
          <w:ilvl w:val="0"/>
          <w:numId w:val="2"/>
        </w:numPr>
        <w:spacing w:after="80"/>
      </w:pPr>
      <w:r>
        <w:t xml:space="preserve">Documented recovery procedure tested at least once before M5 exit</w:t>
      </w:r>
    </w:p>
    <w:p>
      <w:pPr>
        <w:pStyle w:val="ListParagraph"/>
        <w:numPr>
          <w:ilvl w:val="0"/>
          <w:numId w:val="2"/>
        </w:numPr>
        <w:spacing w:after="80"/>
      </w:pPr>
      <w:r>
        <w:t xml:space="preserve">Recovery time objective (RTO) and recovery point objective (RPO) defined and documented</w:t>
      </w:r>
    </w:p>
    <w:p>
      <w:pPr>
        <w:pStyle w:val="ListParagraph"/>
        <w:numPr>
          <w:ilvl w:val="0"/>
          <w:numId w:val="2"/>
        </w:numPr>
        <w:spacing w:after="80"/>
      </w:pPr>
      <w:r>
        <w:t xml:space="preserve">Cloud Storage object versioning as a backstop for accidental deletions</w:t>
      </w:r>
    </w:p>
    <w:p>
      <w:pPr>
        <w:pStyle w:val="ListParagraph"/>
        <w:numPr>
          <w:ilvl w:val="0"/>
          <w:numId w:val="2"/>
        </w:numPr>
        <w:spacing w:after="80"/>
      </w:pPr>
      <w:r>
        <w:t xml:space="preserve">Terraform or equivalent infrastructure-as-code so the full environment can be rebuilt from scratch if needed</w:t>
      </w:r>
    </w:p>
    <w:p>
      <w:pPr>
        <w:pStyle w:val="Heading2"/>
      </w:pPr>
      <w:r>
        <w:t xml:space="preserve">12. Infrastructure as code</w:t>
      </w:r>
    </w:p>
    <w:p>
      <w:pPr>
        <w:pStyle w:val="ListParagraph"/>
        <w:numPr>
          <w:ilvl w:val="0"/>
          <w:numId w:val="2"/>
        </w:numPr>
        <w:spacing w:after="80"/>
      </w:pPr>
      <w:r>
        <w:t xml:space="preserve">Terraform modules covering project setup, VPC, Cloud SQL, Cloud Run, Cloud Storage, Secret Manager, IAM bindings</w:t>
      </w:r>
    </w:p>
    <w:p>
      <w:pPr>
        <w:pStyle w:val="ListParagraph"/>
        <w:numPr>
          <w:ilvl w:val="0"/>
          <w:numId w:val="2"/>
        </w:numPr>
        <w:spacing w:after="80"/>
      </w:pPr>
      <w:r>
        <w:t xml:space="preserve">State stored in a Cloud Storage bucket with versioning and locking (in-region)</w:t>
      </w:r>
    </w:p>
    <w:p>
      <w:pPr>
        <w:pStyle w:val="ListParagraph"/>
        <w:numPr>
          <w:ilvl w:val="0"/>
          <w:numId w:val="2"/>
        </w:numPr>
        <w:spacing w:after="80"/>
      </w:pPr>
      <w:r>
        <w:t xml:space="preserve">Separate workspaces for dev, staging, and production</w:t>
      </w:r>
    </w:p>
    <w:p>
      <w:pPr>
        <w:pStyle w:val="ListParagraph"/>
        <w:numPr>
          <w:ilvl w:val="0"/>
          <w:numId w:val="2"/>
        </w:numPr>
        <w:spacing w:after="80"/>
      </w:pPr>
      <w:r>
        <w:t xml:space="preserve">Documented procedure for spinning up a new tenant-ready environment</w:t>
      </w:r>
    </w:p>
    <w:p>
      <w:pPr>
        <w:pStyle w:val="Heading2"/>
      </w:pPr>
      <w:r>
        <w:t xml:space="preserve">13. Compliance and audit artifacts</w:t>
      </w:r>
    </w:p>
    <w:p>
      <w:pPr>
        <w:pStyle w:val="ListParagraph"/>
        <w:numPr>
          <w:ilvl w:val="0"/>
          <w:numId w:val="2"/>
        </w:numPr>
        <w:spacing w:after="80"/>
      </w:pPr>
      <w:r>
        <w:t xml:space="preserve">Data inventory: list of every table, bucket, and log sink with a classification of what data it contains (personal, regulated, internal)</w:t>
      </w:r>
    </w:p>
    <w:p>
      <w:pPr>
        <w:pStyle w:val="ListParagraph"/>
        <w:numPr>
          <w:ilvl w:val="0"/>
          <w:numId w:val="2"/>
        </w:numPr>
        <w:spacing w:after="80"/>
      </w:pPr>
      <w:r>
        <w:t xml:space="preserve">Cross-border transfer log: every external call the platform makes (email providers, Slack webhooks, any third-party API) documented with the purpose, data transferred, and the legal basis</w:t>
      </w:r>
    </w:p>
    <w:p>
      <w:pPr>
        <w:pStyle w:val="ListParagraph"/>
        <w:numPr>
          <w:ilvl w:val="0"/>
          <w:numId w:val="2"/>
        </w:numPr>
        <w:spacing w:after="80"/>
      </w:pPr>
      <w:r>
        <w:t xml:space="preserve">SAMA contractual mapping document adapted from Google Cloud's published mapping, referencing the specific controls implemented</w:t>
      </w:r>
    </w:p>
    <w:p>
      <w:pPr>
        <w:pStyle w:val="ListParagraph"/>
        <w:numPr>
          <w:ilvl w:val="0"/>
          <w:numId w:val="2"/>
        </w:numPr>
        <w:spacing w:after="80"/>
      </w:pPr>
      <w:r>
        <w:t xml:space="preserve">Access review procedure: who has access to what, reviewed quarterly</w:t>
      </w:r>
    </w:p>
    <w:p>
      <w:pPr>
        <w:pStyle w:val="ListParagraph"/>
        <w:numPr>
          <w:ilvl w:val="0"/>
          <w:numId w:val="2"/>
        </w:numPr>
        <w:spacing w:after="80"/>
      </w:pPr>
      <w:r>
        <w:t xml:space="preserve">Incident response runbook covering data breach, prolonged outage, and key compromise scenarios</w:t>
      </w:r>
    </w:p>
    <w:p>
      <w:pPr>
        <w:spacing w:after="120"/>
      </w:pPr>
      <w:r>
        <w:t xml:space="preserve">The detailed breakdown above is the definitive list. Items not in this section are not in the engineer's scope. If something surfaces during Discovery that should be added, it is tracked as an explicit scope change with a pricing impact.</w:t>
      </w:r>
    </w:p>
    <w:p>
      <w:pPr>
        <w:pStyle w:val="Heading1"/>
      </w:pPr>
      <w:r>
        <w:t xml:space="preserve">3. Stack</w:t>
      </w:r>
    </w:p>
    <w:p>
      <w:pPr>
        <w:pStyle w:val="Heading2"/>
      </w:pPr>
      <w:r>
        <w:t xml:space="preserve">Frontend (already built)</w:t>
      </w:r>
    </w:p>
    <w:p>
      <w:pPr>
        <w:pStyle w:val="ListParagraph"/>
        <w:numPr>
          <w:ilvl w:val="0"/>
          <w:numId w:val="2"/>
        </w:numPr>
        <w:spacing w:after="80"/>
      </w:pPr>
      <w:r>
        <w:t xml:space="preserve">Next.js 16, React 19, TypeScript 5</w:t>
      </w:r>
    </w:p>
    <w:p>
      <w:pPr>
        <w:pStyle w:val="ListParagraph"/>
        <w:numPr>
          <w:ilvl w:val="0"/>
          <w:numId w:val="2"/>
        </w:numPr>
        <w:spacing w:after="80"/>
      </w:pPr>
      <w:r>
        <w:t xml:space="preserve">Tailwind CSS 4</w:t>
      </w:r>
    </w:p>
    <w:p>
      <w:pPr>
        <w:pStyle w:val="ListParagraph"/>
        <w:numPr>
          <w:ilvl w:val="0"/>
          <w:numId w:val="2"/>
        </w:numPr>
        <w:spacing w:after="80"/>
      </w:pPr>
      <w:r>
        <w:t xml:space="preserve">Zustand 5 for state</w:t>
      </w:r>
    </w:p>
    <w:p>
      <w:pPr>
        <w:pStyle w:val="ListParagraph"/>
        <w:numPr>
          <w:ilvl w:val="0"/>
          <w:numId w:val="2"/>
        </w:numPr>
        <w:spacing w:after="80"/>
      </w:pPr>
      <w:r>
        <w:t xml:space="preserve">React Hook Form and Zod for forms and validation</w:t>
      </w:r>
    </w:p>
    <w:p>
      <w:pPr>
        <w:pStyle w:val="ListParagraph"/>
        <w:numPr>
          <w:ilvl w:val="0"/>
          <w:numId w:val="2"/>
        </w:numPr>
        <w:spacing w:after="80"/>
      </w:pPr>
      <w:r>
        <w:t xml:space="preserve">Hand-built CSS and SVG for all charts, no charting libraries</w:t>
      </w:r>
    </w:p>
    <w:p>
      <w:pPr>
        <w:pStyle w:val="Heading2"/>
      </w:pPr>
      <w:r>
        <w:t xml:space="preserve">Backend (to be built)</w:t>
      </w:r>
    </w:p>
    <w:p>
      <w:pPr>
        <w:pStyle w:val="ListParagraph"/>
        <w:numPr>
          <w:ilvl w:val="0"/>
          <w:numId w:val="2"/>
        </w:numPr>
        <w:spacing w:after="80"/>
      </w:pPr>
      <w:r>
        <w:t xml:space="preserve">Express with TypeScript, three-layer pattern: routes, controllers, services, repositories</w:t>
      </w:r>
    </w:p>
    <w:p>
      <w:pPr>
        <w:pStyle w:val="ListParagraph"/>
        <w:numPr>
          <w:ilvl w:val="0"/>
          <w:numId w:val="2"/>
        </w:numPr>
        <w:spacing w:after="80"/>
      </w:pPr>
      <w:r>
        <w:t xml:space="preserve">Cloud SQL for Postgres 15+ with row-level security on every tenant-scoped table</w:t>
      </w:r>
    </w:p>
    <w:p>
      <w:pPr>
        <w:pStyle w:val="ListParagraph"/>
        <w:numPr>
          <w:ilvl w:val="0"/>
          <w:numId w:val="2"/>
        </w:numPr>
        <w:spacing w:after="80"/>
      </w:pPr>
      <w:r>
        <w:t xml:space="preserve">Self-hosted auth on Cloud Run (GoTrue or equivalent), JWT with tenant_id and role in custom claims</w:t>
      </w:r>
    </w:p>
    <w:p>
      <w:pPr>
        <w:pStyle w:val="ListParagraph"/>
        <w:numPr>
          <w:ilvl w:val="0"/>
          <w:numId w:val="2"/>
        </w:numPr>
        <w:spacing w:after="80"/>
      </w:pPr>
      <w:r>
        <w:t xml:space="preserve">pg-boss for background jobs, 13 jobs total, running on Cloud Run workers</w:t>
      </w:r>
    </w:p>
    <w:p>
      <w:pPr>
        <w:pStyle w:val="ListParagraph"/>
        <w:numPr>
          <w:ilvl w:val="0"/>
          <w:numId w:val="2"/>
        </w:numPr>
        <w:spacing w:after="80"/>
      </w:pPr>
      <w:r>
        <w:t xml:space="preserve">pdflatex for English PDFs, xelatex with polyglossia for Arabic and RTL</w:t>
      </w:r>
    </w:p>
    <w:p>
      <w:pPr>
        <w:pStyle w:val="ListParagraph"/>
        <w:numPr>
          <w:ilvl w:val="0"/>
          <w:numId w:val="2"/>
        </w:numPr>
        <w:spacing w:after="80"/>
      </w:pPr>
      <w:r>
        <w:t xml:space="preserve">Cloud Storage for attachments and generated PDFs, tenant-scoped buckets</w:t>
      </w:r>
    </w:p>
    <w:p>
      <w:pPr>
        <w:pStyle w:val="ListParagraph"/>
        <w:numPr>
          <w:ilvl w:val="0"/>
          <w:numId w:val="2"/>
        </w:numPr>
        <w:spacing w:after="80"/>
      </w:pPr>
      <w:r>
        <w:t xml:space="preserve">Infrastructure provisioned via Terraform so the stack is reproducible across environments</w:t>
      </w:r>
    </w:p>
    <w:p>
      <w:pPr>
        <w:pStyle w:val="Heading1"/>
      </w:pPr>
      <w:r>
        <w:t xml:space="preserve">4. Scope</w:t>
      </w:r>
    </w:p>
    <w:p>
      <w:pPr>
        <w:pStyle w:val="Heading2"/>
      </w:pPr>
      <w:r>
        <w:t xml:space="preserve">In scope</w:t>
      </w:r>
    </w:p>
    <w:p>
      <w:pPr>
        <w:pStyle w:val="ListParagraph"/>
        <w:numPr>
          <w:ilvl w:val="0"/>
          <w:numId w:val="2"/>
        </w:numPr>
        <w:spacing w:after="80"/>
      </w:pPr>
      <w:r>
        <w:t xml:space="preserve">Correspondence-based compliance tracking across SAMA, CMA, IA, ZATCA, MISA, SAFIU, CITC, and Sharia Board. Letters, observations, audits, reports, and the obligations that flow from them.</w:t>
      </w:r>
    </w:p>
    <w:p>
      <w:pPr>
        <w:pStyle w:val="ListParagraph"/>
        <w:numPr>
          <w:ilvl w:val="0"/>
          <w:numId w:val="2"/>
        </w:numPr>
        <w:spacing w:after="80"/>
      </w:pPr>
      <w:r>
        <w:t xml:space="preserve">Full CRUD across 14 domain modules present in the frontend: audits, observations, risks, policies, circulars, SAMA letters, correspondence, advisory, calendar, training, team, reports, settings, messaging.</w:t>
      </w:r>
    </w:p>
    <w:p>
      <w:pPr>
        <w:pStyle w:val="ListParagraph"/>
        <w:numPr>
          <w:ilvl w:val="0"/>
          <w:numId w:val="2"/>
        </w:numPr>
        <w:spacing w:after="80"/>
      </w:pPr>
      <w:r>
        <w:t xml:space="preserve">Multi-tenancy with row-level security enforced at the database level on every tenant-scoped table.</w:t>
      </w:r>
    </w:p>
    <w:p>
      <w:pPr>
        <w:pStyle w:val="ListParagraph"/>
        <w:numPr>
          <w:ilvl w:val="0"/>
          <w:numId w:val="2"/>
        </w:numPr>
        <w:spacing w:after="80"/>
      </w:pPr>
      <w:r>
        <w:t xml:space="preserve">Role-based access control with three roles and 25 permissions as defined in the frontend.</w:t>
      </w:r>
    </w:p>
    <w:p>
      <w:pPr>
        <w:pStyle w:val="ListParagraph"/>
        <w:numPr>
          <w:ilvl w:val="0"/>
          <w:numId w:val="2"/>
        </w:numPr>
        <w:spacing w:after="80"/>
      </w:pPr>
      <w:r>
        <w:t xml:space="preserve">Compliance scoring engine with two tracks: an org-wide health score with five weighted components, and per-framework scores with configurable weights and renormalization for missing components. Scoring must match the frontend engine to 0.1 precision.</w:t>
      </w:r>
    </w:p>
    <w:p>
      <w:pPr>
        <w:pStyle w:val="ListParagraph"/>
        <w:numPr>
          <w:ilvl w:val="0"/>
          <w:numId w:val="2"/>
        </w:numPr>
        <w:spacing w:after="80"/>
      </w:pPr>
      <w:r>
        <w:t xml:space="preserve">GitHub-style version control on every mutable entity. Versions are viewable, diffable, and restorable. Restore creates a new version and a corresponding audit entry.</w:t>
      </w:r>
    </w:p>
    <w:p>
      <w:pPr>
        <w:pStyle w:val="ListParagraph"/>
        <w:numPr>
          <w:ilvl w:val="0"/>
          <w:numId w:val="2"/>
        </w:numPr>
        <w:spacing w:after="80"/>
      </w:pPr>
      <w:r>
        <w:t xml:space="preserve">Central audit log capturing every database mutation with before and after JSON, changed fields, actor, and request metadata. Log retention in-region per SAMA, PDPL, and NCA rules.</w:t>
      </w:r>
    </w:p>
    <w:p>
      <w:pPr>
        <w:pStyle w:val="ListParagraph"/>
        <w:numPr>
          <w:ilvl w:val="0"/>
          <w:numId w:val="2"/>
        </w:numPr>
        <w:spacing w:after="80"/>
      </w:pPr>
      <w:r>
        <w:t xml:space="preserve">In-app messaging scoped to a tenant with threads, participants, and unread counts.</w:t>
      </w:r>
    </w:p>
    <w:p>
      <w:pPr>
        <w:pStyle w:val="ListParagraph"/>
        <w:numPr>
          <w:ilvl w:val="0"/>
          <w:numId w:val="2"/>
        </w:numPr>
        <w:spacing w:after="80"/>
      </w:pPr>
      <w:r>
        <w:t xml:space="preserve">Smart notification system covering 26 trigger types sourced from the frontend notification engine. Delivery in-app, email, and Slack with per-user per-trigger preferences and daily digest support.</w:t>
      </w:r>
    </w:p>
    <w:p>
      <w:pPr>
        <w:pStyle w:val="ListParagraph"/>
        <w:numPr>
          <w:ilvl w:val="0"/>
          <w:numId w:val="2"/>
        </w:numPr>
        <w:spacing w:after="80"/>
      </w:pPr>
      <w:r>
        <w:t xml:space="preserve">LaTeX PDF generation across 7 report templates plus a generic fallback, with Arabic and RTL support via xelatex.</w:t>
      </w:r>
    </w:p>
    <w:p>
      <w:pPr>
        <w:pStyle w:val="ListParagraph"/>
        <w:numPr>
          <w:ilvl w:val="0"/>
          <w:numId w:val="2"/>
        </w:numPr>
        <w:spacing w:after="80"/>
      </w:pPr>
      <w:r>
        <w:t xml:space="preserve">Background jobs for deadline reminders, recurring calendar items, status transitions, score recalculation, notification dispatch, email digest batching, PDF generation, and version pruning.</w:t>
      </w:r>
    </w:p>
    <w:p>
      <w:pPr>
        <w:pStyle w:val="ListParagraph"/>
        <w:numPr>
          <w:ilvl w:val="0"/>
          <w:numId w:val="2"/>
        </w:numPr>
        <w:spacing w:after="80"/>
      </w:pPr>
      <w:r>
        <w:t xml:space="preserve">Normalized status values via a configurable mapping table on import.</w:t>
      </w:r>
    </w:p>
    <w:p>
      <w:pPr>
        <w:pStyle w:val="ListParagraph"/>
        <w:numPr>
          <w:ilvl w:val="0"/>
          <w:numId w:val="2"/>
        </w:numPr>
        <w:spacing w:after="80"/>
      </w:pPr>
      <w:r>
        <w:t xml:space="preserve">Quarterly Saudization summary snapshots, not raw employee rows.</w:t>
      </w:r>
    </w:p>
    <w:p>
      <w:pPr>
        <w:pStyle w:val="ListParagraph"/>
        <w:numPr>
          <w:ilvl w:val="0"/>
          <w:numId w:val="2"/>
        </w:numPr>
        <w:spacing w:after="80"/>
      </w:pPr>
      <w:r>
        <w:t xml:space="preserve">Configurable training programs, not hardcoded.</w:t>
      </w:r>
    </w:p>
    <w:p>
      <w:pPr>
        <w:pStyle w:val="ListParagraph"/>
        <w:numPr>
          <w:ilvl w:val="0"/>
          <w:numId w:val="2"/>
        </w:numPr>
        <w:spacing w:after="80"/>
      </w:pPr>
      <w:r>
        <w:t xml:space="preserve">Infrastructure provisioning via Terraform or equivalent, delivered as part of M1.</w:t>
      </w:r>
    </w:p>
    <w:p>
      <w:pPr>
        <w:pStyle w:val="Heading2"/>
      </w:pPr>
      <w:r>
        <w:t xml:space="preserve">Out of scope</w:t>
      </w:r>
    </w:p>
    <w:p>
      <w:pPr>
        <w:pStyle w:val="ListParagraph"/>
        <w:numPr>
          <w:ilvl w:val="0"/>
          <w:numId w:val="2"/>
        </w:numPr>
        <w:spacing w:after="80"/>
      </w:pPr>
      <w:r>
        <w:t xml:space="preserve">AI auto-parsing of SAMA documents.</w:t>
      </w:r>
    </w:p>
    <w:p>
      <w:pPr>
        <w:pStyle w:val="ListParagraph"/>
        <w:numPr>
          <w:ilvl w:val="0"/>
          <w:numId w:val="2"/>
        </w:numPr>
        <w:spacing w:after="80"/>
      </w:pPr>
      <w:r>
        <w:t xml:space="preserve">AI auto-assessment of compliance quality.</w:t>
      </w:r>
    </w:p>
    <w:p>
      <w:pPr>
        <w:pStyle w:val="ListParagraph"/>
        <w:numPr>
          <w:ilvl w:val="0"/>
          <w:numId w:val="2"/>
        </w:numPr>
        <w:spacing w:after="80"/>
      </w:pPr>
      <w:r>
        <w:t xml:space="preserve">Framework-based compliance tracking as a separate scoring track. Non-correspondence frameworks like SAMA CSF, SDAIA PDPL, and NCA ECC are handled as tags on correspondence items, not as parallel scoring systems.</w:t>
      </w:r>
    </w:p>
    <w:p>
      <w:pPr>
        <w:pStyle w:val="ListParagraph"/>
        <w:numPr>
          <w:ilvl w:val="0"/>
          <w:numId w:val="2"/>
        </w:numPr>
        <w:spacing w:after="80"/>
      </w:pPr>
      <w:r>
        <w:t xml:space="preserve">Legacy data migration. The client is on Excel and Google Drive today, data entry starts manual.</w:t>
      </w:r>
    </w:p>
    <w:p>
      <w:pPr>
        <w:pStyle w:val="ListParagraph"/>
        <w:numPr>
          <w:ilvl w:val="0"/>
          <w:numId w:val="2"/>
        </w:numPr>
        <w:spacing w:after="80"/>
      </w:pPr>
      <w:r>
        <w:t xml:space="preserve">Realtime cross-device sync (WebSocket or equivalent). Listed as an open question for a follow-up phase.</w:t>
      </w:r>
    </w:p>
    <w:p>
      <w:pPr>
        <w:pStyle w:val="ListParagraph"/>
        <w:numPr>
          <w:ilvl w:val="0"/>
          <w:numId w:val="2"/>
        </w:numPr>
        <w:spacing w:after="80"/>
      </w:pPr>
      <w:r>
        <w:t xml:space="preserve">Disaster recovery across multiple Saudi regions. Single-region deployment for the initial build.</w:t>
      </w:r>
    </w:p>
    <w:p>
      <w:pPr>
        <w:pStyle w:val="Heading1"/>
      </w:pPr>
      <w:r>
        <w:t xml:space="preserve">5.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360"/>
      </w:tblGrid>
      <w:tr>
        <w:trPr>
          <w:tblHeader/>
        </w:trPr>
        <w:tc>
          <w:tcPr>
            <w:tcW w:type="dxa" w:w="1600"/>
            <w:tcBorders>
              <w:top w:val="single" w:color="CBD5E1" w:sz="4"/>
              <w:left w:val="single" w:color="CBD5E1" w:sz="4"/>
              <w:bottom w:val="single" w:color="CBD5E1" w:sz="4"/>
              <w:right w:val="single" w:color="CBD5E1" w:sz="4"/>
            </w:tcBorders>
            <w:shd w:fill="047857" w:val="clear"/>
            <w:tcMar>
              <w:top w:type="dxa" w:w="120"/>
              <w:left w:type="dxa" w:w="160"/>
              <w:bottom w:type="dxa" w:w="120"/>
              <w:right w:type="dxa" w:w="160"/>
            </w:tcMar>
          </w:tcPr>
          <w:p>
            <w:r>
              <w:rPr>
                <w:b/>
                <w:bCs/>
                <w:color w:val="FFFFFF"/>
                <w:sz w:val="22"/>
                <w:szCs w:val="22"/>
              </w:rPr>
              <w:t xml:space="preserve">Phase</w:t>
            </w:r>
          </w:p>
        </w:tc>
        <w:tc>
          <w:tcPr>
            <w:tcW w:type="dxa" w:w="2600"/>
            <w:tcBorders>
              <w:top w:val="single" w:color="CBD5E1" w:sz="4"/>
              <w:left w:val="single" w:color="CBD5E1" w:sz="4"/>
              <w:bottom w:val="single" w:color="CBD5E1" w:sz="4"/>
              <w:right w:val="single" w:color="CBD5E1" w:sz="4"/>
            </w:tcBorders>
            <w:shd w:fill="047857" w:val="clear"/>
            <w:tcMar>
              <w:top w:type="dxa" w:w="120"/>
              <w:left w:type="dxa" w:w="160"/>
              <w:bottom w:type="dxa" w:w="120"/>
              <w:right w:type="dxa" w:w="160"/>
            </w:tcMar>
          </w:tcPr>
          <w:p>
            <w:r>
              <w:rPr>
                <w:b/>
                <w:bCs/>
                <w:color w:val="FFFFFF"/>
                <w:sz w:val="22"/>
                <w:szCs w:val="22"/>
              </w:rPr>
              <w:t xml:space="preserve">Goal</w:t>
            </w:r>
          </w:p>
        </w:tc>
        <w:tc>
          <w:tcPr>
            <w:tcW w:type="dxa" w:w="2800"/>
            <w:tcBorders>
              <w:top w:val="single" w:color="CBD5E1" w:sz="4"/>
              <w:left w:val="single" w:color="CBD5E1" w:sz="4"/>
              <w:bottom w:val="single" w:color="CBD5E1" w:sz="4"/>
              <w:right w:val="single" w:color="CBD5E1" w:sz="4"/>
            </w:tcBorders>
            <w:shd w:fill="047857" w:val="clear"/>
            <w:tcMar>
              <w:top w:type="dxa" w:w="120"/>
              <w:left w:type="dxa" w:w="160"/>
              <w:bottom w:type="dxa" w:w="120"/>
              <w:right w:type="dxa" w:w="160"/>
            </w:tcMar>
          </w:tcPr>
          <w:p>
            <w:r>
              <w:rPr>
                <w:b/>
                <w:bCs/>
                <w:color w:val="FFFFFF"/>
                <w:sz w:val="22"/>
                <w:szCs w:val="22"/>
              </w:rPr>
              <w:t xml:space="preserve">Duration</w:t>
            </w:r>
          </w:p>
        </w:tc>
        <w:tc>
          <w:tcPr>
            <w:tcW w:type="dxa" w:w="2360"/>
            <w:tcBorders>
              <w:top w:val="single" w:color="CBD5E1" w:sz="4"/>
              <w:left w:val="single" w:color="CBD5E1" w:sz="4"/>
              <w:bottom w:val="single" w:color="CBD5E1" w:sz="4"/>
              <w:right w:val="single" w:color="CBD5E1" w:sz="4"/>
            </w:tcBorders>
            <w:shd w:fill="047857" w:val="clear"/>
            <w:tcMar>
              <w:top w:type="dxa" w:w="120"/>
              <w:left w:type="dxa" w:w="160"/>
              <w:bottom w:type="dxa" w:w="120"/>
              <w:right w:type="dxa" w:w="160"/>
            </w:tcMar>
          </w:tcPr>
          <w:p>
            <w:r>
              <w:rPr>
                <w:b/>
                <w:bCs/>
                <w:color w:val="FFFFFF"/>
                <w:sz w:val="22"/>
                <w:szCs w:val="22"/>
              </w:rPr>
              <w:t xml:space="preserve">Primary exit gate</w:t>
            </w:r>
          </w:p>
        </w:tc>
      </w:tr>
      <w:tr>
        <w:tc>
          <w:tcPr>
            <w:tcW w:type="dxa" w:w="16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sz w:val="20"/>
                <w:szCs w:val="20"/>
              </w:rPr>
              <w:t xml:space="preserve">Trial</w:t>
            </w:r>
          </w:p>
        </w:tc>
        <w:tc>
          <w:tcPr>
            <w:tcW w:type="dxa" w:w="26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Prove the engineer can ship under real conditions</w:t>
            </w:r>
          </w:p>
        </w:tc>
        <w:tc>
          <w:tcPr>
            <w:tcW w:type="dxa" w:w="28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1 week</w:t>
            </w:r>
          </w:p>
        </w:tc>
        <w:tc>
          <w:tcPr>
            <w:tcW w:type="dxa" w:w="23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One scoped module delivered and merged</w:t>
            </w:r>
          </w:p>
        </w:tc>
      </w:tr>
      <w:tr>
        <w:tc>
          <w:tcPr>
            <w:tcW w:type="dxa" w:w="16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sz w:val="20"/>
                <w:szCs w:val="20"/>
              </w:rPr>
              <w:t xml:space="preserve">1. Discovery</w:t>
            </w:r>
          </w:p>
        </w:tc>
        <w:tc>
          <w:tcPr>
            <w:tcW w:type="dxa" w:w="26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Align on architecture, domain model, scoring logic</w:t>
            </w:r>
          </w:p>
        </w:tc>
        <w:tc>
          <w:tcPr>
            <w:tcW w:type="dxa" w:w="28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1 week</w:t>
            </w:r>
          </w:p>
        </w:tc>
        <w:tc>
          <w:tcPr>
            <w:tcW w:type="dxa" w:w="23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Final agreed ERD, open questions assigned</w:t>
            </w:r>
          </w:p>
        </w:tc>
      </w:tr>
      <w:tr>
        <w:tc>
          <w:tcPr>
            <w:tcW w:type="dxa" w:w="16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sz w:val="20"/>
                <w:szCs w:val="20"/>
              </w:rPr>
              <w:t xml:space="preserve">2. Build</w:t>
            </w:r>
          </w:p>
        </w:tc>
        <w:tc>
          <w:tcPr>
            <w:tcW w:type="dxa" w:w="26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Replace frontend mock layer with production backend on GCP Saudi region</w:t>
            </w:r>
          </w:p>
        </w:tc>
        <w:tc>
          <w:tcPr>
            <w:tcW w:type="dxa" w:w="28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8 weeks</w:t>
            </w:r>
          </w:p>
        </w:tc>
        <w:tc>
          <w:tcPr>
            <w:tcW w:type="dxa" w:w="23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All Zustand stores on real APIs, feature parity</w:t>
            </w:r>
          </w:p>
        </w:tc>
      </w:tr>
      <w:tr>
        <w:tc>
          <w:tcPr>
            <w:tcW w:type="dxa" w:w="16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sz w:val="20"/>
                <w:szCs w:val="20"/>
              </w:rPr>
              <w:t xml:space="preserve">3. Pilot</w:t>
            </w:r>
          </w:p>
        </w:tc>
        <w:tc>
          <w:tcPr>
            <w:tcW w:type="dxa" w:w="26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UAT with the compliance department on real data</w:t>
            </w:r>
          </w:p>
        </w:tc>
        <w:tc>
          <w:tcPr>
            <w:tcW w:type="dxa" w:w="28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3 weeks</w:t>
            </w:r>
          </w:p>
        </w:tc>
        <w:tc>
          <w:tcPr>
            <w:tcW w:type="dxa" w:w="23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90% of correspondence logged in-platform</w:t>
            </w:r>
          </w:p>
        </w:tc>
      </w:tr>
      <w:tr>
        <w:tc>
          <w:tcPr>
            <w:tcW w:type="dxa" w:w="16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sz w:val="20"/>
                <w:szCs w:val="20"/>
              </w:rPr>
              <w:t xml:space="preserve">4. Scale</w:t>
            </w:r>
          </w:p>
        </w:tc>
        <w:tc>
          <w:tcPr>
            <w:tcW w:type="dxa" w:w="26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Multi-tenant SaaS readiness</w:t>
            </w:r>
          </w:p>
        </w:tc>
        <w:tc>
          <w:tcPr>
            <w:tcW w:type="dxa" w:w="28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3 weeks</w:t>
            </w:r>
          </w:p>
        </w:tc>
        <w:tc>
          <w:tcPr>
            <w:tcW w:type="dxa" w:w="23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New tenant onboarded in under one business day</w:t>
            </w:r>
          </w:p>
        </w:tc>
      </w:tr>
    </w:tbl>
    <w:p>
      <w:pPr>
        <w:spacing w:after="240"/>
      </w:pPr>
      <w:r>
        <w:t xml:space="preserve"/>
      </w:r>
    </w:p>
    <w:p>
      <w:pPr>
        <w:spacing w:after="120"/>
      </w:pPr>
      <w:r>
        <w:t xml:space="preserve">Delivery is milestone-pinned rather than date-pinned. Phases run back-to-back with payment and review tied to milestone exit gates.</w:t>
      </w:r>
    </w:p>
    <w:p>
      <w:pPr>
        <w:pStyle w:val="Heading1"/>
      </w:pPr>
      <w:r>
        <w:t xml:space="preserve">6. Trial period</w:t>
      </w:r>
    </w:p>
    <w:p>
      <w:pPr>
        <w:spacing w:after="120"/>
      </w:pPr>
      <w:r>
        <w:t xml:space="preserve">Before committing to the full engagement, the engineer completes a paid trial. The trial is not a throwaway. Work produced during the trial becomes part of the production codebase if it meets the criteria below.</w:t>
      </w:r>
    </w:p>
    <w:p>
      <w:pPr>
        <w:pStyle w:val="Heading2"/>
      </w:pPr>
      <w:r>
        <w:t xml:space="preserve">Trial scope</w:t>
      </w:r>
    </w:p>
    <w:p>
      <w:pPr>
        <w:spacing w:after="120"/>
      </w:pPr>
      <w:r>
        <w:t xml:space="preserve">The engineer builds one self-contained module end to end against the existing frontend contract. Recommended module: Observations Tracker. It exercises schema design, API endpoints, role-based access, row-level security, versioning, and at least one background job.</w:t>
      </w:r>
    </w:p>
    <w:p>
      <w:pPr>
        <w:pStyle w:val="ListParagraph"/>
        <w:numPr>
          <w:ilvl w:val="0"/>
          <w:numId w:val="2"/>
        </w:numPr>
        <w:spacing w:after="80"/>
      </w:pPr>
      <w:r>
        <w:t xml:space="preserve">PostgreSQL schema for the module with row-level security applied</w:t>
      </w:r>
    </w:p>
    <w:p>
      <w:pPr>
        <w:pStyle w:val="ListParagraph"/>
        <w:numPr>
          <w:ilvl w:val="0"/>
          <w:numId w:val="2"/>
        </w:numPr>
        <w:spacing w:after="80"/>
      </w:pPr>
      <w:r>
        <w:t xml:space="preserve">Full set of API endpoints matching the Zustand store shape</w:t>
      </w:r>
    </w:p>
    <w:p>
      <w:pPr>
        <w:pStyle w:val="ListParagraph"/>
        <w:numPr>
          <w:ilvl w:val="0"/>
          <w:numId w:val="2"/>
        </w:numPr>
        <w:spacing w:after="80"/>
      </w:pPr>
      <w:r>
        <w:t xml:space="preserve">Versioning and audit log (entity_versions + audit_log + diff + restore) scoped to Observations</w:t>
      </w:r>
    </w:p>
    <w:p>
      <w:pPr>
        <w:pStyle w:val="ListParagraph"/>
        <w:numPr>
          <w:ilvl w:val="0"/>
          <w:numId w:val="2"/>
        </w:numPr>
        <w:spacing w:after="80"/>
      </w:pPr>
      <w:r>
        <w:t xml:space="preserve">One working background job (status transition or reminder)</w:t>
      </w:r>
    </w:p>
    <w:p>
      <w:pPr>
        <w:pStyle w:val="ListParagraph"/>
        <w:numPr>
          <w:ilvl w:val="0"/>
          <w:numId w:val="2"/>
        </w:numPr>
        <w:spacing w:after="80"/>
      </w:pPr>
      <w:r>
        <w:t xml:space="preserve">Basic tests covering the happy path and one edge case</w:t>
      </w:r>
    </w:p>
    <w:p>
      <w:pPr>
        <w:pStyle w:val="ListParagraph"/>
        <w:numPr>
          <w:ilvl w:val="0"/>
          <w:numId w:val="2"/>
        </w:numPr>
        <w:spacing w:after="80"/>
      </w:pPr>
      <w:r>
        <w:t xml:space="preserve">Short written handoff explaining approach and assumptions</w:t>
      </w:r>
    </w:p>
    <w:p>
      <w:pPr>
        <w:spacing w:after="120"/>
      </w:pPr>
      <w:r>
        <w:t xml:space="preserve">The trial runs on a throwaway GCP project in the Saudi region to validate the engineer's ability to work inside the regional constraint. The main infra build-out happens in M1.</w:t>
      </w:r>
    </w:p>
    <w:p>
      <w:pPr>
        <w:pStyle w:val="Heading2"/>
      </w:pPr>
      <w:r>
        <w:t xml:space="preserve">Trial compensation</w:t>
      </w:r>
    </w:p>
    <w:p>
      <w:pPr>
        <w:pStyle w:val="ListParagraph"/>
        <w:numPr>
          <w:ilvl w:val="0"/>
          <w:numId w:val="2"/>
        </w:numPr>
        <w:spacing w:after="80"/>
      </w:pPr>
      <w:r>
        <w:t xml:space="preserve">Duration: 1 week of active work</w:t>
      </w:r>
    </w:p>
    <w:p>
      <w:pPr>
        <w:pStyle w:val="ListParagraph"/>
        <w:numPr>
          <w:ilvl w:val="0"/>
          <w:numId w:val="2"/>
        </w:numPr>
        <w:spacing w:after="80"/>
      </w:pPr>
      <w:r>
        <w:t xml:space="preserve">Agreed trial fee paid regardless of outcome</w:t>
      </w:r>
    </w:p>
    <w:p>
      <w:pPr>
        <w:pStyle w:val="ListParagraph"/>
        <w:numPr>
          <w:ilvl w:val="0"/>
          <w:numId w:val="2"/>
        </w:numPr>
        <w:spacing w:after="80"/>
      </w:pPr>
      <w:r>
        <w:t xml:space="preserve">If the engineer passes, the trial fee rolls into total engagement compensation and the code is kept</w:t>
      </w:r>
    </w:p>
    <w:p>
      <w:pPr>
        <w:pStyle w:val="ListParagraph"/>
        <w:numPr>
          <w:ilvl w:val="0"/>
          <w:numId w:val="2"/>
        </w:numPr>
        <w:spacing w:after="80"/>
      </w:pPr>
      <w:r>
        <w:t xml:space="preserve">If the engineer does not pass, the work may still be kept and the trial closes with no further commitment either way</w:t>
      </w:r>
    </w:p>
    <w:p>
      <w:pPr>
        <w:pStyle w:val="Heading2"/>
      </w:pPr>
      <w:r>
        <w:t xml:space="preserve">Trial pass criteria</w:t>
      </w:r>
    </w:p>
    <w:p>
      <w:pPr>
        <w:pStyle w:val="ListParagraph"/>
        <w:numPr>
          <w:ilvl w:val="0"/>
          <w:numId w:val="2"/>
        </w:numPr>
        <w:spacing w:after="80"/>
      </w:pPr>
      <w:r>
        <w:t xml:space="preserve">Code ships working against the frontend contract, no mock data for the trial module</w:t>
      </w:r>
    </w:p>
    <w:p>
      <w:pPr>
        <w:pStyle w:val="ListParagraph"/>
        <w:numPr>
          <w:ilvl w:val="0"/>
          <w:numId w:val="2"/>
        </w:numPr>
        <w:spacing w:after="80"/>
      </w:pPr>
      <w:r>
        <w:t xml:space="preserve">Code review feedback is addressed within 48 hours</w:t>
      </w:r>
    </w:p>
    <w:p>
      <w:pPr>
        <w:pStyle w:val="ListParagraph"/>
        <w:numPr>
          <w:ilvl w:val="0"/>
          <w:numId w:val="2"/>
        </w:numPr>
        <w:spacing w:after="80"/>
      </w:pPr>
      <w:r>
        <w:t xml:space="preserve">Daily async Slack updates without being chased</w:t>
      </w:r>
    </w:p>
    <w:p>
      <w:pPr>
        <w:pStyle w:val="ListParagraph"/>
        <w:numPr>
          <w:ilvl w:val="0"/>
          <w:numId w:val="2"/>
        </w:numPr>
        <w:spacing w:after="80"/>
      </w:pPr>
      <w:r>
        <w:t xml:space="preserve">Questions raised early in writing rather than silent struggle or silent deviation</w:t>
      </w:r>
    </w:p>
    <w:p>
      <w:pPr>
        <w:pStyle w:val="ListParagraph"/>
        <w:numPr>
          <w:ilvl w:val="0"/>
          <w:numId w:val="2"/>
        </w:numPr>
        <w:spacing w:after="80"/>
      </w:pPr>
      <w:r>
        <w:t xml:space="preserve">Row-level security blocks cross-tenant access in a manual test</w:t>
      </w:r>
    </w:p>
    <w:p>
      <w:pPr>
        <w:pStyle w:val="ListParagraph"/>
        <w:numPr>
          <w:ilvl w:val="0"/>
          <w:numId w:val="2"/>
        </w:numPr>
        <w:spacing w:after="80"/>
      </w:pPr>
      <w:r>
        <w:t xml:space="preserve">Handoff document is clear enough that a second engineer could pick it up</w:t>
      </w:r>
    </w:p>
    <w:p>
      <w:pPr>
        <w:pStyle w:val="Heading1"/>
      </w:pPr>
      <w:r>
        <w:t xml:space="preserve">7. Build milestones</w:t>
      </w:r>
    </w:p>
    <w:p>
      <w:pPr>
        <w:spacing w:after="120"/>
      </w:pPr>
      <w:r>
        <w:t xml:space="preserve">The build phase is organized into five milestones. Payment and review are tied to milestone exit gates. UAT iterations in the Pilot phase are scoped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BD5E1" w:sz="4"/>
              <w:left w:val="single" w:color="CBD5E1" w:sz="4"/>
              <w:bottom w:val="single" w:color="CBD5E1" w:sz="4"/>
              <w:right w:val="single" w:color="CBD5E1" w:sz="4"/>
            </w:tcBorders>
            <w:shd w:fill="047857" w:val="clear"/>
            <w:tcMar>
              <w:top w:type="dxa" w:w="120"/>
              <w:left w:type="dxa" w:w="160"/>
              <w:bottom w:type="dxa" w:w="120"/>
              <w:right w:type="dxa" w:w="160"/>
            </w:tcMar>
          </w:tcPr>
          <w:p>
            <w:r>
              <w:rPr>
                <w:b/>
                <w:bCs/>
                <w:color w:val="FFFFFF"/>
                <w:sz w:val="22"/>
                <w:szCs w:val="22"/>
              </w:rPr>
              <w:t xml:space="preserve">Milestone</w:t>
            </w:r>
          </w:p>
        </w:tc>
        <w:tc>
          <w:tcPr>
            <w:tcW w:type="dxa" w:w="4000"/>
            <w:tcBorders>
              <w:top w:val="single" w:color="CBD5E1" w:sz="4"/>
              <w:left w:val="single" w:color="CBD5E1" w:sz="4"/>
              <w:bottom w:val="single" w:color="CBD5E1" w:sz="4"/>
              <w:right w:val="single" w:color="CBD5E1" w:sz="4"/>
            </w:tcBorders>
            <w:shd w:fill="047857" w:val="clear"/>
            <w:tcMar>
              <w:top w:type="dxa" w:w="120"/>
              <w:left w:type="dxa" w:w="160"/>
              <w:bottom w:type="dxa" w:w="120"/>
              <w:right w:type="dxa" w:w="160"/>
            </w:tcMar>
          </w:tcPr>
          <w:p>
            <w:r>
              <w:rPr>
                <w:b/>
                <w:bCs/>
                <w:color w:val="FFFFFF"/>
                <w:sz w:val="22"/>
                <w:szCs w:val="22"/>
              </w:rPr>
              <w:t xml:space="preserve">Scope</w:t>
            </w:r>
          </w:p>
        </w:tc>
        <w:tc>
          <w:tcPr>
            <w:tcW w:type="dxa" w:w="3560"/>
            <w:tcBorders>
              <w:top w:val="single" w:color="CBD5E1" w:sz="4"/>
              <w:left w:val="single" w:color="CBD5E1" w:sz="4"/>
              <w:bottom w:val="single" w:color="CBD5E1" w:sz="4"/>
              <w:right w:val="single" w:color="CBD5E1" w:sz="4"/>
            </w:tcBorders>
            <w:shd w:fill="047857" w:val="clear"/>
            <w:tcMar>
              <w:top w:type="dxa" w:w="120"/>
              <w:left w:type="dxa" w:w="160"/>
              <w:bottom w:type="dxa" w:w="120"/>
              <w:right w:type="dxa" w:w="160"/>
            </w:tcMar>
          </w:tcPr>
          <w:p>
            <w:r>
              <w:rPr>
                <w:b/>
                <w:bCs/>
                <w:color w:val="FFFFFF"/>
                <w:sz w:val="22"/>
                <w:szCs w:val="22"/>
              </w:rPr>
              <w:t xml:space="preserve">Exit gate</w:t>
            </w:r>
          </w:p>
        </w:tc>
      </w:tr>
      <w:tr>
        <w:tc>
          <w:tcPr>
            <w:tcW w:type="dxa" w:w="18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sz w:val="20"/>
                <w:szCs w:val="20"/>
              </w:rPr>
              <w:t xml:space="preserve">M1 Infrastructure and foundations</w:t>
            </w:r>
          </w:p>
        </w:tc>
        <w:tc>
          <w:tcPr>
            <w:tcW w:type="dxa" w:w="40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GCP Saudi region project setup, Cloud SQL for Postgres, Cloud Run for the Express API, Cloud Storage for attachments, auth service on Cloud Run (self-hosted GoTrue or equivalent), tenant middleware, row-level security policies, users and tenants tables</w:t>
            </w:r>
          </w:p>
        </w:tc>
        <w:tc>
          <w:tcPr>
            <w:tcW w:type="dxa" w:w="35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JWT login works end to end, row-level security verified via two-tenant smoke test, infra reproducible via Terraform or equivalent</w:t>
            </w:r>
          </w:p>
        </w:tc>
      </w:tr>
      <w:tr>
        <w:tc>
          <w:tcPr>
            <w:tcW w:type="dxa" w:w="18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sz w:val="20"/>
                <w:szCs w:val="20"/>
              </w:rPr>
              <w:t xml:space="preserve">M2 Core CRUD</w:t>
            </w:r>
          </w:p>
        </w:tc>
        <w:tc>
          <w:tcPr>
            <w:tcW w:type="dxa" w:w="40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Audits, observations, risks, policies, circulars, SAMA letters</w:t>
            </w:r>
          </w:p>
        </w:tc>
        <w:tc>
          <w:tcPr>
            <w:tcW w:type="dxa" w:w="35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80 percent of endpoints live, frontend on real API for these modules</w:t>
            </w:r>
          </w:p>
        </w:tc>
      </w:tr>
      <w:tr>
        <w:tc>
          <w:tcPr>
            <w:tcW w:type="dxa" w:w="18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sz w:val="20"/>
                <w:szCs w:val="20"/>
              </w:rPr>
              <w:t xml:space="preserve">M3 Versioning and audit log</w:t>
            </w:r>
          </w:p>
        </w:tc>
        <w:tc>
          <w:tcPr>
            <w:tcW w:type="dxa" w:w="40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entity_versions table, audit_log table, version and audit endpoints, diff and restore</w:t>
            </w:r>
          </w:p>
        </w:tc>
        <w:tc>
          <w:tcPr>
            <w:tcW w:type="dxa" w:w="35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Observation update produces correct version and audit rows, E2E test passes</w:t>
            </w:r>
          </w:p>
        </w:tc>
      </w:tr>
      <w:tr>
        <w:tc>
          <w:tcPr>
            <w:tcW w:type="dxa" w:w="18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sz w:val="20"/>
                <w:szCs w:val="20"/>
              </w:rPr>
              <w:t xml:space="preserve">M4 Notifications and messaging</w:t>
            </w:r>
          </w:p>
        </w:tc>
        <w:tc>
          <w:tcPr>
            <w:tcW w:type="dxa" w:w="40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notification_preferences, dispatch and digest jobs, in-app messaging, email via SMTP relay from Saudi region</w:t>
            </w:r>
          </w:p>
        </w:tc>
        <w:tc>
          <w:tcPr>
            <w:tcW w:type="dxa" w:w="35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Overdue jobs produce in-app and email notifications respecting preferences</w:t>
            </w:r>
          </w:p>
        </w:tc>
      </w:tr>
      <w:tr>
        <w:tc>
          <w:tcPr>
            <w:tcW w:type="dxa" w:w="18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sz w:val="20"/>
                <w:szCs w:val="20"/>
              </w:rPr>
              <w:t xml:space="preserve">M5 Scoring and PDF</w:t>
            </w:r>
          </w:p>
        </w:tc>
        <w:tc>
          <w:tcPr>
            <w:tcW w:type="dxa" w:w="40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Compliance engine port, golden tests, xelatex pipeline, pdflatex for English, English plus at least one Arabic template</w:t>
            </w:r>
          </w:p>
        </w:tc>
        <w:tc>
          <w:tcPr>
            <w:tcW w:type="dxa" w:w="35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sz w:val="20"/>
                <w:szCs w:val="20"/>
              </w:rPr>
              <w:t xml:space="preserve">Score matches frontend to 0.1 precision, SAMA letter renders in Arabic</w:t>
            </w:r>
          </w:p>
        </w:tc>
      </w:tr>
    </w:tbl>
    <w:p>
      <w:pPr>
        <w:spacing w:after="240"/>
      </w:pPr>
      <w:r>
        <w:t xml:space="preserve"/>
      </w:r>
    </w:p>
    <w:p>
      <w:pPr>
        <w:pStyle w:val="Heading1"/>
      </w:pPr>
      <w:r>
        <w:t xml:space="preserve">8. Phase KPIs</w:t>
      </w:r>
    </w:p>
    <w:p>
      <w:pPr>
        <w:pStyle w:val="Heading2"/>
      </w:pPr>
      <w:r>
        <w:t xml:space="preserve">Discovery</w:t>
      </w:r>
    </w:p>
    <w:p>
      <w:pPr>
        <w:pStyle w:val="ListParagraph"/>
        <w:numPr>
          <w:ilvl w:val="0"/>
          <w:numId w:val="2"/>
        </w:numPr>
        <w:spacing w:after="80"/>
      </w:pPr>
      <w:r>
        <w:t xml:space="preserve">Engineer can explain both scoring tracks without referring to notes</w:t>
      </w:r>
    </w:p>
    <w:p>
      <w:pPr>
        <w:pStyle w:val="ListParagraph"/>
        <w:numPr>
          <w:ilvl w:val="0"/>
          <w:numId w:val="2"/>
        </w:numPr>
        <w:spacing w:after="80"/>
      </w:pPr>
      <w:r>
        <w:t xml:space="preserve">Schema review produces a final agreed ERD</w:t>
      </w:r>
    </w:p>
    <w:p>
      <w:pPr>
        <w:pStyle w:val="ListParagraph"/>
        <w:numPr>
          <w:ilvl w:val="0"/>
          <w:numId w:val="2"/>
        </w:numPr>
        <w:spacing w:after="80"/>
      </w:pPr>
      <w:r>
        <w:t xml:space="preserve">All open domain questions are listed and assigned</w:t>
      </w:r>
    </w:p>
    <w:p>
      <w:pPr>
        <w:pStyle w:val="ListParagraph"/>
        <w:numPr>
          <w:ilvl w:val="0"/>
          <w:numId w:val="2"/>
        </w:numPr>
        <w:spacing w:after="80"/>
      </w:pPr>
      <w:r>
        <w:t xml:space="preserve">GCP project structure and IAM model agreed before M1 begins</w:t>
      </w:r>
    </w:p>
    <w:p>
      <w:pPr>
        <w:pStyle w:val="ListParagraph"/>
        <w:numPr>
          <w:ilvl w:val="0"/>
          <w:numId w:val="2"/>
        </w:numPr>
        <w:spacing w:after="80"/>
      </w:pPr>
      <w:r>
        <w:t xml:space="preserve">Discovery closes within one week of onboarding</w:t>
      </w:r>
    </w:p>
    <w:p>
      <w:pPr>
        <w:pStyle w:val="Heading2"/>
      </w:pPr>
      <w:r>
        <w:t xml:space="preserve">Build</w:t>
      </w:r>
    </w:p>
    <w:p>
      <w:pPr>
        <w:pStyle w:val="ListParagraph"/>
        <w:numPr>
          <w:ilvl w:val="0"/>
          <w:numId w:val="2"/>
        </w:numPr>
        <w:spacing w:after="80"/>
      </w:pPr>
      <w:r>
        <w:t xml:space="preserve">All Zustand stores read from real APIs, no mock data remaining</w:t>
      </w:r>
    </w:p>
    <w:p>
      <w:pPr>
        <w:pStyle w:val="ListParagraph"/>
        <w:numPr>
          <w:ilvl w:val="0"/>
          <w:numId w:val="2"/>
        </w:numPr>
        <w:spacing w:after="80"/>
      </w:pPr>
      <w:r>
        <w:t xml:space="preserve">Compliance score matches hand-calculated values on a test dataset to 0.1 precision</w:t>
      </w:r>
    </w:p>
    <w:p>
      <w:pPr>
        <w:pStyle w:val="ListParagraph"/>
        <w:numPr>
          <w:ilvl w:val="0"/>
          <w:numId w:val="2"/>
        </w:numPr>
        <w:spacing w:after="80"/>
      </w:pPr>
      <w:r>
        <w:t xml:space="preserve">Background jobs run on schedule for at least seven consecutive days without failure</w:t>
      </w:r>
    </w:p>
    <w:p>
      <w:pPr>
        <w:pStyle w:val="ListParagraph"/>
        <w:numPr>
          <w:ilvl w:val="0"/>
          <w:numId w:val="2"/>
        </w:numPr>
        <w:spacing w:after="80"/>
      </w:pPr>
      <w:r>
        <w:t xml:space="preserve">PDF reports render without visual regressions against the design system</w:t>
      </w:r>
    </w:p>
    <w:p>
      <w:pPr>
        <w:pStyle w:val="ListParagraph"/>
        <w:numPr>
          <w:ilvl w:val="0"/>
          <w:numId w:val="2"/>
        </w:numPr>
        <w:spacing w:after="80"/>
      </w:pPr>
      <w:r>
        <w:t xml:space="preserve">API response times under 300ms at the 95th percentile on a dataset of 10,000 records</w:t>
      </w:r>
    </w:p>
    <w:p>
      <w:pPr>
        <w:pStyle w:val="ListParagraph"/>
        <w:numPr>
          <w:ilvl w:val="0"/>
          <w:numId w:val="2"/>
        </w:numPr>
        <w:spacing w:after="80"/>
      </w:pPr>
      <w:r>
        <w:t xml:space="preserve">Row-level security blocks all cross-tenant data access in automated tests</w:t>
      </w:r>
    </w:p>
    <w:p>
      <w:pPr>
        <w:pStyle w:val="ListParagraph"/>
        <w:numPr>
          <w:ilvl w:val="0"/>
          <w:numId w:val="2"/>
        </w:numPr>
        <w:spacing w:after="80"/>
      </w:pPr>
      <w:r>
        <w:t xml:space="preserve">Every mutation writes both an entity_versions row and an audit_log row in the same transaction</w:t>
      </w:r>
    </w:p>
    <w:p>
      <w:pPr>
        <w:pStyle w:val="ListParagraph"/>
        <w:numPr>
          <w:ilvl w:val="0"/>
          <w:numId w:val="2"/>
        </w:numPr>
        <w:spacing w:after="80"/>
      </w:pPr>
      <w:r>
        <w:t xml:space="preserve">Infrastructure is reproducible via Terraform, staging and production environments live</w:t>
      </w:r>
    </w:p>
    <w:p>
      <w:pPr>
        <w:pStyle w:val="Heading2"/>
      </w:pPr>
      <w:r>
        <w:t xml:space="preserve">Pilot</w:t>
      </w:r>
    </w:p>
    <w:p>
      <w:pPr>
        <w:pStyle w:val="ListParagraph"/>
        <w:numPr>
          <w:ilvl w:val="0"/>
          <w:numId w:val="2"/>
        </w:numPr>
        <w:spacing w:after="80"/>
      </w:pPr>
      <w:r>
        <w:t xml:space="preserve">The compliance department logs in daily for at least two weeks without needing manual support</w:t>
      </w:r>
    </w:p>
    <w:p>
      <w:pPr>
        <w:pStyle w:val="ListParagraph"/>
        <w:numPr>
          <w:ilvl w:val="0"/>
          <w:numId w:val="2"/>
        </w:numPr>
        <w:spacing w:after="80"/>
      </w:pPr>
      <w:r>
        <w:t xml:space="preserve">At least 90 percent of new correspondence is logged in the platform rather than handled outside it</w:t>
      </w:r>
    </w:p>
    <w:p>
      <w:pPr>
        <w:pStyle w:val="ListParagraph"/>
        <w:numPr>
          <w:ilvl w:val="0"/>
          <w:numId w:val="2"/>
        </w:numPr>
        <w:spacing w:after="80"/>
      </w:pPr>
      <w:r>
        <w:t xml:space="preserve">Compliance score reflects reality as judged by the compliance department</w:t>
      </w:r>
    </w:p>
    <w:p>
      <w:pPr>
        <w:pStyle w:val="ListParagraph"/>
        <w:numPr>
          <w:ilvl w:val="0"/>
          <w:numId w:val="2"/>
        </w:numPr>
        <w:spacing w:after="80"/>
      </w:pPr>
      <w:r>
        <w:t xml:space="preserve">Zero data loss incidents</w:t>
      </w:r>
    </w:p>
    <w:p>
      <w:pPr>
        <w:pStyle w:val="ListParagraph"/>
        <w:numPr>
          <w:ilvl w:val="0"/>
          <w:numId w:val="2"/>
        </w:numPr>
        <w:spacing w:after="80"/>
      </w:pPr>
      <w:r>
        <w:t xml:space="preserve">Mean time to resolution for pilot bugs is under three business days</w:t>
      </w:r>
    </w:p>
    <w:p>
      <w:pPr>
        <w:pStyle w:val="Heading2"/>
      </w:pPr>
      <w:r>
        <w:t xml:space="preserve">Scale</w:t>
      </w:r>
    </w:p>
    <w:p>
      <w:pPr>
        <w:pStyle w:val="ListParagraph"/>
        <w:numPr>
          <w:ilvl w:val="0"/>
          <w:numId w:val="2"/>
        </w:numPr>
        <w:spacing w:after="80"/>
      </w:pPr>
      <w:r>
        <w:t xml:space="preserve">A new tenant can be onboarded end to end in under one business day</w:t>
      </w:r>
    </w:p>
    <w:p>
      <w:pPr>
        <w:pStyle w:val="ListParagraph"/>
        <w:numPr>
          <w:ilvl w:val="0"/>
          <w:numId w:val="2"/>
        </w:numPr>
        <w:spacing w:after="80"/>
      </w:pPr>
      <w:r>
        <w:t xml:space="preserve">Three tenants can run concurrently with no performance degradation</w:t>
      </w:r>
    </w:p>
    <w:p>
      <w:pPr>
        <w:pStyle w:val="ListParagraph"/>
        <w:numPr>
          <w:ilvl w:val="0"/>
          <w:numId w:val="2"/>
        </w:numPr>
        <w:spacing w:after="80"/>
      </w:pPr>
      <w:r>
        <w:t xml:space="preserve">All APIs are documented</w:t>
      </w:r>
    </w:p>
    <w:p>
      <w:pPr>
        <w:pStyle w:val="ListParagraph"/>
        <w:numPr>
          <w:ilvl w:val="0"/>
          <w:numId w:val="2"/>
        </w:numPr>
        <w:spacing w:after="80"/>
      </w:pPr>
      <w:r>
        <w:t xml:space="preserve">Runbooks exist for the top ten operational scenarios including tenant provisioning, data export, and incident response</w:t>
      </w:r>
    </w:p>
    <w:p>
      <w:pPr>
        <w:pStyle w:val="Heading1"/>
      </w:pPr>
      <w:r>
        <w:t xml:space="preserve">9. How we work</w:t>
      </w:r>
    </w:p>
    <w:p>
      <w:pPr>
        <w:spacing w:after="120"/>
      </w:pPr>
      <w:r>
        <w:t xml:space="preserve">Slack and GitHub are the only communication channels. Progress is visible through commits and written updates, not through meetings. Live calls happen only when a blocker cannot be resolved in writing. If a weekly meeting happens, it is to discuss concerns that cannot be resolved async, not for routine status updates.</w:t>
      </w:r>
    </w:p>
    <w:p>
      <w:pPr>
        <w:spacing w:after="120"/>
      </w:pPr>
      <w:r>
        <w:t xml:space="preserve">The engineer does not communicate directly with the compliance department. Compliance and domain questions are written up clearly and passed to Hani, who handles the back and forth with the client. Answers come back through the same channel.</w:t>
      </w:r>
    </w:p>
    <w:p>
      <w:pPr>
        <w:spacing w:after="120"/>
      </w:pPr>
      <w:r>
        <w:t xml:space="preserve">Code reviews happen in GitHub. Pull requests must pass linting, type checks, and tests before review. Schema changes require a written rationale in the PR description. Infrastructure changes are made via pull requests against the Terraform repo with the same review discipline.</w:t>
      </w:r>
    </w:p>
    <w:p>
      <w:pPr>
        <w:spacing w:after="120"/>
      </w:pPr>
      <w:r>
        <w:t xml:space="preserve">Features with unclear compliance logic do not get built. If in doubt, stop and ask through the written question flow.</w:t>
      </w:r>
    </w:p>
    <w:p>
      <w:pPr>
        <w:pStyle w:val="Heading1"/>
      </w:pPr>
      <w:r>
        <w:t xml:space="preserve">10. Known risks and open questions</w:t>
      </w:r>
    </w:p>
    <w:p>
      <w:pPr>
        <w:spacing w:after="120"/>
      </w:pPr>
      <w:r>
        <w:t xml:space="preserve">The full list of open questions lives in section 14 of the technical companion. The high-impact items for this contract are summarized below.</w:t>
      </w:r>
    </w:p>
    <w:p>
      <w:pPr>
        <w:pStyle w:val="ListParagraph"/>
        <w:numPr>
          <w:ilvl w:val="0"/>
          <w:numId w:val="2"/>
        </w:numPr>
        <w:spacing w:after="80"/>
      </w:pPr>
      <w:r>
        <w:t xml:space="preserve">Cloud provider confirmation. The default is GCP Saudi region (me-central2). If the cofounder's client has an existing relationship with another SAMA-compliant KSA provider (Huawei, STC, Oracle), the choice may change at Discovery. Architectural patterns remain the same.</w:t>
      </w:r>
    </w:p>
    <w:p>
      <w:pPr>
        <w:pStyle w:val="ListParagraph"/>
        <w:numPr>
          <w:ilvl w:val="0"/>
          <w:numId w:val="2"/>
        </w:numPr>
        <w:spacing w:after="80"/>
      </w:pPr>
      <w:r>
        <w:t xml:space="preserve">Cloud cost. The baseline GCP footprint (Cloud SQL, Cloud Run, Cloud Storage, Secret Manager, logging) runs roughly USD 250-500 per month at startup scale. The cofounder covers this directly, not out of the engineer's engagement.</w:t>
      </w:r>
    </w:p>
    <w:p>
      <w:pPr>
        <w:pStyle w:val="ListParagraph"/>
        <w:numPr>
          <w:ilvl w:val="0"/>
          <w:numId w:val="2"/>
        </w:numPr>
        <w:spacing w:after="80"/>
      </w:pPr>
      <w:r>
        <w:t xml:space="preserve">Auth implementation. Self-hosting GoTrue on Cloud Run is the default choice. Firebase Auth is an alternative worth evaluating if it meets SAMA residency within the Saudi region. Decide at Discovery.</w:t>
      </w:r>
    </w:p>
    <w:p>
      <w:pPr>
        <w:pStyle w:val="ListParagraph"/>
        <w:numPr>
          <w:ilvl w:val="0"/>
          <w:numId w:val="2"/>
        </w:numPr>
        <w:spacing w:after="80"/>
      </w:pPr>
      <w:r>
        <w:t xml:space="preserve">Retention policy for entity_versions and audit_log. SAMA rules mandate 10 years for some artefacts. Default is 10 years uniform, to be confirmed.</w:t>
      </w:r>
    </w:p>
    <w:p>
      <w:pPr>
        <w:pStyle w:val="ListParagraph"/>
        <w:numPr>
          <w:ilvl w:val="0"/>
          <w:numId w:val="2"/>
        </w:numPr>
        <w:spacing w:after="80"/>
      </w:pPr>
      <w:r>
        <w:t xml:space="preserve">Saudization by classification level. Current model tracks aggregate actual versus target by department. SAMA distinguishes levels (Platinum, Gold, etc.). Product decision needed before finalizing the HR compliance schema.</w:t>
      </w:r>
    </w:p>
    <w:p>
      <w:pPr>
        <w:pStyle w:val="ListParagraph"/>
        <w:numPr>
          <w:ilvl w:val="0"/>
          <w:numId w:val="2"/>
        </w:numPr>
        <w:spacing w:after="80"/>
      </w:pPr>
      <w:r>
        <w:t xml:space="preserve">Framework weight defaults per tenant. Ship with equal defaults or require the admin to set them during onboarding.</w:t>
      </w:r>
    </w:p>
    <w:p>
      <w:pPr>
        <w:pStyle w:val="ListParagraph"/>
        <w:numPr>
          <w:ilvl w:val="0"/>
          <w:numId w:val="2"/>
        </w:numPr>
        <w:spacing w:after="80"/>
      </w:pPr>
      <w:r>
        <w:t xml:space="preserve">Realtime cross-device sync. Frontend persists state in localStorage. Multi-device use will surface stale-state issues. Decide whether to include a realtime layer in this engagement or defer.</w:t>
      </w:r>
    </w:p>
    <w:p>
      <w:pPr>
        <w:pStyle w:val="ListParagraph"/>
        <w:numPr>
          <w:ilvl w:val="0"/>
          <w:numId w:val="2"/>
        </w:numPr>
        <w:spacing w:after="80"/>
      </w:pPr>
      <w:r>
        <w:t xml:space="preserve">Arabic template rollout order. Which of the 7 PDF templates ship with Arabic variants in M5 and which after UAT.</w:t>
      </w:r>
    </w:p>
    <w:p>
      <w:pPr>
        <w:pStyle w:val="ListParagraph"/>
        <w:numPr>
          <w:ilvl w:val="0"/>
          <w:numId w:val="2"/>
        </w:numPr>
        <w:spacing w:after="80"/>
      </w:pPr>
      <w:r>
        <w:t xml:space="preserve">Audit type enum. Currently an enum in the frontend. Should become a foreign key to a framework table before the platform takes on a second tenant. Treat as known debt, plan the migration early.</w:t>
      </w:r>
    </w:p>
    <w:p>
      <w:pPr>
        <w:pStyle w:val="ListParagraph"/>
        <w:numPr>
          <w:ilvl w:val="0"/>
          <w:numId w:val="2"/>
        </w:numPr>
        <w:spacing w:after="80"/>
      </w:pPr>
      <w:r>
        <w:t xml:space="preserve">SAMA inspection and Sharia audit file formats are not standardized. Do not try to parse them automatically. Manual entry is the approved approach.</w:t>
      </w:r>
    </w:p>
    <w:p>
      <w:pPr>
        <w:pStyle w:val="Heading1"/>
      </w:pPr>
      <w:r>
        <w:t xml:space="preserve">11. What success looks like</w:t>
      </w:r>
    </w:p>
    <w:p>
      <w:pPr>
        <w:spacing w:after="120"/>
      </w:pPr>
      <w:r>
        <w:t xml:space="preserve">The engagement is successful when a new Saudi financial institution can sign up as a tenant, onboard its data, and use ComplianceOS to manage its regulator correspondence without engineering intervention, all hosted inside Saudi Arabia with full SAMA residency compliance. Everything before that is a step toward this outcome.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293B"/>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0478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2026-04-20T14:47:59.250Z</dcterms:created>
  <dcterms:modified xsi:type="dcterms:W3CDTF">2026-04-20T14:47:59.251Z</dcterms:modified>
</cp:coreProperties>
</file>

<file path=docProps/custom.xml><?xml version="1.0" encoding="utf-8"?>
<Properties xmlns="http://schemas.openxmlformats.org/officeDocument/2006/custom-properties" xmlns:vt="http://schemas.openxmlformats.org/officeDocument/2006/docPropsVTypes"/>
</file>