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0487FC" w14:textId="77777777" w:rsidR="007D5349" w:rsidRPr="00AF4F66" w:rsidRDefault="00091CD4" w:rsidP="007D5349">
      <w:pPr>
        <w:pStyle w:val="Title"/>
        <w:spacing w:after="240"/>
        <w:contextualSpacing w:val="0"/>
        <w:jc w:val="center"/>
        <w:rPr>
          <w:b/>
          <w:sz w:val="24"/>
          <w:szCs w:val="24"/>
        </w:rPr>
      </w:pPr>
      <w:r w:rsidRPr="00AF4F66">
        <w:rPr>
          <w:b/>
          <w:sz w:val="24"/>
          <w:szCs w:val="24"/>
        </w:rPr>
        <w:t>Thurston County Water Resources</w:t>
      </w:r>
    </w:p>
    <w:p w14:paraId="26E1B6C6" w14:textId="164205B6" w:rsidR="00091CD4" w:rsidRDefault="006242B7" w:rsidP="007D5349">
      <w:pPr>
        <w:pStyle w:val="Title"/>
        <w:jc w:val="center"/>
        <w:rPr>
          <w:b/>
          <w:sz w:val="24"/>
          <w:szCs w:val="24"/>
        </w:rPr>
      </w:pPr>
      <w:r>
        <w:rPr>
          <w:b/>
          <w:sz w:val="24"/>
          <w:szCs w:val="24"/>
        </w:rPr>
        <w:t>Technical Memorandum #7</w:t>
      </w:r>
      <w:r w:rsidR="00931110">
        <w:rPr>
          <w:b/>
          <w:sz w:val="24"/>
          <w:szCs w:val="24"/>
        </w:rPr>
        <w:t>b</w:t>
      </w:r>
    </w:p>
    <w:p w14:paraId="33FBEB71" w14:textId="77777777" w:rsidR="00965DCD" w:rsidRDefault="00965DCD" w:rsidP="00965DCD">
      <w:pPr>
        <w:pStyle w:val="Subtitle"/>
      </w:pPr>
    </w:p>
    <w:p w14:paraId="4B9526BD" w14:textId="1DDF6298" w:rsidR="00965DCD" w:rsidRDefault="00965DCD" w:rsidP="00965DCD">
      <w:pPr>
        <w:pStyle w:val="Subtitle"/>
      </w:pPr>
      <w:r>
        <w:t>Lake St. Clair Elevation</w:t>
      </w:r>
      <w:r w:rsidR="003149E3">
        <w:t xml:space="preserve"> and Eaton Creek Discharge</w:t>
      </w:r>
      <w:r w:rsidR="00957ED5">
        <w:br/>
        <w:t>2008</w:t>
      </w:r>
      <w:r>
        <w:t>-2016</w:t>
      </w:r>
    </w:p>
    <w:p w14:paraId="21E7903D" w14:textId="77777777" w:rsidR="00965DCD" w:rsidRDefault="00965DCD" w:rsidP="00AF4F66">
      <w:pPr>
        <w:spacing w:after="0" w:line="240" w:lineRule="auto"/>
      </w:pPr>
    </w:p>
    <w:p w14:paraId="3C02247C" w14:textId="77777777" w:rsidR="00AF4F66" w:rsidRDefault="00AF4F66" w:rsidP="00AF4F66">
      <w:pPr>
        <w:spacing w:after="0" w:line="240" w:lineRule="auto"/>
        <w:jc w:val="center"/>
      </w:pPr>
      <w:r>
        <w:t>Prepared by</w:t>
      </w:r>
    </w:p>
    <w:p w14:paraId="393E6E5B" w14:textId="77777777" w:rsidR="00AF4F66" w:rsidRDefault="00AF4F66" w:rsidP="00AF4F66">
      <w:pPr>
        <w:spacing w:after="0" w:line="240" w:lineRule="auto"/>
        <w:jc w:val="center"/>
      </w:pPr>
      <w:r>
        <w:t>Nathaniel Kale</w:t>
      </w:r>
    </w:p>
    <w:p w14:paraId="2B1C7393" w14:textId="77777777" w:rsidR="00AF4F66" w:rsidRDefault="00AF4F66" w:rsidP="00AF4F66">
      <w:pPr>
        <w:spacing w:after="0" w:line="240" w:lineRule="auto"/>
        <w:jc w:val="center"/>
      </w:pPr>
      <w:r>
        <w:t>Water Resources Specialist II</w:t>
      </w:r>
    </w:p>
    <w:p w14:paraId="7D8A920F" w14:textId="77777777" w:rsidR="00AF4F66" w:rsidRDefault="00AF4F66" w:rsidP="00AF4F66">
      <w:pPr>
        <w:spacing w:after="0" w:line="240" w:lineRule="auto"/>
        <w:jc w:val="center"/>
      </w:pPr>
      <w:r>
        <w:t>Thurston County, Washington</w:t>
      </w:r>
    </w:p>
    <w:p w14:paraId="48124A7A" w14:textId="5526E103" w:rsidR="008E7800" w:rsidRDefault="008E7800" w:rsidP="00AF4F66">
      <w:pPr>
        <w:spacing w:after="0" w:line="240" w:lineRule="auto"/>
        <w:jc w:val="center"/>
      </w:pPr>
      <w:r>
        <w:t xml:space="preserve">DOI </w:t>
      </w:r>
      <w:hyperlink r:id="rId8" w:history="1">
        <w:r w:rsidR="006C3A8B" w:rsidRPr="006C3A8B">
          <w:rPr>
            <w:rStyle w:val="Hyperlink"/>
          </w:rPr>
          <w:t>10.5281/zenodo.251188</w:t>
        </w:r>
      </w:hyperlink>
    </w:p>
    <w:p w14:paraId="00BFFC12" w14:textId="77777777" w:rsidR="00AF4F66" w:rsidRDefault="00AF4F66" w:rsidP="00AF4F66">
      <w:pPr>
        <w:spacing w:after="0" w:line="240" w:lineRule="auto"/>
      </w:pPr>
    </w:p>
    <w:p w14:paraId="6035F888" w14:textId="3A517D09" w:rsidR="00AF4F66" w:rsidRPr="00AF4F66" w:rsidRDefault="00D004D5" w:rsidP="00AF4F66">
      <w:pPr>
        <w:spacing w:after="0" w:line="240" w:lineRule="auto"/>
        <w:jc w:val="center"/>
      </w:pPr>
      <w:r>
        <w:t>January 18, 2017</w:t>
      </w:r>
    </w:p>
    <w:p w14:paraId="118C69E1" w14:textId="77777777" w:rsidR="007D5349" w:rsidRDefault="007D5349" w:rsidP="00AF4F66">
      <w:pPr>
        <w:pStyle w:val="Subtitle"/>
        <w:spacing w:after="0" w:line="240" w:lineRule="auto"/>
      </w:pPr>
    </w:p>
    <w:p w14:paraId="26412389" w14:textId="1F5AA9B2" w:rsidR="00863AB5" w:rsidRPr="007F4115" w:rsidRDefault="007718C4" w:rsidP="007F4115">
      <w:pPr>
        <w:pStyle w:val="Heading1"/>
      </w:pPr>
      <w:r>
        <w:t>Background</w:t>
      </w:r>
    </w:p>
    <w:p w14:paraId="2BFCFA57" w14:textId="619A2DFF" w:rsidR="00863AB5" w:rsidRDefault="007718C4">
      <w:r>
        <w:t>Lake St. Clair is a</w:t>
      </w:r>
      <w:r w:rsidR="00EF29EE">
        <w:t xml:space="preserve"> glacial kettle</w:t>
      </w:r>
      <w:r>
        <w:t xml:space="preserve"> lake in</w:t>
      </w:r>
      <w:r w:rsidR="00080DA9">
        <w:t xml:space="preserve"> east-central Thurston County, fed by Eaton Creek which flows from south to north.</w:t>
      </w:r>
      <w:r w:rsidR="00E3520C" w:rsidRPr="00E3520C">
        <w:t xml:space="preserve"> </w:t>
      </w:r>
    </w:p>
    <w:p w14:paraId="4A0BD52C" w14:textId="44F3E976" w:rsidR="007718C4" w:rsidRDefault="00D457D1">
      <w:r>
        <w:rPr>
          <w:noProof/>
        </w:rPr>
        <w:drawing>
          <wp:inline distT="0" distB="0" distL="0" distR="0" wp14:anchorId="5C503D24" wp14:editId="4B7D5353">
            <wp:extent cx="5943600" cy="42030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_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a:ln>
                      <a:solidFill>
                        <a:schemeClr val="tx1"/>
                      </a:solidFill>
                    </a:ln>
                  </pic:spPr>
                </pic:pic>
              </a:graphicData>
            </a:graphic>
          </wp:inline>
        </w:drawing>
      </w:r>
    </w:p>
    <w:p w14:paraId="754AB91D" w14:textId="4997B87C" w:rsidR="002756EB" w:rsidRDefault="00D457D1">
      <w:r>
        <w:lastRenderedPageBreak/>
        <w:t xml:space="preserve">Thurston County Water Resources Technical Memorandum 7 discussed the correlation between precipitation </w:t>
      </w:r>
      <w:r w:rsidR="00373005">
        <w:t>and Lake St. Clair water elevations.  This memorandum discusses the correlation between Lake St. Clair water elevations and discharges from Eaton Creek.</w:t>
      </w:r>
    </w:p>
    <w:p w14:paraId="231C9E98" w14:textId="77777777" w:rsidR="00CF5B43" w:rsidRDefault="00CF5B43" w:rsidP="007F4115">
      <w:pPr>
        <w:pStyle w:val="Heading1"/>
      </w:pPr>
      <w:r w:rsidRPr="007D5349">
        <w:t>Results</w:t>
      </w:r>
    </w:p>
    <w:p w14:paraId="2119EBD1" w14:textId="52D6E7DC" w:rsidR="00106586" w:rsidRPr="003A4523" w:rsidRDefault="003A4523" w:rsidP="00106586">
      <w:r>
        <w:t>Technical Memorandum 7 already established the seasonal and annual trends of Lake St. Clair water elevations.  The lake rises and falls over the course of each year.  It also rises and falls in response to long-term trends.</w:t>
      </w:r>
    </w:p>
    <w:p w14:paraId="1057611E" w14:textId="2E5D57D8" w:rsidR="006325FE" w:rsidRDefault="006325FE" w:rsidP="006325FE">
      <w:pPr>
        <w:pStyle w:val="Caption"/>
        <w:keepNext/>
      </w:pPr>
      <w:bookmarkStart w:id="0" w:name="_Ref472675372"/>
      <w:r>
        <w:t xml:space="preserve">Figure </w:t>
      </w:r>
      <w:r w:rsidR="00912223">
        <w:fldChar w:fldCharType="begin"/>
      </w:r>
      <w:r w:rsidR="00912223">
        <w:instrText xml:space="preserve"> SEQ Figure \* ARABIC </w:instrText>
      </w:r>
      <w:r w:rsidR="00912223">
        <w:fldChar w:fldCharType="separate"/>
      </w:r>
      <w:r w:rsidR="00FF67B6">
        <w:rPr>
          <w:noProof/>
        </w:rPr>
        <w:t>1</w:t>
      </w:r>
      <w:r w:rsidR="00912223">
        <w:rPr>
          <w:noProof/>
        </w:rPr>
        <w:fldChar w:fldCharType="end"/>
      </w:r>
      <w:bookmarkEnd w:id="0"/>
      <w:r>
        <w:t>: Water Elevation Decomposition</w:t>
      </w:r>
    </w:p>
    <w:p w14:paraId="67C81E81" w14:textId="709B602A" w:rsidR="00F21BC1" w:rsidRDefault="00E3683B" w:rsidP="00106586">
      <w:r>
        <w:rPr>
          <w:noProof/>
        </w:rPr>
        <w:drawing>
          <wp:inline distT="0" distB="0" distL="0" distR="0" wp14:anchorId="13C52B17" wp14:editId="160A5235">
            <wp:extent cx="5943600" cy="33963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sc_decompo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55D8DAF1" w14:textId="6E8D8AFF" w:rsidR="003A4523" w:rsidRDefault="00A25016" w:rsidP="00106586">
      <w:r>
        <w:t>The period of record for reliable Eaton Creek discharge data is much shorter than that of Lake St. Clair elevations, beginning in 2008.</w:t>
      </w:r>
      <w:r w:rsidR="007066E3">
        <w:t xml:space="preserve"> </w:t>
      </w:r>
      <w:r>
        <w:t xml:space="preserve"> Nevertheless, discharges from Eaton Creek have a similar pattern to Lake St. Clair elevations, varying</w:t>
      </w:r>
      <w:r w:rsidR="007066E3">
        <w:t xml:space="preserve"> by season and with long-term trends.  </w:t>
      </w:r>
    </w:p>
    <w:p w14:paraId="2C247CD9" w14:textId="4EF2E641" w:rsidR="00A25016" w:rsidRDefault="00A25016" w:rsidP="00106586">
      <w:r>
        <w:rPr>
          <w:noProof/>
        </w:rPr>
        <w:lastRenderedPageBreak/>
        <w:drawing>
          <wp:inline distT="0" distB="0" distL="0" distR="0" wp14:anchorId="57783D34" wp14:editId="4CE3E724">
            <wp:extent cx="5943600" cy="3396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ton_discharge_breakdow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2938A9C" w14:textId="0100BB57" w:rsidR="00A25016" w:rsidRDefault="005C496A" w:rsidP="00106586">
      <w:r>
        <w:t xml:space="preserve">Not only does the seasonal pattern of discharge from Eaton Creek match the seasonal rise and fall of Lake St. Clair, the trend from 2008-2016 is very similar as well.  The </w:t>
      </w:r>
      <w:r w:rsidR="00275779">
        <w:t>long-term trend of</w:t>
      </w:r>
      <w:r>
        <w:t xml:space="preserve"> discharge from the creek (</w:t>
      </w:r>
      <w:r w:rsidR="002B5EC2">
        <w:t>after</w:t>
      </w:r>
      <w:r>
        <w:t xml:space="preserve"> accounting for seasonal patterns and random variance) increased </w:t>
      </w:r>
      <w:r w:rsidR="00A77C8E">
        <w:t>by about 100</w:t>
      </w:r>
      <w:r>
        <w:t xml:space="preserve"> acre/feet</w:t>
      </w:r>
      <w:r w:rsidR="002B5EC2">
        <w:t xml:space="preserve"> per month</w:t>
      </w:r>
      <w:r w:rsidR="00CF69E9">
        <w:t xml:space="preserve"> – a notable increase for a creek with peak discharges of approximately 400 acre/feet per month.</w:t>
      </w:r>
    </w:p>
    <w:p w14:paraId="09796787" w14:textId="7DB7ED79" w:rsidR="00682F79" w:rsidRDefault="000509EE" w:rsidP="00106586">
      <w:r w:rsidRPr="00682F79">
        <w:rPr>
          <w:b/>
        </w:rPr>
        <w:t>Eaton Creek discharges can explain approximately 60% of the variance in the elevation of Lake St. Clair.</w:t>
      </w:r>
      <w:r>
        <w:t xml:space="preserve">  This is very similar to the percentage explained by precipitation metrics in Technical Memorandum 7.  It is likely that there is a causal chain connecting precipitation, to Eaton Creek discharges,</w:t>
      </w:r>
      <w:r w:rsidR="00682F79">
        <w:t xml:space="preserve"> to Lake St. Clair elevations.  Groundwater is an important factor in lake elevations that these technical memoranda do not explore.</w:t>
      </w:r>
    </w:p>
    <w:p w14:paraId="694D1842" w14:textId="77777777" w:rsidR="00073D65" w:rsidRPr="001A67EF" w:rsidRDefault="00073D65" w:rsidP="007F4115">
      <w:pPr>
        <w:pStyle w:val="Heading1"/>
      </w:pPr>
      <w:r w:rsidRPr="007D5349">
        <w:t>Methods</w:t>
      </w:r>
    </w:p>
    <w:p w14:paraId="4DA88434" w14:textId="77777777" w:rsidR="00AE09DB" w:rsidRPr="001A67EF" w:rsidRDefault="00AE09DB" w:rsidP="007F4115">
      <w:pPr>
        <w:pStyle w:val="Heading2"/>
      </w:pPr>
      <w:r w:rsidRPr="007D5349">
        <w:t>Software</w:t>
      </w:r>
    </w:p>
    <w:p w14:paraId="54E48BC4" w14:textId="5EB4E800" w:rsidR="00073D65" w:rsidRDefault="00073D65" w:rsidP="00073D65">
      <w:r>
        <w:t>This analysis was conducted in</w:t>
      </w:r>
      <w:r w:rsidR="00FB3CBE">
        <w:t xml:space="preserve"> </w:t>
      </w:r>
      <w:r w:rsidR="001A53D9">
        <w:t>R 3.3.2</w:t>
      </w:r>
      <w:r w:rsidR="00FB3CBE">
        <w:t xml:space="preserve"> </w:t>
      </w:r>
      <w:r w:rsidR="001903D2">
        <w:t>(</w:t>
      </w:r>
      <w:r w:rsidR="00CC109C">
        <w:t>RStudio 1.0.136</w:t>
      </w:r>
      <w:r w:rsidR="001903D2">
        <w:t>,</w:t>
      </w:r>
      <w:r w:rsidR="000F148E">
        <w:t xml:space="preserve"> </w:t>
      </w:r>
      <w:r w:rsidR="00BD3C0C">
        <w:t>plus packages</w:t>
      </w:r>
      <w:r w:rsidR="00CC109C">
        <w:t xml:space="preserve"> lubridate,</w:t>
      </w:r>
      <w:r w:rsidR="00036959">
        <w:t xml:space="preserve"> stlplus, and</w:t>
      </w:r>
      <w:r w:rsidR="001462EB">
        <w:t xml:space="preserve"> </w:t>
      </w:r>
      <w:r w:rsidR="00CC109C">
        <w:t>tidyverse</w:t>
      </w:r>
      <w:r w:rsidR="001903D2">
        <w:t>);</w:t>
      </w:r>
      <w:r w:rsidR="001E10ED">
        <w:t xml:space="preserve"> QGIS 2.18</w:t>
      </w:r>
      <w:r w:rsidR="00862D15">
        <w:t>;</w:t>
      </w:r>
      <w:r w:rsidR="009565A3">
        <w:t xml:space="preserve"> Excel 2013;</w:t>
      </w:r>
      <w:r w:rsidR="00862D15">
        <w:t xml:space="preserve"> and Notepad++ 7.1</w:t>
      </w:r>
      <w:r w:rsidR="00615604">
        <w:t>.</w:t>
      </w:r>
    </w:p>
    <w:p w14:paraId="5ED2C5FA" w14:textId="77777777" w:rsidR="00AE09DB" w:rsidRDefault="00AE09DB" w:rsidP="007F4115">
      <w:pPr>
        <w:pStyle w:val="Heading2"/>
      </w:pPr>
      <w:r w:rsidRPr="007D5349">
        <w:t>Data</w:t>
      </w:r>
    </w:p>
    <w:p w14:paraId="2268A2CE" w14:textId="5BD3CF3D" w:rsidR="00403E75" w:rsidRDefault="00403E75" w:rsidP="00642E9A">
      <w:r>
        <w:t>Elevation data for Lake St. Clair were obtained from Thurst</w:t>
      </w:r>
      <w:r w:rsidR="004135EA">
        <w:t xml:space="preserve">on County monitoring archives.  </w:t>
      </w:r>
      <w:r w:rsidR="002B24B5">
        <w:t>Approximately t</w:t>
      </w:r>
      <w:r w:rsidR="004135EA">
        <w:t>wice-monthly</w:t>
      </w:r>
      <w:r>
        <w:t xml:space="preserve"> values from 2008-2016 were available; from 1988-2008, monthly minima and maxima were available, with some breaks in the data.</w:t>
      </w:r>
    </w:p>
    <w:p w14:paraId="31CDA958" w14:textId="3CDDCC9B" w:rsidR="002B2FED" w:rsidRDefault="002B2FED" w:rsidP="00642E9A">
      <w:r>
        <w:t>Average daily discharge data</w:t>
      </w:r>
      <w:r w:rsidR="00575D80">
        <w:t xml:space="preserve"> in cubic feet per second (cfs)</w:t>
      </w:r>
      <w:r>
        <w:t xml:space="preserve"> for Eaton Creek were also obtained from Thurston County monitoring archives for 2008-2016.</w:t>
      </w:r>
    </w:p>
    <w:p w14:paraId="2DC17947" w14:textId="339C4C73" w:rsidR="00182B16" w:rsidRPr="00642E9A" w:rsidRDefault="00182B16" w:rsidP="00642E9A">
      <w:r>
        <w:lastRenderedPageBreak/>
        <w:t>All data are monthly.  Elevation values are monthly averages; prior to 2008 these are averages of minima and maxima; after 2008 these are averages of values</w:t>
      </w:r>
      <w:r w:rsidR="00575D80">
        <w:t xml:space="preserve"> obtained on specific days</w:t>
      </w:r>
      <w:r>
        <w:t>.</w:t>
      </w:r>
      <w:r w:rsidR="00575D80">
        <w:t xml:space="preserve">  </w:t>
      </w:r>
      <w:r w:rsidR="00041ED5">
        <w:t xml:space="preserve">Discharges are monthly sums.  The average daily CFS was converted into acre/feet per day, then </w:t>
      </w:r>
      <w:r w:rsidR="00BB7186">
        <w:t xml:space="preserve">summed for each month to get </w:t>
      </w:r>
      <w:r w:rsidR="00C10BF6">
        <w:t>acre/feet per month.</w:t>
      </w:r>
    </w:p>
    <w:p w14:paraId="32257750" w14:textId="77777777" w:rsidR="00AE09DB" w:rsidRDefault="00AE09DB" w:rsidP="007F4115">
      <w:pPr>
        <w:pStyle w:val="Heading2"/>
      </w:pPr>
      <w:r w:rsidRPr="007D5349">
        <w:t>Analysis</w:t>
      </w:r>
    </w:p>
    <w:p w14:paraId="68501575" w14:textId="77777777" w:rsidR="003C13D2" w:rsidRDefault="00403E75" w:rsidP="00403E75">
      <w:r>
        <w:t>Thi</w:t>
      </w:r>
      <w:r w:rsidR="003C13D2">
        <w:t>s exploratory analysis included:</w:t>
      </w:r>
    </w:p>
    <w:p w14:paraId="0B2BC0D0" w14:textId="513AE646" w:rsidR="00A6676C" w:rsidRDefault="001252D8" w:rsidP="000B724C">
      <w:pPr>
        <w:pStyle w:val="ListParagraph"/>
        <w:numPr>
          <w:ilvl w:val="0"/>
          <w:numId w:val="11"/>
        </w:numPr>
      </w:pPr>
      <w:r>
        <w:t>Developing a relationship between elevation and discharge.</w:t>
      </w:r>
    </w:p>
    <w:p w14:paraId="6D7F8C6B" w14:textId="04CDBE52" w:rsidR="001252D8" w:rsidRDefault="001252D8" w:rsidP="000B724C">
      <w:pPr>
        <w:pStyle w:val="ListParagraph"/>
        <w:numPr>
          <w:ilvl w:val="0"/>
          <w:numId w:val="11"/>
        </w:numPr>
      </w:pPr>
      <w:r>
        <w:t>Breaking discharge into seasonal, long-term trend, and remainder parts.</w:t>
      </w:r>
    </w:p>
    <w:p w14:paraId="15550252" w14:textId="48EF084C" w:rsidR="00024BA1" w:rsidRDefault="006904FB" w:rsidP="00024BA1">
      <w:pPr>
        <w:pStyle w:val="Heading2"/>
      </w:pPr>
      <w:r>
        <w:t>Relationship between Elevation and Discharge</w:t>
      </w:r>
    </w:p>
    <w:p w14:paraId="4EF28542" w14:textId="6F654E2C" w:rsidR="006904FB" w:rsidRDefault="001B7C9A" w:rsidP="006904FB">
      <w:r>
        <w:t>Lake water elevation and creek discharge values for the same month were plotted against each other to determine what, if any, relationship they bore to one another.  A visual inspection confirmed a positive logarithmic relationship; as discharge increases, lake water elevation increases, but the effect diminishes with higher volumes of discharge.</w:t>
      </w:r>
    </w:p>
    <w:p w14:paraId="381DEEF7" w14:textId="40AFBA33" w:rsidR="001B7C9A" w:rsidRDefault="00824477" w:rsidP="006904FB">
      <w:r>
        <w:rPr>
          <w:noProof/>
        </w:rPr>
        <w:drawing>
          <wp:inline distT="0" distB="0" distL="0" distR="0" wp14:anchorId="30871563" wp14:editId="100CFB06">
            <wp:extent cx="5943600" cy="3396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aton_elevation_comparis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FB4639F" w14:textId="09510B85" w:rsidR="001B7C9A" w:rsidRDefault="00914500" w:rsidP="006904FB">
      <w:r>
        <w:t>Linear and second-order polynomial equations were fit to the data</w:t>
      </w:r>
      <w:r w:rsidR="00DA5EB6">
        <w:t>.  The linear fit</w:t>
      </w:r>
      <w:r>
        <w:t xml:space="preserve"> resulted in lower R</w:t>
      </w:r>
      <w:r>
        <w:rPr>
          <w:vertAlign w:val="superscript"/>
        </w:rPr>
        <w:t>2</w:t>
      </w:r>
      <w:r>
        <w:t xml:space="preserve"> values and worse correlation statistics (as expected)</w:t>
      </w:r>
      <w:r w:rsidR="00DA5EB6">
        <w:t>; the polynomial fit resulted in very similar correlation statistics</w:t>
      </w:r>
      <w:r>
        <w:t>.  6-month and 3-year cumulative discharges were fit to elevation data as well, but also resulted in lower R</w:t>
      </w:r>
      <w:r>
        <w:rPr>
          <w:vertAlign w:val="superscript"/>
        </w:rPr>
        <w:t>2</w:t>
      </w:r>
      <w:r>
        <w:t xml:space="preserve"> values and worse correlation statistics.  Raw discharge</w:t>
      </w:r>
      <w:r w:rsidR="00424A1E">
        <w:t xml:space="preserve"> values, with a logarithmic relationship, are the best fit with Lake St. Clair elevation.</w:t>
      </w:r>
      <w:r w:rsidR="00A61016">
        <w:t xml:space="preserve">  A second-order polynomial relationship gives similar correlation statistics, but visual inspection suggests that the relationship is logarithmic.</w:t>
      </w:r>
    </w:p>
    <w:tbl>
      <w:tblPr>
        <w:tblW w:w="7470" w:type="dxa"/>
        <w:jc w:val="center"/>
        <w:tblLook w:val="04A0" w:firstRow="1" w:lastRow="0" w:firstColumn="1" w:lastColumn="0" w:noHBand="0" w:noVBand="1"/>
      </w:tblPr>
      <w:tblGrid>
        <w:gridCol w:w="4440"/>
        <w:gridCol w:w="1770"/>
        <w:gridCol w:w="1260"/>
      </w:tblGrid>
      <w:tr w:rsidR="00DA5EB6" w:rsidRPr="00DA5EB6" w14:paraId="3347B8E4" w14:textId="77777777" w:rsidTr="00DA5EB6">
        <w:trPr>
          <w:trHeight w:val="300"/>
          <w:jc w:val="center"/>
        </w:trPr>
        <w:tc>
          <w:tcPr>
            <w:tcW w:w="4440" w:type="dxa"/>
            <w:tcBorders>
              <w:top w:val="nil"/>
              <w:left w:val="nil"/>
              <w:bottom w:val="nil"/>
              <w:right w:val="nil"/>
            </w:tcBorders>
            <w:shd w:val="clear" w:color="auto" w:fill="auto"/>
            <w:noWrap/>
            <w:vAlign w:val="bottom"/>
            <w:hideMark/>
          </w:tcPr>
          <w:p w14:paraId="348FBC30" w14:textId="77777777" w:rsidR="00DA5EB6" w:rsidRPr="00DA5EB6" w:rsidRDefault="00DA5EB6" w:rsidP="00DA5EB6">
            <w:pPr>
              <w:keepNext/>
              <w:keepLines/>
              <w:spacing w:after="0" w:line="240" w:lineRule="auto"/>
              <w:rPr>
                <w:rFonts w:ascii="Calibri" w:eastAsia="Times New Roman" w:hAnsi="Calibri" w:cs="Times New Roman"/>
                <w:b/>
                <w:bCs/>
                <w:color w:val="000000"/>
              </w:rPr>
            </w:pPr>
            <w:r w:rsidRPr="00DA5EB6">
              <w:rPr>
                <w:rFonts w:ascii="Calibri" w:eastAsia="Times New Roman" w:hAnsi="Calibri" w:cs="Times New Roman"/>
                <w:b/>
                <w:bCs/>
                <w:color w:val="000000"/>
              </w:rPr>
              <w:lastRenderedPageBreak/>
              <w:t>Equation</w:t>
            </w:r>
          </w:p>
        </w:tc>
        <w:tc>
          <w:tcPr>
            <w:tcW w:w="1770" w:type="dxa"/>
            <w:tcBorders>
              <w:top w:val="nil"/>
              <w:left w:val="nil"/>
              <w:bottom w:val="nil"/>
              <w:right w:val="nil"/>
            </w:tcBorders>
            <w:shd w:val="clear" w:color="auto" w:fill="auto"/>
            <w:noWrap/>
            <w:vAlign w:val="bottom"/>
            <w:hideMark/>
          </w:tcPr>
          <w:p w14:paraId="09333D0E" w14:textId="77777777" w:rsidR="00DA5EB6" w:rsidRPr="00DA5EB6" w:rsidRDefault="00DA5EB6" w:rsidP="00DA5EB6">
            <w:pPr>
              <w:keepNext/>
              <w:keepLines/>
              <w:spacing w:after="0" w:line="240" w:lineRule="auto"/>
              <w:jc w:val="right"/>
              <w:rPr>
                <w:rFonts w:ascii="Calibri" w:eastAsia="Times New Roman" w:hAnsi="Calibri" w:cs="Times New Roman"/>
                <w:b/>
                <w:bCs/>
                <w:color w:val="000000"/>
              </w:rPr>
            </w:pPr>
            <w:r w:rsidRPr="00DA5EB6">
              <w:rPr>
                <w:rFonts w:ascii="Calibri" w:eastAsia="Times New Roman" w:hAnsi="Calibri" w:cs="Times New Roman"/>
                <w:b/>
                <w:bCs/>
                <w:color w:val="000000"/>
              </w:rPr>
              <w:t>R Squared</w:t>
            </w:r>
          </w:p>
        </w:tc>
        <w:tc>
          <w:tcPr>
            <w:tcW w:w="1260" w:type="dxa"/>
            <w:tcBorders>
              <w:top w:val="nil"/>
              <w:left w:val="nil"/>
              <w:bottom w:val="nil"/>
              <w:right w:val="nil"/>
            </w:tcBorders>
            <w:shd w:val="clear" w:color="auto" w:fill="auto"/>
            <w:noWrap/>
            <w:vAlign w:val="bottom"/>
            <w:hideMark/>
          </w:tcPr>
          <w:p w14:paraId="0DB9FDBB" w14:textId="77777777" w:rsidR="00DA5EB6" w:rsidRPr="00DA5EB6" w:rsidRDefault="00DA5EB6" w:rsidP="00DA5EB6">
            <w:pPr>
              <w:keepNext/>
              <w:keepLines/>
              <w:spacing w:after="0" w:line="240" w:lineRule="auto"/>
              <w:jc w:val="right"/>
              <w:rPr>
                <w:rFonts w:ascii="Calibri" w:eastAsia="Times New Roman" w:hAnsi="Calibri" w:cs="Times New Roman"/>
                <w:b/>
                <w:bCs/>
                <w:color w:val="000000"/>
              </w:rPr>
            </w:pPr>
            <w:r w:rsidRPr="00DA5EB6">
              <w:rPr>
                <w:rFonts w:ascii="Calibri" w:eastAsia="Times New Roman" w:hAnsi="Calibri" w:cs="Times New Roman"/>
                <w:b/>
                <w:bCs/>
                <w:color w:val="000000"/>
              </w:rPr>
              <w:t>P-Value</w:t>
            </w:r>
          </w:p>
        </w:tc>
      </w:tr>
      <w:tr w:rsidR="00DA5EB6" w:rsidRPr="00DA5EB6" w14:paraId="6E44881E" w14:textId="77777777" w:rsidTr="00DA5EB6">
        <w:trPr>
          <w:trHeight w:val="300"/>
          <w:jc w:val="center"/>
        </w:trPr>
        <w:tc>
          <w:tcPr>
            <w:tcW w:w="4440" w:type="dxa"/>
            <w:tcBorders>
              <w:top w:val="nil"/>
              <w:left w:val="nil"/>
              <w:bottom w:val="nil"/>
              <w:right w:val="nil"/>
            </w:tcBorders>
            <w:shd w:val="clear" w:color="auto" w:fill="auto"/>
            <w:noWrap/>
            <w:vAlign w:val="bottom"/>
            <w:hideMark/>
          </w:tcPr>
          <w:p w14:paraId="618CC104" w14:textId="77777777" w:rsidR="00DA5EB6" w:rsidRPr="00DA5EB6" w:rsidRDefault="00DA5EB6" w:rsidP="00DA5EB6">
            <w:pPr>
              <w:keepNext/>
              <w:keepLines/>
              <w:spacing w:after="0" w:line="240" w:lineRule="auto"/>
              <w:rPr>
                <w:rFonts w:ascii="Calibri" w:eastAsia="Times New Roman" w:hAnsi="Calibri" w:cs="Times New Roman"/>
                <w:color w:val="000000"/>
              </w:rPr>
            </w:pPr>
            <w:r w:rsidRPr="00DA5EB6">
              <w:rPr>
                <w:rFonts w:ascii="Calibri" w:eastAsia="Times New Roman" w:hAnsi="Calibri" w:cs="Times New Roman"/>
                <w:color w:val="000000"/>
              </w:rPr>
              <w:t>Elevation ~ Stage</w:t>
            </w:r>
          </w:p>
        </w:tc>
        <w:tc>
          <w:tcPr>
            <w:tcW w:w="1770" w:type="dxa"/>
            <w:tcBorders>
              <w:top w:val="nil"/>
              <w:left w:val="nil"/>
              <w:bottom w:val="nil"/>
              <w:right w:val="nil"/>
            </w:tcBorders>
            <w:shd w:val="clear" w:color="auto" w:fill="auto"/>
            <w:noWrap/>
            <w:vAlign w:val="bottom"/>
            <w:hideMark/>
          </w:tcPr>
          <w:p w14:paraId="6FD5AD83"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0.511</w:t>
            </w:r>
          </w:p>
        </w:tc>
        <w:tc>
          <w:tcPr>
            <w:tcW w:w="1260" w:type="dxa"/>
            <w:tcBorders>
              <w:top w:val="nil"/>
              <w:left w:val="nil"/>
              <w:bottom w:val="nil"/>
              <w:right w:val="nil"/>
            </w:tcBorders>
            <w:shd w:val="clear" w:color="auto" w:fill="auto"/>
            <w:noWrap/>
            <w:vAlign w:val="bottom"/>
            <w:hideMark/>
          </w:tcPr>
          <w:p w14:paraId="736E6C7A"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1.92E-14</w:t>
            </w:r>
          </w:p>
        </w:tc>
      </w:tr>
      <w:tr w:rsidR="00DA5EB6" w:rsidRPr="00DA5EB6" w14:paraId="4B1185E7" w14:textId="77777777" w:rsidTr="00DA5EB6">
        <w:trPr>
          <w:trHeight w:val="300"/>
          <w:jc w:val="center"/>
        </w:trPr>
        <w:tc>
          <w:tcPr>
            <w:tcW w:w="4440" w:type="dxa"/>
            <w:tcBorders>
              <w:top w:val="nil"/>
              <w:left w:val="nil"/>
              <w:bottom w:val="nil"/>
              <w:right w:val="nil"/>
            </w:tcBorders>
            <w:shd w:val="clear" w:color="auto" w:fill="auto"/>
            <w:noWrap/>
            <w:vAlign w:val="bottom"/>
            <w:hideMark/>
          </w:tcPr>
          <w:p w14:paraId="5626D438" w14:textId="77777777" w:rsidR="00DA5EB6" w:rsidRPr="00DA5EB6" w:rsidRDefault="00DA5EB6" w:rsidP="00DA5EB6">
            <w:pPr>
              <w:keepNext/>
              <w:keepLines/>
              <w:spacing w:after="0" w:line="240" w:lineRule="auto"/>
              <w:rPr>
                <w:rFonts w:ascii="Calibri" w:eastAsia="Times New Roman" w:hAnsi="Calibri" w:cs="Times New Roman"/>
                <w:color w:val="000000"/>
              </w:rPr>
            </w:pPr>
            <w:r w:rsidRPr="00DA5EB6">
              <w:rPr>
                <w:rFonts w:ascii="Calibri" w:eastAsia="Times New Roman" w:hAnsi="Calibri" w:cs="Times New Roman"/>
                <w:color w:val="000000"/>
              </w:rPr>
              <w:t>Elevation ~ Stage + Stage^2</w:t>
            </w:r>
          </w:p>
        </w:tc>
        <w:tc>
          <w:tcPr>
            <w:tcW w:w="1770" w:type="dxa"/>
            <w:tcBorders>
              <w:top w:val="nil"/>
              <w:left w:val="nil"/>
              <w:bottom w:val="nil"/>
              <w:right w:val="nil"/>
            </w:tcBorders>
            <w:shd w:val="clear" w:color="auto" w:fill="auto"/>
            <w:noWrap/>
            <w:vAlign w:val="bottom"/>
            <w:hideMark/>
          </w:tcPr>
          <w:p w14:paraId="2AA842C9"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0.604</w:t>
            </w:r>
          </w:p>
        </w:tc>
        <w:tc>
          <w:tcPr>
            <w:tcW w:w="1260" w:type="dxa"/>
            <w:tcBorders>
              <w:top w:val="nil"/>
              <w:left w:val="nil"/>
              <w:bottom w:val="nil"/>
              <w:right w:val="nil"/>
            </w:tcBorders>
            <w:shd w:val="clear" w:color="auto" w:fill="auto"/>
            <w:noWrap/>
            <w:vAlign w:val="bottom"/>
            <w:hideMark/>
          </w:tcPr>
          <w:p w14:paraId="1416D5B7"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2.20E-16</w:t>
            </w:r>
          </w:p>
        </w:tc>
      </w:tr>
      <w:tr w:rsidR="00DA5EB6" w:rsidRPr="00DA5EB6" w14:paraId="3B1B8FF1" w14:textId="77777777" w:rsidTr="00DA5EB6">
        <w:trPr>
          <w:trHeight w:val="300"/>
          <w:jc w:val="center"/>
        </w:trPr>
        <w:tc>
          <w:tcPr>
            <w:tcW w:w="4440" w:type="dxa"/>
            <w:tcBorders>
              <w:top w:val="nil"/>
              <w:left w:val="nil"/>
              <w:bottom w:val="nil"/>
              <w:right w:val="nil"/>
            </w:tcBorders>
            <w:shd w:val="clear" w:color="auto" w:fill="auto"/>
            <w:noWrap/>
            <w:vAlign w:val="bottom"/>
            <w:hideMark/>
          </w:tcPr>
          <w:p w14:paraId="7A4AC023" w14:textId="77777777" w:rsidR="00DA5EB6" w:rsidRPr="00DA5EB6" w:rsidRDefault="00DA5EB6" w:rsidP="00DA5EB6">
            <w:pPr>
              <w:keepNext/>
              <w:keepLines/>
              <w:spacing w:after="0" w:line="240" w:lineRule="auto"/>
              <w:rPr>
                <w:rFonts w:ascii="Calibri" w:eastAsia="Times New Roman" w:hAnsi="Calibri" w:cs="Times New Roman"/>
                <w:color w:val="000000"/>
              </w:rPr>
            </w:pPr>
            <w:r w:rsidRPr="00DA5EB6">
              <w:rPr>
                <w:rFonts w:ascii="Calibri" w:eastAsia="Times New Roman" w:hAnsi="Calibri" w:cs="Times New Roman"/>
                <w:color w:val="000000"/>
              </w:rPr>
              <w:t>Elevation ~ log(Discharge)</w:t>
            </w:r>
          </w:p>
        </w:tc>
        <w:tc>
          <w:tcPr>
            <w:tcW w:w="1770" w:type="dxa"/>
            <w:tcBorders>
              <w:top w:val="nil"/>
              <w:left w:val="nil"/>
              <w:bottom w:val="nil"/>
              <w:right w:val="nil"/>
            </w:tcBorders>
            <w:shd w:val="clear" w:color="auto" w:fill="auto"/>
            <w:noWrap/>
            <w:vAlign w:val="bottom"/>
            <w:hideMark/>
          </w:tcPr>
          <w:p w14:paraId="20B9FB06"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0.607</w:t>
            </w:r>
          </w:p>
        </w:tc>
        <w:tc>
          <w:tcPr>
            <w:tcW w:w="1260" w:type="dxa"/>
            <w:tcBorders>
              <w:top w:val="nil"/>
              <w:left w:val="nil"/>
              <w:bottom w:val="nil"/>
              <w:right w:val="nil"/>
            </w:tcBorders>
            <w:shd w:val="clear" w:color="auto" w:fill="auto"/>
            <w:noWrap/>
            <w:vAlign w:val="bottom"/>
            <w:hideMark/>
          </w:tcPr>
          <w:p w14:paraId="19DFD5D8"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2.20E-16</w:t>
            </w:r>
          </w:p>
        </w:tc>
      </w:tr>
      <w:tr w:rsidR="00DA5EB6" w:rsidRPr="00DA5EB6" w14:paraId="79621811" w14:textId="77777777" w:rsidTr="00DA5EB6">
        <w:trPr>
          <w:trHeight w:val="300"/>
          <w:jc w:val="center"/>
        </w:trPr>
        <w:tc>
          <w:tcPr>
            <w:tcW w:w="4440" w:type="dxa"/>
            <w:tcBorders>
              <w:top w:val="nil"/>
              <w:left w:val="nil"/>
              <w:bottom w:val="nil"/>
              <w:right w:val="nil"/>
            </w:tcBorders>
            <w:shd w:val="clear" w:color="auto" w:fill="auto"/>
            <w:noWrap/>
            <w:vAlign w:val="bottom"/>
            <w:hideMark/>
          </w:tcPr>
          <w:p w14:paraId="2B6DED8A" w14:textId="77777777" w:rsidR="00DA5EB6" w:rsidRPr="00DA5EB6" w:rsidRDefault="00DA5EB6" w:rsidP="00DA5EB6">
            <w:pPr>
              <w:keepNext/>
              <w:keepLines/>
              <w:spacing w:after="0" w:line="240" w:lineRule="auto"/>
              <w:rPr>
                <w:rFonts w:ascii="Calibri" w:eastAsia="Times New Roman" w:hAnsi="Calibri" w:cs="Times New Roman"/>
                <w:color w:val="000000"/>
              </w:rPr>
            </w:pPr>
            <w:r w:rsidRPr="00DA5EB6">
              <w:rPr>
                <w:rFonts w:ascii="Calibri" w:eastAsia="Times New Roman" w:hAnsi="Calibri" w:cs="Times New Roman"/>
                <w:color w:val="000000"/>
              </w:rPr>
              <w:t>Elevation ~ log(6 Month Cumulative Discharge)</w:t>
            </w:r>
          </w:p>
        </w:tc>
        <w:tc>
          <w:tcPr>
            <w:tcW w:w="1770" w:type="dxa"/>
            <w:tcBorders>
              <w:top w:val="nil"/>
              <w:left w:val="nil"/>
              <w:bottom w:val="nil"/>
              <w:right w:val="nil"/>
            </w:tcBorders>
            <w:shd w:val="clear" w:color="auto" w:fill="auto"/>
            <w:noWrap/>
            <w:vAlign w:val="bottom"/>
            <w:hideMark/>
          </w:tcPr>
          <w:p w14:paraId="333E8A92"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0.530</w:t>
            </w:r>
          </w:p>
        </w:tc>
        <w:tc>
          <w:tcPr>
            <w:tcW w:w="1260" w:type="dxa"/>
            <w:tcBorders>
              <w:top w:val="nil"/>
              <w:left w:val="nil"/>
              <w:bottom w:val="nil"/>
              <w:right w:val="nil"/>
            </w:tcBorders>
            <w:shd w:val="clear" w:color="auto" w:fill="auto"/>
            <w:noWrap/>
            <w:vAlign w:val="bottom"/>
            <w:hideMark/>
          </w:tcPr>
          <w:p w14:paraId="0156C8CD" w14:textId="77777777" w:rsidR="00DA5EB6" w:rsidRPr="00DA5EB6" w:rsidRDefault="00DA5EB6" w:rsidP="00DA5EB6">
            <w:pPr>
              <w:keepNext/>
              <w:keepLines/>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2.51E-14</w:t>
            </w:r>
          </w:p>
        </w:tc>
      </w:tr>
      <w:tr w:rsidR="00DA5EB6" w:rsidRPr="00DA5EB6" w14:paraId="207DBF6F" w14:textId="77777777" w:rsidTr="00DA5EB6">
        <w:trPr>
          <w:trHeight w:val="300"/>
          <w:jc w:val="center"/>
        </w:trPr>
        <w:tc>
          <w:tcPr>
            <w:tcW w:w="4440" w:type="dxa"/>
            <w:tcBorders>
              <w:top w:val="nil"/>
              <w:left w:val="nil"/>
              <w:bottom w:val="nil"/>
              <w:right w:val="nil"/>
            </w:tcBorders>
            <w:shd w:val="clear" w:color="auto" w:fill="auto"/>
            <w:noWrap/>
            <w:vAlign w:val="bottom"/>
            <w:hideMark/>
          </w:tcPr>
          <w:p w14:paraId="43423BD6" w14:textId="77777777" w:rsidR="00DA5EB6" w:rsidRPr="00DA5EB6" w:rsidRDefault="00DA5EB6" w:rsidP="00DA5EB6">
            <w:pPr>
              <w:spacing w:after="0" w:line="240" w:lineRule="auto"/>
              <w:rPr>
                <w:rFonts w:ascii="Calibri" w:eastAsia="Times New Roman" w:hAnsi="Calibri" w:cs="Times New Roman"/>
                <w:color w:val="000000"/>
              </w:rPr>
            </w:pPr>
            <w:r w:rsidRPr="00DA5EB6">
              <w:rPr>
                <w:rFonts w:ascii="Calibri" w:eastAsia="Times New Roman" w:hAnsi="Calibri" w:cs="Times New Roman"/>
                <w:color w:val="000000"/>
              </w:rPr>
              <w:t>Elevation ~ log(3 Year Cumulative Discharge)</w:t>
            </w:r>
          </w:p>
        </w:tc>
        <w:tc>
          <w:tcPr>
            <w:tcW w:w="1770" w:type="dxa"/>
            <w:tcBorders>
              <w:top w:val="nil"/>
              <w:left w:val="nil"/>
              <w:bottom w:val="nil"/>
              <w:right w:val="nil"/>
            </w:tcBorders>
            <w:shd w:val="clear" w:color="auto" w:fill="auto"/>
            <w:noWrap/>
            <w:vAlign w:val="bottom"/>
            <w:hideMark/>
          </w:tcPr>
          <w:p w14:paraId="5EFE6944" w14:textId="77777777" w:rsidR="00DA5EB6" w:rsidRPr="00DA5EB6" w:rsidRDefault="00DA5EB6" w:rsidP="00DA5EB6">
            <w:pPr>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0.181</w:t>
            </w:r>
          </w:p>
        </w:tc>
        <w:tc>
          <w:tcPr>
            <w:tcW w:w="1260" w:type="dxa"/>
            <w:tcBorders>
              <w:top w:val="nil"/>
              <w:left w:val="nil"/>
              <w:bottom w:val="nil"/>
              <w:right w:val="nil"/>
            </w:tcBorders>
            <w:shd w:val="clear" w:color="auto" w:fill="auto"/>
            <w:noWrap/>
            <w:vAlign w:val="bottom"/>
            <w:hideMark/>
          </w:tcPr>
          <w:p w14:paraId="61193E74" w14:textId="77777777" w:rsidR="00DA5EB6" w:rsidRPr="00DA5EB6" w:rsidRDefault="00DA5EB6" w:rsidP="00DA5EB6">
            <w:pPr>
              <w:spacing w:after="0" w:line="240" w:lineRule="auto"/>
              <w:jc w:val="right"/>
              <w:rPr>
                <w:rFonts w:ascii="Calibri" w:eastAsia="Times New Roman" w:hAnsi="Calibri" w:cs="Times New Roman"/>
                <w:color w:val="000000"/>
              </w:rPr>
            </w:pPr>
            <w:r w:rsidRPr="00DA5EB6">
              <w:rPr>
                <w:rFonts w:ascii="Calibri" w:eastAsia="Times New Roman" w:hAnsi="Calibri" w:cs="Times New Roman"/>
                <w:color w:val="000000"/>
              </w:rPr>
              <w:t>5.05E-04</w:t>
            </w:r>
          </w:p>
        </w:tc>
      </w:tr>
    </w:tbl>
    <w:p w14:paraId="38D4C300" w14:textId="77777777" w:rsidR="00DA5EB6" w:rsidRDefault="00DA5EB6" w:rsidP="006904FB"/>
    <w:p w14:paraId="3518C453" w14:textId="1D6FEEF4" w:rsidR="006C1B08" w:rsidRDefault="00622460" w:rsidP="00622460">
      <w:pPr>
        <w:pStyle w:val="Heading2"/>
      </w:pPr>
      <w:r>
        <w:t>Discharge Breakdown</w:t>
      </w:r>
    </w:p>
    <w:p w14:paraId="6A2ED83C" w14:textId="00FBB7F8" w:rsidR="00622460" w:rsidRDefault="00ED5950" w:rsidP="00622460">
      <w:r>
        <w:t>Using seasonal trend decomposition (STL), a time series can be broken apart into seasonal variation, long-term trend, and remainder values, which can be added together to recreate the original dataset.</w:t>
      </w:r>
    </w:p>
    <w:p w14:paraId="3BE48B64" w14:textId="094C8398" w:rsidR="00607EAB" w:rsidRDefault="00607EAB" w:rsidP="00622460">
      <w:r>
        <w:rPr>
          <w:noProof/>
        </w:rPr>
        <w:drawing>
          <wp:inline distT="0" distB="0" distL="0" distR="0" wp14:anchorId="57611118" wp14:editId="34392275">
            <wp:extent cx="5943600" cy="3396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aton_discharge_breakdow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0EEBA412" w14:textId="52FDEE45" w:rsidR="00607EAB" w:rsidRDefault="00607EAB" w:rsidP="00622460">
      <w:r>
        <w:t>Eaton Creek has a predictable yearly cycle of increased discharge volumes through the winter months, followed by decreased discharge volumes through the summer months.  This matches the precipitation cycle seen in the Puget Sound region, and specifically in the Lake St. Clair basin.</w:t>
      </w:r>
    </w:p>
    <w:p w14:paraId="484D27D5" w14:textId="1A06AA31" w:rsidR="00607EAB" w:rsidRPr="00622460" w:rsidRDefault="00607EAB" w:rsidP="00622460">
      <w:r>
        <w:t>Discharges from the creek have also tended to increase from 2008 to 2016.  There is an approximately 100 acre f</w:t>
      </w:r>
      <w:r w:rsidR="00DF5614">
        <w:t>ee</w:t>
      </w:r>
      <w:r>
        <w:t>t per month increase from the beginning to the end of the observed period</w:t>
      </w:r>
      <w:r w:rsidR="00DF5614">
        <w:t xml:space="preserve">.  Since the highest observed discharge was 460 acre feet per </w:t>
      </w:r>
      <w:r w:rsidR="00C0110C">
        <w:t>month, and the lowest was 66 acre feet per month, the change is significant.</w:t>
      </w:r>
    </w:p>
    <w:p w14:paraId="5EACC177" w14:textId="77777777" w:rsidR="002A39C9" w:rsidRDefault="0042558F" w:rsidP="008464B5">
      <w:pPr>
        <w:pStyle w:val="Heading1"/>
      </w:pPr>
      <w:r>
        <w:lastRenderedPageBreak/>
        <w:t xml:space="preserve">Conclusions and </w:t>
      </w:r>
      <w:r w:rsidR="00115453" w:rsidRPr="007D5349">
        <w:t>Recommendations</w:t>
      </w:r>
    </w:p>
    <w:p w14:paraId="66041310" w14:textId="455C2886" w:rsidR="00EB2EB8" w:rsidRDefault="00EB2EB8" w:rsidP="00EB2EB8">
      <w:pPr>
        <w:pStyle w:val="Heading2"/>
      </w:pPr>
      <w:r>
        <w:t>Conclusions</w:t>
      </w:r>
    </w:p>
    <w:p w14:paraId="71589CB5" w14:textId="02DB2720" w:rsidR="00EA3683" w:rsidRDefault="00EA3683" w:rsidP="00EA3683">
      <w:r>
        <w:t>Thurston County Water Resources Technical Memorandum 7</w:t>
      </w:r>
      <w:r>
        <w:t xml:space="preserve"> established that a relationship exists between cumulative precipitation plus precipitation intensity, and the elevation of Lake St. Clair.  It also recommended an investigation of the impact of Eaton Creek on the elevation of Lake St. Clair.  </w:t>
      </w:r>
      <w:r w:rsidR="00CE0FFA">
        <w:t>This technical memorandum establishes that discharges from Eaton Creek explain as much of the difference in Lake St. Clair water elevations as cumulative precipitation volume and intensity combined.</w:t>
      </w:r>
    </w:p>
    <w:p w14:paraId="2C8CD456" w14:textId="07A94527" w:rsidR="00CE0FFA" w:rsidRDefault="00CE0FFA" w:rsidP="00EA3683">
      <w:r>
        <w:t>The seasonal and long-term trends of d</w:t>
      </w:r>
      <w:r w:rsidR="0032059D">
        <w:t xml:space="preserve">ischarges from Eaton Creek match seasonal and long-term trends in Lake St. Clair.  However, the lack of data prior to 2008 makes comparison more difficult. </w:t>
      </w:r>
    </w:p>
    <w:p w14:paraId="7B8B831A" w14:textId="32318843" w:rsidR="00EB2EB8" w:rsidRDefault="00EB2EB8" w:rsidP="00EB2EB8">
      <w:pPr>
        <w:pStyle w:val="Heading2"/>
      </w:pPr>
      <w:r>
        <w:t>Recommendations</w:t>
      </w:r>
      <w:bookmarkStart w:id="1" w:name="_GoBack"/>
      <w:bookmarkEnd w:id="1"/>
    </w:p>
    <w:sdt>
      <w:sdtPr>
        <w:rPr>
          <w:rFonts w:asciiTheme="minorHAnsi" w:eastAsiaTheme="minorHAnsi" w:hAnsiTheme="minorHAnsi" w:cstheme="minorBidi"/>
          <w:b w:val="0"/>
          <w:sz w:val="22"/>
          <w:szCs w:val="22"/>
        </w:rPr>
        <w:id w:val="1659727226"/>
        <w:docPartObj>
          <w:docPartGallery w:val="Bibliographies"/>
          <w:docPartUnique/>
        </w:docPartObj>
      </w:sdtPr>
      <w:sdtEndPr>
        <w:rPr>
          <w:bCs/>
        </w:rPr>
      </w:sdtEndPr>
      <w:sdtContent>
        <w:p w14:paraId="02B16954" w14:textId="76A19FA8" w:rsidR="00C32705" w:rsidRDefault="00C32705">
          <w:pPr>
            <w:pStyle w:val="Heading1"/>
          </w:pPr>
          <w:r>
            <w:t>Works Cited</w:t>
          </w:r>
        </w:p>
        <w:p w14:paraId="094643C8" w14:textId="77777777" w:rsidR="00C32705" w:rsidRDefault="00C32705" w:rsidP="00C32705">
          <w:pPr>
            <w:pStyle w:val="Bibliography"/>
            <w:ind w:left="720" w:hanging="720"/>
            <w:rPr>
              <w:noProof/>
              <w:sz w:val="24"/>
              <w:szCs w:val="24"/>
            </w:rPr>
          </w:pPr>
          <w:r>
            <w:fldChar w:fldCharType="begin"/>
          </w:r>
          <w:r>
            <w:instrText xml:space="preserve"> BIBLIOGRAPHY </w:instrText>
          </w:r>
          <w:r>
            <w:fldChar w:fldCharType="separate"/>
          </w:r>
          <w:r>
            <w:rPr>
              <w:noProof/>
            </w:rPr>
            <w:t xml:space="preserve">Cleveland, R. B., Cleveland, W. S., McRae, J. E., &amp; Terpenning, I. (1990). STL: A Seasonal-Trend Decomposition Procedure Based on Loess. </w:t>
          </w:r>
          <w:r>
            <w:rPr>
              <w:i/>
              <w:iCs/>
              <w:noProof/>
            </w:rPr>
            <w:t>Journal of Official Statistics</w:t>
          </w:r>
          <w:r>
            <w:rPr>
              <w:noProof/>
            </w:rPr>
            <w:t>, 3-33.</w:t>
          </w:r>
        </w:p>
        <w:p w14:paraId="68D63DD3" w14:textId="0D5B3ED0" w:rsidR="008464B5" w:rsidRDefault="00C32705">
          <w:r>
            <w:rPr>
              <w:b/>
              <w:bCs/>
            </w:rPr>
            <w:fldChar w:fldCharType="end"/>
          </w:r>
        </w:p>
      </w:sdtContent>
    </w:sdt>
    <w:sectPr w:rsidR="008464B5">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A23507" w14:textId="77777777" w:rsidR="00912223" w:rsidRDefault="00912223" w:rsidP="00AC7468">
      <w:pPr>
        <w:spacing w:after="0" w:line="240" w:lineRule="auto"/>
      </w:pPr>
      <w:r>
        <w:separator/>
      </w:r>
    </w:p>
  </w:endnote>
  <w:endnote w:type="continuationSeparator" w:id="0">
    <w:p w14:paraId="50ED8823" w14:textId="77777777" w:rsidR="00912223" w:rsidRDefault="00912223" w:rsidP="00AC7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B3808" w14:textId="5B72D28C" w:rsidR="00004639" w:rsidRDefault="007343FF">
    <w:pPr>
      <w:pStyle w:val="Footer"/>
      <w:rPr>
        <w:noProof/>
      </w:rPr>
    </w:pPr>
    <w:r>
      <w:t>Lake St. Clair Elevation, 1992-2016</w:t>
    </w:r>
    <w:r w:rsidR="00004639">
      <w:ptab w:relativeTo="margin" w:alignment="center" w:leader="none"/>
    </w:r>
    <w:r w:rsidR="009B79B5">
      <w:t>January 18</w:t>
    </w:r>
    <w:r w:rsidR="00004639">
      <w:t>, 201</w:t>
    </w:r>
    <w:r w:rsidR="0014514D">
      <w:t>7</w:t>
    </w:r>
    <w:r w:rsidR="00004639">
      <w:ptab w:relativeTo="margin" w:alignment="right" w:leader="none"/>
    </w:r>
    <w:r w:rsidR="00004639">
      <w:t xml:space="preserve">Page </w:t>
    </w:r>
    <w:r w:rsidR="00004639" w:rsidRPr="00AC7468">
      <w:fldChar w:fldCharType="begin"/>
    </w:r>
    <w:r w:rsidR="00004639" w:rsidRPr="00AC7468">
      <w:instrText xml:space="preserve"> PAGE   \* MERGEFORMAT </w:instrText>
    </w:r>
    <w:r w:rsidR="00004639" w:rsidRPr="00AC7468">
      <w:fldChar w:fldCharType="separate"/>
    </w:r>
    <w:r w:rsidR="009576A6">
      <w:rPr>
        <w:noProof/>
      </w:rPr>
      <w:t>4</w:t>
    </w:r>
    <w:r w:rsidR="00004639" w:rsidRPr="00AC7468">
      <w:rPr>
        <w:noProof/>
      </w:rPr>
      <w:fldChar w:fldCharType="end"/>
    </w:r>
    <w:r w:rsidR="00004639">
      <w:rPr>
        <w:noProof/>
      </w:rPr>
      <w:t xml:space="preserve"> of </w:t>
    </w:r>
    <w:r w:rsidR="00004639">
      <w:rPr>
        <w:noProof/>
      </w:rPr>
      <w:fldChar w:fldCharType="begin"/>
    </w:r>
    <w:r w:rsidR="00004639">
      <w:rPr>
        <w:noProof/>
      </w:rPr>
      <w:instrText xml:space="preserve"> NUMPAGES   \* MERGEFORMAT </w:instrText>
    </w:r>
    <w:r w:rsidR="00004639">
      <w:rPr>
        <w:noProof/>
      </w:rPr>
      <w:fldChar w:fldCharType="separate"/>
    </w:r>
    <w:r w:rsidR="009576A6">
      <w:rPr>
        <w:noProof/>
      </w:rPr>
      <w:t>6</w:t>
    </w:r>
    <w:r w:rsidR="00004639">
      <w:rPr>
        <w:noProof/>
      </w:rPr>
      <w:fldChar w:fldCharType="end"/>
    </w:r>
  </w:p>
  <w:p w14:paraId="18D170F6" w14:textId="7D4C262D" w:rsidR="00004639" w:rsidRDefault="00F45224">
    <w:pPr>
      <w:pStyle w:val="Footer"/>
    </w:pPr>
    <w:r>
      <w:t>Technical Memorandum #7</w:t>
    </w:r>
    <w:r w:rsidR="00654EBA">
      <w:ptab w:relativeTo="margin" w:alignment="center" w:leader="none"/>
    </w:r>
    <w:r w:rsidR="00654EBA">
      <w:t>DRAFT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029FF" w14:textId="77777777" w:rsidR="00912223" w:rsidRDefault="00912223" w:rsidP="00AC7468">
      <w:pPr>
        <w:spacing w:after="0" w:line="240" w:lineRule="auto"/>
      </w:pPr>
      <w:r>
        <w:separator/>
      </w:r>
    </w:p>
  </w:footnote>
  <w:footnote w:type="continuationSeparator" w:id="0">
    <w:p w14:paraId="0A90B36C" w14:textId="77777777" w:rsidR="00912223" w:rsidRDefault="00912223" w:rsidP="00AC74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265825"/>
      <w:docPartObj>
        <w:docPartGallery w:val="Watermarks"/>
        <w:docPartUnique/>
      </w:docPartObj>
    </w:sdtPr>
    <w:sdtEndPr/>
    <w:sdtContent>
      <w:p w14:paraId="2F397EC7" w14:textId="362358E7" w:rsidR="00004639" w:rsidRDefault="00912223">
        <w:pPr>
          <w:pStyle w:val="Header"/>
        </w:pPr>
        <w:r>
          <w:rPr>
            <w:noProof/>
          </w:rPr>
          <w:pict w14:anchorId="760C2BE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4495A"/>
    <w:multiLevelType w:val="hybridMultilevel"/>
    <w:tmpl w:val="9B12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C6EB5"/>
    <w:multiLevelType w:val="hybridMultilevel"/>
    <w:tmpl w:val="D112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7B2BA7"/>
    <w:multiLevelType w:val="hybridMultilevel"/>
    <w:tmpl w:val="BD1C8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F18B5"/>
    <w:multiLevelType w:val="hybridMultilevel"/>
    <w:tmpl w:val="1924D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E01273"/>
    <w:multiLevelType w:val="hybridMultilevel"/>
    <w:tmpl w:val="E4589FF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045A41"/>
    <w:multiLevelType w:val="hybridMultilevel"/>
    <w:tmpl w:val="5CB85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13993"/>
    <w:multiLevelType w:val="hybridMultilevel"/>
    <w:tmpl w:val="03C03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933638"/>
    <w:multiLevelType w:val="hybridMultilevel"/>
    <w:tmpl w:val="6ED8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A82144"/>
    <w:multiLevelType w:val="hybridMultilevel"/>
    <w:tmpl w:val="CA2C8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512FE"/>
    <w:multiLevelType w:val="hybridMultilevel"/>
    <w:tmpl w:val="AB82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37119"/>
    <w:multiLevelType w:val="hybridMultilevel"/>
    <w:tmpl w:val="44CEE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66812"/>
    <w:multiLevelType w:val="hybridMultilevel"/>
    <w:tmpl w:val="76AAC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D40963"/>
    <w:multiLevelType w:val="hybridMultilevel"/>
    <w:tmpl w:val="AA6219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A231C9F"/>
    <w:multiLevelType w:val="hybridMultilevel"/>
    <w:tmpl w:val="8F3E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3A0215"/>
    <w:multiLevelType w:val="hybridMultilevel"/>
    <w:tmpl w:val="408228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8"/>
  </w:num>
  <w:num w:numId="4">
    <w:abstractNumId w:val="12"/>
  </w:num>
  <w:num w:numId="5">
    <w:abstractNumId w:val="2"/>
  </w:num>
  <w:num w:numId="6">
    <w:abstractNumId w:val="6"/>
  </w:num>
  <w:num w:numId="7">
    <w:abstractNumId w:val="14"/>
  </w:num>
  <w:num w:numId="8">
    <w:abstractNumId w:val="4"/>
  </w:num>
  <w:num w:numId="9">
    <w:abstractNumId w:val="7"/>
  </w:num>
  <w:num w:numId="10">
    <w:abstractNumId w:val="0"/>
  </w:num>
  <w:num w:numId="11">
    <w:abstractNumId w:val="5"/>
  </w:num>
  <w:num w:numId="12">
    <w:abstractNumId w:val="9"/>
  </w:num>
  <w:num w:numId="13">
    <w:abstractNumId w:val="1"/>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6C"/>
    <w:rsid w:val="0000309C"/>
    <w:rsid w:val="00004639"/>
    <w:rsid w:val="000049D5"/>
    <w:rsid w:val="00007E4D"/>
    <w:rsid w:val="00010670"/>
    <w:rsid w:val="0001096B"/>
    <w:rsid w:val="00011285"/>
    <w:rsid w:val="00011AB4"/>
    <w:rsid w:val="0001254D"/>
    <w:rsid w:val="0001390C"/>
    <w:rsid w:val="00020E92"/>
    <w:rsid w:val="0002175E"/>
    <w:rsid w:val="00024BA1"/>
    <w:rsid w:val="0002531C"/>
    <w:rsid w:val="00031F51"/>
    <w:rsid w:val="0003273F"/>
    <w:rsid w:val="000348CA"/>
    <w:rsid w:val="00036959"/>
    <w:rsid w:val="0003777E"/>
    <w:rsid w:val="00040F75"/>
    <w:rsid w:val="000414D5"/>
    <w:rsid w:val="00041ED5"/>
    <w:rsid w:val="00042425"/>
    <w:rsid w:val="00042450"/>
    <w:rsid w:val="00044FCF"/>
    <w:rsid w:val="00045870"/>
    <w:rsid w:val="0004724E"/>
    <w:rsid w:val="000508B5"/>
    <w:rsid w:val="000509EE"/>
    <w:rsid w:val="00051B27"/>
    <w:rsid w:val="00053209"/>
    <w:rsid w:val="00054112"/>
    <w:rsid w:val="000600E9"/>
    <w:rsid w:val="0006014E"/>
    <w:rsid w:val="000625A2"/>
    <w:rsid w:val="00064C2A"/>
    <w:rsid w:val="0006579C"/>
    <w:rsid w:val="00065EFA"/>
    <w:rsid w:val="0006653E"/>
    <w:rsid w:val="000725CA"/>
    <w:rsid w:val="00072B82"/>
    <w:rsid w:val="00073D65"/>
    <w:rsid w:val="00075D88"/>
    <w:rsid w:val="00080DA9"/>
    <w:rsid w:val="00081675"/>
    <w:rsid w:val="00091CD4"/>
    <w:rsid w:val="000941EE"/>
    <w:rsid w:val="00094245"/>
    <w:rsid w:val="0009575D"/>
    <w:rsid w:val="000A2D83"/>
    <w:rsid w:val="000A3DB3"/>
    <w:rsid w:val="000A5E37"/>
    <w:rsid w:val="000A6933"/>
    <w:rsid w:val="000A7938"/>
    <w:rsid w:val="000C0BED"/>
    <w:rsid w:val="000C0F58"/>
    <w:rsid w:val="000C4596"/>
    <w:rsid w:val="000D2395"/>
    <w:rsid w:val="000D29B9"/>
    <w:rsid w:val="000D2D38"/>
    <w:rsid w:val="000D7BB1"/>
    <w:rsid w:val="000D7FBC"/>
    <w:rsid w:val="000E10BC"/>
    <w:rsid w:val="000E1259"/>
    <w:rsid w:val="000E7032"/>
    <w:rsid w:val="000F0291"/>
    <w:rsid w:val="000F138A"/>
    <w:rsid w:val="000F148E"/>
    <w:rsid w:val="000F603A"/>
    <w:rsid w:val="000F6FBE"/>
    <w:rsid w:val="000F720F"/>
    <w:rsid w:val="0010372B"/>
    <w:rsid w:val="00106586"/>
    <w:rsid w:val="00106921"/>
    <w:rsid w:val="00110A8D"/>
    <w:rsid w:val="00115453"/>
    <w:rsid w:val="00122DEB"/>
    <w:rsid w:val="0012369E"/>
    <w:rsid w:val="001252D8"/>
    <w:rsid w:val="00132C88"/>
    <w:rsid w:val="0013399E"/>
    <w:rsid w:val="00134E75"/>
    <w:rsid w:val="001353A6"/>
    <w:rsid w:val="00135FC6"/>
    <w:rsid w:val="001364CD"/>
    <w:rsid w:val="0013721F"/>
    <w:rsid w:val="001375AC"/>
    <w:rsid w:val="001412D4"/>
    <w:rsid w:val="0014514D"/>
    <w:rsid w:val="001462EB"/>
    <w:rsid w:val="0014632A"/>
    <w:rsid w:val="0015053F"/>
    <w:rsid w:val="00153F13"/>
    <w:rsid w:val="00163AFD"/>
    <w:rsid w:val="001707A7"/>
    <w:rsid w:val="00171DC6"/>
    <w:rsid w:val="00172369"/>
    <w:rsid w:val="001723A5"/>
    <w:rsid w:val="00173692"/>
    <w:rsid w:val="00176750"/>
    <w:rsid w:val="001812C8"/>
    <w:rsid w:val="00182469"/>
    <w:rsid w:val="0018256C"/>
    <w:rsid w:val="00182B16"/>
    <w:rsid w:val="00186FCC"/>
    <w:rsid w:val="001903D2"/>
    <w:rsid w:val="00194F2B"/>
    <w:rsid w:val="001969EF"/>
    <w:rsid w:val="001A1F41"/>
    <w:rsid w:val="001A352C"/>
    <w:rsid w:val="001A4B83"/>
    <w:rsid w:val="001A53D9"/>
    <w:rsid w:val="001A67EF"/>
    <w:rsid w:val="001B2914"/>
    <w:rsid w:val="001B29C2"/>
    <w:rsid w:val="001B705D"/>
    <w:rsid w:val="001B7C9A"/>
    <w:rsid w:val="001C255F"/>
    <w:rsid w:val="001C6944"/>
    <w:rsid w:val="001C6D2E"/>
    <w:rsid w:val="001C7A7C"/>
    <w:rsid w:val="001C7E14"/>
    <w:rsid w:val="001D2BBC"/>
    <w:rsid w:val="001E10ED"/>
    <w:rsid w:val="001E2A99"/>
    <w:rsid w:val="001E42DA"/>
    <w:rsid w:val="001F0A11"/>
    <w:rsid w:val="001F3C26"/>
    <w:rsid w:val="001F6E59"/>
    <w:rsid w:val="001F76B6"/>
    <w:rsid w:val="002033BE"/>
    <w:rsid w:val="00205CBF"/>
    <w:rsid w:val="0020715A"/>
    <w:rsid w:val="00210063"/>
    <w:rsid w:val="002149ED"/>
    <w:rsid w:val="0021635A"/>
    <w:rsid w:val="00216FA8"/>
    <w:rsid w:val="00222032"/>
    <w:rsid w:val="00231C27"/>
    <w:rsid w:val="00232E40"/>
    <w:rsid w:val="0024116D"/>
    <w:rsid w:val="00243FE2"/>
    <w:rsid w:val="0025287D"/>
    <w:rsid w:val="002568B7"/>
    <w:rsid w:val="00265B40"/>
    <w:rsid w:val="0027127D"/>
    <w:rsid w:val="00272ED1"/>
    <w:rsid w:val="002730F6"/>
    <w:rsid w:val="002756EB"/>
    <w:rsid w:val="00275779"/>
    <w:rsid w:val="00277EC9"/>
    <w:rsid w:val="00277F4A"/>
    <w:rsid w:val="002849DD"/>
    <w:rsid w:val="00285EE7"/>
    <w:rsid w:val="002959A6"/>
    <w:rsid w:val="00297B83"/>
    <w:rsid w:val="002A214C"/>
    <w:rsid w:val="002A39C9"/>
    <w:rsid w:val="002A4E98"/>
    <w:rsid w:val="002A5EEF"/>
    <w:rsid w:val="002A60FF"/>
    <w:rsid w:val="002B17CD"/>
    <w:rsid w:val="002B189B"/>
    <w:rsid w:val="002B24B5"/>
    <w:rsid w:val="002B2FED"/>
    <w:rsid w:val="002B3881"/>
    <w:rsid w:val="002B5EC2"/>
    <w:rsid w:val="002B7381"/>
    <w:rsid w:val="002C24BD"/>
    <w:rsid w:val="002E0384"/>
    <w:rsid w:val="002E0E35"/>
    <w:rsid w:val="002E39E9"/>
    <w:rsid w:val="002E5B4E"/>
    <w:rsid w:val="002F1583"/>
    <w:rsid w:val="002F3F6C"/>
    <w:rsid w:val="002F71B0"/>
    <w:rsid w:val="00303015"/>
    <w:rsid w:val="003057A2"/>
    <w:rsid w:val="00306E49"/>
    <w:rsid w:val="003100C6"/>
    <w:rsid w:val="00310D06"/>
    <w:rsid w:val="003149E3"/>
    <w:rsid w:val="00315C19"/>
    <w:rsid w:val="0031673F"/>
    <w:rsid w:val="00316D99"/>
    <w:rsid w:val="0032059D"/>
    <w:rsid w:val="00320EC6"/>
    <w:rsid w:val="0032318D"/>
    <w:rsid w:val="0032345B"/>
    <w:rsid w:val="003254CB"/>
    <w:rsid w:val="0032760B"/>
    <w:rsid w:val="003307AD"/>
    <w:rsid w:val="00330F69"/>
    <w:rsid w:val="003423C7"/>
    <w:rsid w:val="00347569"/>
    <w:rsid w:val="00347F88"/>
    <w:rsid w:val="00355753"/>
    <w:rsid w:val="00355EB3"/>
    <w:rsid w:val="00357DA4"/>
    <w:rsid w:val="00360D37"/>
    <w:rsid w:val="00361FB4"/>
    <w:rsid w:val="003636D1"/>
    <w:rsid w:val="0036576C"/>
    <w:rsid w:val="0036604D"/>
    <w:rsid w:val="003711E1"/>
    <w:rsid w:val="003718DD"/>
    <w:rsid w:val="00373005"/>
    <w:rsid w:val="00381B3F"/>
    <w:rsid w:val="003828BB"/>
    <w:rsid w:val="00386861"/>
    <w:rsid w:val="00387C99"/>
    <w:rsid w:val="00390417"/>
    <w:rsid w:val="003918C3"/>
    <w:rsid w:val="00392563"/>
    <w:rsid w:val="0039273E"/>
    <w:rsid w:val="0039386C"/>
    <w:rsid w:val="00394C39"/>
    <w:rsid w:val="003968E7"/>
    <w:rsid w:val="00396E27"/>
    <w:rsid w:val="003A1D2D"/>
    <w:rsid w:val="003A28D6"/>
    <w:rsid w:val="003A4523"/>
    <w:rsid w:val="003A5D34"/>
    <w:rsid w:val="003B399F"/>
    <w:rsid w:val="003B3B79"/>
    <w:rsid w:val="003B47D9"/>
    <w:rsid w:val="003B503B"/>
    <w:rsid w:val="003B504A"/>
    <w:rsid w:val="003B70BA"/>
    <w:rsid w:val="003C1370"/>
    <w:rsid w:val="003C13D2"/>
    <w:rsid w:val="003C3D9D"/>
    <w:rsid w:val="003C3FC8"/>
    <w:rsid w:val="003C4224"/>
    <w:rsid w:val="003C60E2"/>
    <w:rsid w:val="003C617B"/>
    <w:rsid w:val="003D2307"/>
    <w:rsid w:val="003D24DE"/>
    <w:rsid w:val="003D4E52"/>
    <w:rsid w:val="003D793B"/>
    <w:rsid w:val="003D79EC"/>
    <w:rsid w:val="003D7BA5"/>
    <w:rsid w:val="003F3839"/>
    <w:rsid w:val="003F5E04"/>
    <w:rsid w:val="00401EA2"/>
    <w:rsid w:val="00403E75"/>
    <w:rsid w:val="0040548B"/>
    <w:rsid w:val="00405F78"/>
    <w:rsid w:val="00406601"/>
    <w:rsid w:val="00407AF3"/>
    <w:rsid w:val="0041137C"/>
    <w:rsid w:val="004135EA"/>
    <w:rsid w:val="004178CF"/>
    <w:rsid w:val="0042014C"/>
    <w:rsid w:val="004204D5"/>
    <w:rsid w:val="0042138D"/>
    <w:rsid w:val="00422712"/>
    <w:rsid w:val="0042346E"/>
    <w:rsid w:val="00424A1E"/>
    <w:rsid w:val="0042558F"/>
    <w:rsid w:val="00426944"/>
    <w:rsid w:val="004359CB"/>
    <w:rsid w:val="00440D94"/>
    <w:rsid w:val="004413F4"/>
    <w:rsid w:val="00442325"/>
    <w:rsid w:val="00443035"/>
    <w:rsid w:val="00450824"/>
    <w:rsid w:val="0045088B"/>
    <w:rsid w:val="00450A6B"/>
    <w:rsid w:val="004516E6"/>
    <w:rsid w:val="0045317C"/>
    <w:rsid w:val="004540A3"/>
    <w:rsid w:val="004548C1"/>
    <w:rsid w:val="00457DAF"/>
    <w:rsid w:val="00461E56"/>
    <w:rsid w:val="004670CD"/>
    <w:rsid w:val="00470019"/>
    <w:rsid w:val="00470091"/>
    <w:rsid w:val="004733DD"/>
    <w:rsid w:val="00474343"/>
    <w:rsid w:val="0047556C"/>
    <w:rsid w:val="0048242D"/>
    <w:rsid w:val="00482431"/>
    <w:rsid w:val="0048552A"/>
    <w:rsid w:val="00486613"/>
    <w:rsid w:val="00490225"/>
    <w:rsid w:val="004903CC"/>
    <w:rsid w:val="00493F9B"/>
    <w:rsid w:val="00497B3E"/>
    <w:rsid w:val="004A0ECC"/>
    <w:rsid w:val="004A1869"/>
    <w:rsid w:val="004A3580"/>
    <w:rsid w:val="004A3AD6"/>
    <w:rsid w:val="004A526C"/>
    <w:rsid w:val="004A64F3"/>
    <w:rsid w:val="004A6B3C"/>
    <w:rsid w:val="004B1A04"/>
    <w:rsid w:val="004B1D86"/>
    <w:rsid w:val="004B2AE0"/>
    <w:rsid w:val="004B3B40"/>
    <w:rsid w:val="004B7136"/>
    <w:rsid w:val="004B7F4E"/>
    <w:rsid w:val="004C0A55"/>
    <w:rsid w:val="004C15FD"/>
    <w:rsid w:val="004C7A4C"/>
    <w:rsid w:val="004D1546"/>
    <w:rsid w:val="004D296D"/>
    <w:rsid w:val="004D360F"/>
    <w:rsid w:val="004D4C02"/>
    <w:rsid w:val="004D5217"/>
    <w:rsid w:val="004D6471"/>
    <w:rsid w:val="004E3307"/>
    <w:rsid w:val="004E6540"/>
    <w:rsid w:val="004F5D7B"/>
    <w:rsid w:val="004F629E"/>
    <w:rsid w:val="00503FFB"/>
    <w:rsid w:val="005105BB"/>
    <w:rsid w:val="00513D07"/>
    <w:rsid w:val="00513FBF"/>
    <w:rsid w:val="0051668A"/>
    <w:rsid w:val="00523799"/>
    <w:rsid w:val="00524F1C"/>
    <w:rsid w:val="005254E9"/>
    <w:rsid w:val="00530A4A"/>
    <w:rsid w:val="00532468"/>
    <w:rsid w:val="00534DCF"/>
    <w:rsid w:val="00534F35"/>
    <w:rsid w:val="00535D7E"/>
    <w:rsid w:val="00543C8F"/>
    <w:rsid w:val="005471F8"/>
    <w:rsid w:val="00547601"/>
    <w:rsid w:val="005477C8"/>
    <w:rsid w:val="005508FF"/>
    <w:rsid w:val="005515C6"/>
    <w:rsid w:val="00552424"/>
    <w:rsid w:val="00554B4B"/>
    <w:rsid w:val="00555218"/>
    <w:rsid w:val="00560860"/>
    <w:rsid w:val="005608E3"/>
    <w:rsid w:val="00560B74"/>
    <w:rsid w:val="0056278D"/>
    <w:rsid w:val="00563D70"/>
    <w:rsid w:val="00565125"/>
    <w:rsid w:val="0056636E"/>
    <w:rsid w:val="005747FE"/>
    <w:rsid w:val="0057593B"/>
    <w:rsid w:val="00575D80"/>
    <w:rsid w:val="00580D57"/>
    <w:rsid w:val="00582D3E"/>
    <w:rsid w:val="00585717"/>
    <w:rsid w:val="005905AB"/>
    <w:rsid w:val="00593F3B"/>
    <w:rsid w:val="00594EF3"/>
    <w:rsid w:val="00596916"/>
    <w:rsid w:val="00597C1E"/>
    <w:rsid w:val="005A1984"/>
    <w:rsid w:val="005A3278"/>
    <w:rsid w:val="005C3056"/>
    <w:rsid w:val="005C496A"/>
    <w:rsid w:val="005C4B72"/>
    <w:rsid w:val="005C57D5"/>
    <w:rsid w:val="005D089B"/>
    <w:rsid w:val="005D1697"/>
    <w:rsid w:val="005D1DB4"/>
    <w:rsid w:val="005D798B"/>
    <w:rsid w:val="005D7E6A"/>
    <w:rsid w:val="005E0026"/>
    <w:rsid w:val="005E36B0"/>
    <w:rsid w:val="005F2541"/>
    <w:rsid w:val="005F4E0A"/>
    <w:rsid w:val="005F564B"/>
    <w:rsid w:val="005F5DDC"/>
    <w:rsid w:val="00600A5F"/>
    <w:rsid w:val="00601D68"/>
    <w:rsid w:val="006032CB"/>
    <w:rsid w:val="00607EAB"/>
    <w:rsid w:val="00614767"/>
    <w:rsid w:val="00615604"/>
    <w:rsid w:val="00617925"/>
    <w:rsid w:val="00620CDE"/>
    <w:rsid w:val="00620DAF"/>
    <w:rsid w:val="00622460"/>
    <w:rsid w:val="006226C1"/>
    <w:rsid w:val="006242B7"/>
    <w:rsid w:val="00624304"/>
    <w:rsid w:val="00624D6F"/>
    <w:rsid w:val="0062786E"/>
    <w:rsid w:val="00627EB3"/>
    <w:rsid w:val="006325FE"/>
    <w:rsid w:val="006327C5"/>
    <w:rsid w:val="006328A5"/>
    <w:rsid w:val="00632F71"/>
    <w:rsid w:val="006335A1"/>
    <w:rsid w:val="00634A0D"/>
    <w:rsid w:val="0064223E"/>
    <w:rsid w:val="006422B1"/>
    <w:rsid w:val="00642E9A"/>
    <w:rsid w:val="00642EBE"/>
    <w:rsid w:val="0064303A"/>
    <w:rsid w:val="0064304B"/>
    <w:rsid w:val="006442E4"/>
    <w:rsid w:val="00650EDD"/>
    <w:rsid w:val="00654EBA"/>
    <w:rsid w:val="00656ED3"/>
    <w:rsid w:val="006571DD"/>
    <w:rsid w:val="006577D7"/>
    <w:rsid w:val="00657D66"/>
    <w:rsid w:val="0067065B"/>
    <w:rsid w:val="00670F35"/>
    <w:rsid w:val="00671121"/>
    <w:rsid w:val="006737D0"/>
    <w:rsid w:val="006754ED"/>
    <w:rsid w:val="00676C89"/>
    <w:rsid w:val="00677AAB"/>
    <w:rsid w:val="00680491"/>
    <w:rsid w:val="0068202C"/>
    <w:rsid w:val="00682F79"/>
    <w:rsid w:val="006871AF"/>
    <w:rsid w:val="006900C9"/>
    <w:rsid w:val="006904FB"/>
    <w:rsid w:val="0069713B"/>
    <w:rsid w:val="006A11DF"/>
    <w:rsid w:val="006A35CD"/>
    <w:rsid w:val="006A4BF7"/>
    <w:rsid w:val="006A68B8"/>
    <w:rsid w:val="006A7052"/>
    <w:rsid w:val="006B0861"/>
    <w:rsid w:val="006B117D"/>
    <w:rsid w:val="006B132C"/>
    <w:rsid w:val="006B16C6"/>
    <w:rsid w:val="006B55F2"/>
    <w:rsid w:val="006B592A"/>
    <w:rsid w:val="006B6265"/>
    <w:rsid w:val="006B7FD4"/>
    <w:rsid w:val="006C1B08"/>
    <w:rsid w:val="006C3A8B"/>
    <w:rsid w:val="006C43FE"/>
    <w:rsid w:val="006D273F"/>
    <w:rsid w:val="006D7A50"/>
    <w:rsid w:val="006E4E51"/>
    <w:rsid w:val="006E6E01"/>
    <w:rsid w:val="006E74EB"/>
    <w:rsid w:val="006E7DAC"/>
    <w:rsid w:val="006F0170"/>
    <w:rsid w:val="006F0353"/>
    <w:rsid w:val="006F6BF7"/>
    <w:rsid w:val="007039EE"/>
    <w:rsid w:val="007045F0"/>
    <w:rsid w:val="007054F7"/>
    <w:rsid w:val="007066E3"/>
    <w:rsid w:val="00710CF4"/>
    <w:rsid w:val="007113A9"/>
    <w:rsid w:val="00713697"/>
    <w:rsid w:val="0071531F"/>
    <w:rsid w:val="00720861"/>
    <w:rsid w:val="007343FF"/>
    <w:rsid w:val="00734A4E"/>
    <w:rsid w:val="00735CCA"/>
    <w:rsid w:val="00744CA9"/>
    <w:rsid w:val="007519A2"/>
    <w:rsid w:val="00753B0A"/>
    <w:rsid w:val="00755EA3"/>
    <w:rsid w:val="007560F0"/>
    <w:rsid w:val="00760AC7"/>
    <w:rsid w:val="00761D76"/>
    <w:rsid w:val="00762BD7"/>
    <w:rsid w:val="00763C93"/>
    <w:rsid w:val="007669D2"/>
    <w:rsid w:val="00766EB6"/>
    <w:rsid w:val="00767F00"/>
    <w:rsid w:val="0077130A"/>
    <w:rsid w:val="007718C4"/>
    <w:rsid w:val="00772638"/>
    <w:rsid w:val="007729C9"/>
    <w:rsid w:val="00773696"/>
    <w:rsid w:val="007746C8"/>
    <w:rsid w:val="00774A74"/>
    <w:rsid w:val="0077647C"/>
    <w:rsid w:val="00781E72"/>
    <w:rsid w:val="007830FB"/>
    <w:rsid w:val="00785347"/>
    <w:rsid w:val="00787BB7"/>
    <w:rsid w:val="0079790B"/>
    <w:rsid w:val="007A10E1"/>
    <w:rsid w:val="007A1596"/>
    <w:rsid w:val="007A65A0"/>
    <w:rsid w:val="007B202C"/>
    <w:rsid w:val="007B2F3E"/>
    <w:rsid w:val="007B576C"/>
    <w:rsid w:val="007B6860"/>
    <w:rsid w:val="007C0F0C"/>
    <w:rsid w:val="007C23DF"/>
    <w:rsid w:val="007C2909"/>
    <w:rsid w:val="007C7BBF"/>
    <w:rsid w:val="007D0961"/>
    <w:rsid w:val="007D3EC4"/>
    <w:rsid w:val="007D5349"/>
    <w:rsid w:val="007D7BFC"/>
    <w:rsid w:val="007E105D"/>
    <w:rsid w:val="007F141A"/>
    <w:rsid w:val="007F4115"/>
    <w:rsid w:val="007F7007"/>
    <w:rsid w:val="00800C38"/>
    <w:rsid w:val="0080415E"/>
    <w:rsid w:val="008050D0"/>
    <w:rsid w:val="00806275"/>
    <w:rsid w:val="008119C5"/>
    <w:rsid w:val="00811F14"/>
    <w:rsid w:val="00812881"/>
    <w:rsid w:val="00814DCD"/>
    <w:rsid w:val="00817140"/>
    <w:rsid w:val="00817C99"/>
    <w:rsid w:val="00821CDD"/>
    <w:rsid w:val="00824477"/>
    <w:rsid w:val="00825EEE"/>
    <w:rsid w:val="008261AA"/>
    <w:rsid w:val="00826C12"/>
    <w:rsid w:val="00830187"/>
    <w:rsid w:val="00832F3E"/>
    <w:rsid w:val="008352CD"/>
    <w:rsid w:val="008372BE"/>
    <w:rsid w:val="00841EA7"/>
    <w:rsid w:val="00845FD9"/>
    <w:rsid w:val="008464B5"/>
    <w:rsid w:val="00850B0E"/>
    <w:rsid w:val="0085105B"/>
    <w:rsid w:val="00852A3E"/>
    <w:rsid w:val="0085739B"/>
    <w:rsid w:val="00860DD4"/>
    <w:rsid w:val="00862D15"/>
    <w:rsid w:val="00863AB5"/>
    <w:rsid w:val="0086508B"/>
    <w:rsid w:val="00870B73"/>
    <w:rsid w:val="008719F5"/>
    <w:rsid w:val="0087385D"/>
    <w:rsid w:val="00873C3F"/>
    <w:rsid w:val="00873E72"/>
    <w:rsid w:val="00875633"/>
    <w:rsid w:val="0087643F"/>
    <w:rsid w:val="00876EA3"/>
    <w:rsid w:val="00883313"/>
    <w:rsid w:val="008846C0"/>
    <w:rsid w:val="00896369"/>
    <w:rsid w:val="008963FF"/>
    <w:rsid w:val="008A17DC"/>
    <w:rsid w:val="008A1943"/>
    <w:rsid w:val="008A4193"/>
    <w:rsid w:val="008A4427"/>
    <w:rsid w:val="008A58A6"/>
    <w:rsid w:val="008A6EF8"/>
    <w:rsid w:val="008B12B5"/>
    <w:rsid w:val="008B392D"/>
    <w:rsid w:val="008B7900"/>
    <w:rsid w:val="008C0802"/>
    <w:rsid w:val="008C0BCA"/>
    <w:rsid w:val="008C4F32"/>
    <w:rsid w:val="008E06DE"/>
    <w:rsid w:val="008E0846"/>
    <w:rsid w:val="008E1905"/>
    <w:rsid w:val="008E6066"/>
    <w:rsid w:val="008E7800"/>
    <w:rsid w:val="008F12F8"/>
    <w:rsid w:val="008F597F"/>
    <w:rsid w:val="00901757"/>
    <w:rsid w:val="00902408"/>
    <w:rsid w:val="009026D6"/>
    <w:rsid w:val="00903500"/>
    <w:rsid w:val="00912223"/>
    <w:rsid w:val="00914500"/>
    <w:rsid w:val="00916365"/>
    <w:rsid w:val="00916367"/>
    <w:rsid w:val="00920D19"/>
    <w:rsid w:val="00922110"/>
    <w:rsid w:val="0092250C"/>
    <w:rsid w:val="0092297B"/>
    <w:rsid w:val="00923052"/>
    <w:rsid w:val="0092396D"/>
    <w:rsid w:val="0092594C"/>
    <w:rsid w:val="00930A66"/>
    <w:rsid w:val="00930C60"/>
    <w:rsid w:val="00931110"/>
    <w:rsid w:val="0093204B"/>
    <w:rsid w:val="0093452E"/>
    <w:rsid w:val="0094002D"/>
    <w:rsid w:val="00941A69"/>
    <w:rsid w:val="009441BA"/>
    <w:rsid w:val="009456EE"/>
    <w:rsid w:val="00945F5B"/>
    <w:rsid w:val="00946795"/>
    <w:rsid w:val="009520BC"/>
    <w:rsid w:val="009538CC"/>
    <w:rsid w:val="009539C8"/>
    <w:rsid w:val="009565A3"/>
    <w:rsid w:val="009576A6"/>
    <w:rsid w:val="00957ED5"/>
    <w:rsid w:val="00960C38"/>
    <w:rsid w:val="00961E8E"/>
    <w:rsid w:val="00962510"/>
    <w:rsid w:val="0096302F"/>
    <w:rsid w:val="00964431"/>
    <w:rsid w:val="00964442"/>
    <w:rsid w:val="00965DCD"/>
    <w:rsid w:val="0096708B"/>
    <w:rsid w:val="0098431A"/>
    <w:rsid w:val="00984A3D"/>
    <w:rsid w:val="00984F16"/>
    <w:rsid w:val="00987087"/>
    <w:rsid w:val="00993E94"/>
    <w:rsid w:val="0099622D"/>
    <w:rsid w:val="0099736C"/>
    <w:rsid w:val="009A012A"/>
    <w:rsid w:val="009A0E63"/>
    <w:rsid w:val="009A0F91"/>
    <w:rsid w:val="009A188D"/>
    <w:rsid w:val="009A3387"/>
    <w:rsid w:val="009A4621"/>
    <w:rsid w:val="009B1644"/>
    <w:rsid w:val="009B259A"/>
    <w:rsid w:val="009B4F8C"/>
    <w:rsid w:val="009B5342"/>
    <w:rsid w:val="009B6541"/>
    <w:rsid w:val="009B723D"/>
    <w:rsid w:val="009B79B5"/>
    <w:rsid w:val="009D0CAC"/>
    <w:rsid w:val="009D4C0B"/>
    <w:rsid w:val="009D5F2E"/>
    <w:rsid w:val="009D73B0"/>
    <w:rsid w:val="009E089F"/>
    <w:rsid w:val="009E1575"/>
    <w:rsid w:val="009E3978"/>
    <w:rsid w:val="009E6A87"/>
    <w:rsid w:val="009E73DE"/>
    <w:rsid w:val="009F30FD"/>
    <w:rsid w:val="009F5469"/>
    <w:rsid w:val="009F7065"/>
    <w:rsid w:val="00A04368"/>
    <w:rsid w:val="00A05C57"/>
    <w:rsid w:val="00A06790"/>
    <w:rsid w:val="00A176E6"/>
    <w:rsid w:val="00A179D8"/>
    <w:rsid w:val="00A21AD1"/>
    <w:rsid w:val="00A21F9A"/>
    <w:rsid w:val="00A2205F"/>
    <w:rsid w:val="00A23159"/>
    <w:rsid w:val="00A25016"/>
    <w:rsid w:val="00A302A4"/>
    <w:rsid w:val="00A31C46"/>
    <w:rsid w:val="00A34DF3"/>
    <w:rsid w:val="00A41F8D"/>
    <w:rsid w:val="00A45BED"/>
    <w:rsid w:val="00A47C72"/>
    <w:rsid w:val="00A50029"/>
    <w:rsid w:val="00A54488"/>
    <w:rsid w:val="00A61016"/>
    <w:rsid w:val="00A6676C"/>
    <w:rsid w:val="00A67E10"/>
    <w:rsid w:val="00A701FA"/>
    <w:rsid w:val="00A7253E"/>
    <w:rsid w:val="00A72EA0"/>
    <w:rsid w:val="00A72EC3"/>
    <w:rsid w:val="00A73E55"/>
    <w:rsid w:val="00A7696E"/>
    <w:rsid w:val="00A77C8E"/>
    <w:rsid w:val="00A80924"/>
    <w:rsid w:val="00A82A6A"/>
    <w:rsid w:val="00A85112"/>
    <w:rsid w:val="00A96C97"/>
    <w:rsid w:val="00AA3226"/>
    <w:rsid w:val="00AA3D28"/>
    <w:rsid w:val="00AA3D57"/>
    <w:rsid w:val="00AA40C1"/>
    <w:rsid w:val="00AA4552"/>
    <w:rsid w:val="00AA4C8B"/>
    <w:rsid w:val="00AB19A9"/>
    <w:rsid w:val="00AB37EE"/>
    <w:rsid w:val="00AB518E"/>
    <w:rsid w:val="00AB781E"/>
    <w:rsid w:val="00AC2774"/>
    <w:rsid w:val="00AC4365"/>
    <w:rsid w:val="00AC54F3"/>
    <w:rsid w:val="00AC7468"/>
    <w:rsid w:val="00AE09DB"/>
    <w:rsid w:val="00AE09FF"/>
    <w:rsid w:val="00AE0A18"/>
    <w:rsid w:val="00AE3501"/>
    <w:rsid w:val="00AE645F"/>
    <w:rsid w:val="00AF0AFE"/>
    <w:rsid w:val="00AF1A44"/>
    <w:rsid w:val="00AF35D8"/>
    <w:rsid w:val="00AF465B"/>
    <w:rsid w:val="00AF4F66"/>
    <w:rsid w:val="00AF5D0C"/>
    <w:rsid w:val="00AF795D"/>
    <w:rsid w:val="00B020A3"/>
    <w:rsid w:val="00B11F0F"/>
    <w:rsid w:val="00B13BEA"/>
    <w:rsid w:val="00B15429"/>
    <w:rsid w:val="00B1573A"/>
    <w:rsid w:val="00B166E8"/>
    <w:rsid w:val="00B17CD4"/>
    <w:rsid w:val="00B24849"/>
    <w:rsid w:val="00B2614B"/>
    <w:rsid w:val="00B31833"/>
    <w:rsid w:val="00B339DC"/>
    <w:rsid w:val="00B36787"/>
    <w:rsid w:val="00B370D4"/>
    <w:rsid w:val="00B377AF"/>
    <w:rsid w:val="00B433AA"/>
    <w:rsid w:val="00B43D02"/>
    <w:rsid w:val="00B503F6"/>
    <w:rsid w:val="00B524D7"/>
    <w:rsid w:val="00B549C5"/>
    <w:rsid w:val="00B55949"/>
    <w:rsid w:val="00B5650B"/>
    <w:rsid w:val="00B648FE"/>
    <w:rsid w:val="00B708B4"/>
    <w:rsid w:val="00B728C4"/>
    <w:rsid w:val="00B72CD5"/>
    <w:rsid w:val="00B7380A"/>
    <w:rsid w:val="00B74D03"/>
    <w:rsid w:val="00B80E43"/>
    <w:rsid w:val="00B8354F"/>
    <w:rsid w:val="00B85C23"/>
    <w:rsid w:val="00B87DEB"/>
    <w:rsid w:val="00B93A5B"/>
    <w:rsid w:val="00B93ABC"/>
    <w:rsid w:val="00B940EA"/>
    <w:rsid w:val="00B945FD"/>
    <w:rsid w:val="00B96901"/>
    <w:rsid w:val="00B969A2"/>
    <w:rsid w:val="00BA1201"/>
    <w:rsid w:val="00BA44C2"/>
    <w:rsid w:val="00BA5B8B"/>
    <w:rsid w:val="00BA6F24"/>
    <w:rsid w:val="00BB2439"/>
    <w:rsid w:val="00BB38DA"/>
    <w:rsid w:val="00BB52EB"/>
    <w:rsid w:val="00BB7186"/>
    <w:rsid w:val="00BC2F5D"/>
    <w:rsid w:val="00BC71E1"/>
    <w:rsid w:val="00BD051B"/>
    <w:rsid w:val="00BD3C0C"/>
    <w:rsid w:val="00BD3FFC"/>
    <w:rsid w:val="00BE4785"/>
    <w:rsid w:val="00BE47CF"/>
    <w:rsid w:val="00BE5BC4"/>
    <w:rsid w:val="00BF3A1E"/>
    <w:rsid w:val="00BF51F1"/>
    <w:rsid w:val="00BF567D"/>
    <w:rsid w:val="00BF7523"/>
    <w:rsid w:val="00C0038C"/>
    <w:rsid w:val="00C0110C"/>
    <w:rsid w:val="00C04180"/>
    <w:rsid w:val="00C045A3"/>
    <w:rsid w:val="00C072E0"/>
    <w:rsid w:val="00C10BF6"/>
    <w:rsid w:val="00C11AA7"/>
    <w:rsid w:val="00C148C6"/>
    <w:rsid w:val="00C15260"/>
    <w:rsid w:val="00C15B35"/>
    <w:rsid w:val="00C16660"/>
    <w:rsid w:val="00C17916"/>
    <w:rsid w:val="00C2156B"/>
    <w:rsid w:val="00C22A40"/>
    <w:rsid w:val="00C238BD"/>
    <w:rsid w:val="00C2709C"/>
    <w:rsid w:val="00C32705"/>
    <w:rsid w:val="00C333D7"/>
    <w:rsid w:val="00C34F30"/>
    <w:rsid w:val="00C34F80"/>
    <w:rsid w:val="00C35BAF"/>
    <w:rsid w:val="00C429E0"/>
    <w:rsid w:val="00C458CF"/>
    <w:rsid w:val="00C53C05"/>
    <w:rsid w:val="00C5578E"/>
    <w:rsid w:val="00C618F0"/>
    <w:rsid w:val="00C63D3C"/>
    <w:rsid w:val="00C64E7A"/>
    <w:rsid w:val="00C66361"/>
    <w:rsid w:val="00C71BC0"/>
    <w:rsid w:val="00C72485"/>
    <w:rsid w:val="00C72BA7"/>
    <w:rsid w:val="00C74294"/>
    <w:rsid w:val="00C801BE"/>
    <w:rsid w:val="00C80DAF"/>
    <w:rsid w:val="00C83F12"/>
    <w:rsid w:val="00C87BF4"/>
    <w:rsid w:val="00C9160A"/>
    <w:rsid w:val="00C923D8"/>
    <w:rsid w:val="00CA0713"/>
    <w:rsid w:val="00CA1A21"/>
    <w:rsid w:val="00CA2C90"/>
    <w:rsid w:val="00CA2EDF"/>
    <w:rsid w:val="00CA4A0C"/>
    <w:rsid w:val="00CA677B"/>
    <w:rsid w:val="00CA6870"/>
    <w:rsid w:val="00CB18EB"/>
    <w:rsid w:val="00CB378E"/>
    <w:rsid w:val="00CB6573"/>
    <w:rsid w:val="00CB6FBE"/>
    <w:rsid w:val="00CC109C"/>
    <w:rsid w:val="00CC2754"/>
    <w:rsid w:val="00CC5419"/>
    <w:rsid w:val="00CD0995"/>
    <w:rsid w:val="00CD0B6A"/>
    <w:rsid w:val="00CD13AC"/>
    <w:rsid w:val="00CD1C10"/>
    <w:rsid w:val="00CD5ABC"/>
    <w:rsid w:val="00CD6F0B"/>
    <w:rsid w:val="00CD7613"/>
    <w:rsid w:val="00CD7B18"/>
    <w:rsid w:val="00CD7E03"/>
    <w:rsid w:val="00CD7E7F"/>
    <w:rsid w:val="00CE0FFA"/>
    <w:rsid w:val="00CE7EBE"/>
    <w:rsid w:val="00CF36D6"/>
    <w:rsid w:val="00CF5B43"/>
    <w:rsid w:val="00CF69E9"/>
    <w:rsid w:val="00D002DC"/>
    <w:rsid w:val="00D004D5"/>
    <w:rsid w:val="00D004E9"/>
    <w:rsid w:val="00D028DD"/>
    <w:rsid w:val="00D07FA5"/>
    <w:rsid w:val="00D1540F"/>
    <w:rsid w:val="00D24A25"/>
    <w:rsid w:val="00D2726F"/>
    <w:rsid w:val="00D36324"/>
    <w:rsid w:val="00D363FB"/>
    <w:rsid w:val="00D365E4"/>
    <w:rsid w:val="00D37CC7"/>
    <w:rsid w:val="00D37F0E"/>
    <w:rsid w:val="00D40769"/>
    <w:rsid w:val="00D40F4D"/>
    <w:rsid w:val="00D4406B"/>
    <w:rsid w:val="00D457D1"/>
    <w:rsid w:val="00D45BA0"/>
    <w:rsid w:val="00D56441"/>
    <w:rsid w:val="00D6224F"/>
    <w:rsid w:val="00D62327"/>
    <w:rsid w:val="00D628FA"/>
    <w:rsid w:val="00D75EA7"/>
    <w:rsid w:val="00D849AE"/>
    <w:rsid w:val="00D863CF"/>
    <w:rsid w:val="00D86E07"/>
    <w:rsid w:val="00D91C23"/>
    <w:rsid w:val="00D930D2"/>
    <w:rsid w:val="00D94716"/>
    <w:rsid w:val="00D95C4D"/>
    <w:rsid w:val="00D96196"/>
    <w:rsid w:val="00D97E66"/>
    <w:rsid w:val="00DA1852"/>
    <w:rsid w:val="00DA1C65"/>
    <w:rsid w:val="00DA4050"/>
    <w:rsid w:val="00DA50A6"/>
    <w:rsid w:val="00DA5EB6"/>
    <w:rsid w:val="00DB043D"/>
    <w:rsid w:val="00DB2A05"/>
    <w:rsid w:val="00DB67E9"/>
    <w:rsid w:val="00DB7DB6"/>
    <w:rsid w:val="00DC0230"/>
    <w:rsid w:val="00DC05C3"/>
    <w:rsid w:val="00DC2153"/>
    <w:rsid w:val="00DC774E"/>
    <w:rsid w:val="00DD02C8"/>
    <w:rsid w:val="00DD7C73"/>
    <w:rsid w:val="00DE1A14"/>
    <w:rsid w:val="00DE2332"/>
    <w:rsid w:val="00DE2678"/>
    <w:rsid w:val="00DE3854"/>
    <w:rsid w:val="00DF2AA6"/>
    <w:rsid w:val="00DF372D"/>
    <w:rsid w:val="00DF4F70"/>
    <w:rsid w:val="00DF5614"/>
    <w:rsid w:val="00DF5656"/>
    <w:rsid w:val="00DF73E9"/>
    <w:rsid w:val="00DF7E16"/>
    <w:rsid w:val="00DF7FD3"/>
    <w:rsid w:val="00E01206"/>
    <w:rsid w:val="00E012BA"/>
    <w:rsid w:val="00E01DF9"/>
    <w:rsid w:val="00E02A73"/>
    <w:rsid w:val="00E07999"/>
    <w:rsid w:val="00E1783C"/>
    <w:rsid w:val="00E20F74"/>
    <w:rsid w:val="00E219EE"/>
    <w:rsid w:val="00E27D58"/>
    <w:rsid w:val="00E31A27"/>
    <w:rsid w:val="00E3520C"/>
    <w:rsid w:val="00E3683B"/>
    <w:rsid w:val="00E41075"/>
    <w:rsid w:val="00E457FD"/>
    <w:rsid w:val="00E46039"/>
    <w:rsid w:val="00E5005F"/>
    <w:rsid w:val="00E50D25"/>
    <w:rsid w:val="00E51CC3"/>
    <w:rsid w:val="00E526D7"/>
    <w:rsid w:val="00E52898"/>
    <w:rsid w:val="00E57944"/>
    <w:rsid w:val="00E6450C"/>
    <w:rsid w:val="00E64B7D"/>
    <w:rsid w:val="00E67638"/>
    <w:rsid w:val="00E7003F"/>
    <w:rsid w:val="00E703B5"/>
    <w:rsid w:val="00E72D00"/>
    <w:rsid w:val="00E73E41"/>
    <w:rsid w:val="00E75C49"/>
    <w:rsid w:val="00E76C62"/>
    <w:rsid w:val="00E77663"/>
    <w:rsid w:val="00E819F3"/>
    <w:rsid w:val="00E857DC"/>
    <w:rsid w:val="00E85D49"/>
    <w:rsid w:val="00E85FF6"/>
    <w:rsid w:val="00E92846"/>
    <w:rsid w:val="00E95B8F"/>
    <w:rsid w:val="00E96267"/>
    <w:rsid w:val="00E96D47"/>
    <w:rsid w:val="00E97A51"/>
    <w:rsid w:val="00E97BEA"/>
    <w:rsid w:val="00EA1376"/>
    <w:rsid w:val="00EA3683"/>
    <w:rsid w:val="00EA69BC"/>
    <w:rsid w:val="00EB14F0"/>
    <w:rsid w:val="00EB2EB8"/>
    <w:rsid w:val="00EB2F43"/>
    <w:rsid w:val="00EB6AD3"/>
    <w:rsid w:val="00EB7BDA"/>
    <w:rsid w:val="00EC1AC3"/>
    <w:rsid w:val="00EC7121"/>
    <w:rsid w:val="00ED5950"/>
    <w:rsid w:val="00ED6D78"/>
    <w:rsid w:val="00EE0BFB"/>
    <w:rsid w:val="00EE3243"/>
    <w:rsid w:val="00EE506C"/>
    <w:rsid w:val="00EE66BB"/>
    <w:rsid w:val="00EE7BFE"/>
    <w:rsid w:val="00EF1D07"/>
    <w:rsid w:val="00EF29EE"/>
    <w:rsid w:val="00EF34F8"/>
    <w:rsid w:val="00F00894"/>
    <w:rsid w:val="00F0187F"/>
    <w:rsid w:val="00F022D0"/>
    <w:rsid w:val="00F03DCB"/>
    <w:rsid w:val="00F04F38"/>
    <w:rsid w:val="00F05C09"/>
    <w:rsid w:val="00F1087D"/>
    <w:rsid w:val="00F122D7"/>
    <w:rsid w:val="00F1283C"/>
    <w:rsid w:val="00F21763"/>
    <w:rsid w:val="00F21BC1"/>
    <w:rsid w:val="00F31D7A"/>
    <w:rsid w:val="00F327CE"/>
    <w:rsid w:val="00F360E3"/>
    <w:rsid w:val="00F4402D"/>
    <w:rsid w:val="00F45224"/>
    <w:rsid w:val="00F4603D"/>
    <w:rsid w:val="00F50FDE"/>
    <w:rsid w:val="00F51426"/>
    <w:rsid w:val="00F64E75"/>
    <w:rsid w:val="00F656D4"/>
    <w:rsid w:val="00F74449"/>
    <w:rsid w:val="00F75956"/>
    <w:rsid w:val="00F77AD9"/>
    <w:rsid w:val="00F77E46"/>
    <w:rsid w:val="00F80FB6"/>
    <w:rsid w:val="00F87999"/>
    <w:rsid w:val="00F87F5B"/>
    <w:rsid w:val="00F96B3A"/>
    <w:rsid w:val="00F97BB3"/>
    <w:rsid w:val="00FA0497"/>
    <w:rsid w:val="00FA501B"/>
    <w:rsid w:val="00FB0696"/>
    <w:rsid w:val="00FB2AC6"/>
    <w:rsid w:val="00FB3A21"/>
    <w:rsid w:val="00FB3CBE"/>
    <w:rsid w:val="00FB62FA"/>
    <w:rsid w:val="00FB7802"/>
    <w:rsid w:val="00FC71AD"/>
    <w:rsid w:val="00FD112B"/>
    <w:rsid w:val="00FD4777"/>
    <w:rsid w:val="00FD66A4"/>
    <w:rsid w:val="00FE056A"/>
    <w:rsid w:val="00FE0FD4"/>
    <w:rsid w:val="00FF53C0"/>
    <w:rsid w:val="00FF54FA"/>
    <w:rsid w:val="00FF6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F2117BB"/>
  <w15:chartTrackingRefBased/>
  <w15:docId w15:val="{F5992E85-722C-4A67-8283-F64CE8F4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4115"/>
    <w:pPr>
      <w:keepNext/>
      <w:keepLines/>
      <w:pBdr>
        <w:bottom w:val="single" w:sz="4" w:space="1" w:color="BFBFBF" w:themeColor="background1" w:themeShade="BF"/>
      </w:pBdr>
      <w:spacing w:before="240" w:after="0"/>
      <w:outlineLvl w:val="0"/>
    </w:pPr>
    <w:rPr>
      <w:rFonts w:asciiTheme="majorHAnsi" w:eastAsiaTheme="majorEastAsia" w:hAnsiTheme="majorHAnsi" w:cstheme="majorBidi"/>
      <w:b/>
      <w:sz w:val="32"/>
      <w:szCs w:val="28"/>
    </w:rPr>
  </w:style>
  <w:style w:type="paragraph" w:styleId="Heading2">
    <w:name w:val="heading 2"/>
    <w:basedOn w:val="Heading1"/>
    <w:next w:val="Normal"/>
    <w:link w:val="Heading2Char"/>
    <w:uiPriority w:val="9"/>
    <w:unhideWhenUsed/>
    <w:qFormat/>
    <w:rsid w:val="007F4115"/>
    <w:pPr>
      <w:pBdr>
        <w:bottom w:val="none" w:sz="0" w:space="0" w:color="auto"/>
      </w:pBdr>
      <w:outlineLvl w:val="1"/>
    </w:pPr>
    <w:rPr>
      <w:sz w:val="28"/>
      <w:szCs w:val="24"/>
    </w:rPr>
  </w:style>
  <w:style w:type="paragraph" w:styleId="Heading3">
    <w:name w:val="heading 3"/>
    <w:basedOn w:val="Normal"/>
    <w:next w:val="Normal"/>
    <w:link w:val="Heading3Char"/>
    <w:uiPriority w:val="9"/>
    <w:unhideWhenUsed/>
    <w:qFormat/>
    <w:rsid w:val="007F4115"/>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A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C72"/>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7C7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4115"/>
    <w:rPr>
      <w:rFonts w:asciiTheme="majorHAnsi" w:eastAsiaTheme="majorEastAsia" w:hAnsiTheme="majorHAnsi" w:cstheme="majorBidi"/>
      <w:b/>
      <w:sz w:val="32"/>
      <w:szCs w:val="28"/>
    </w:rPr>
  </w:style>
  <w:style w:type="paragraph" w:customStyle="1" w:styleId="FigureHeader">
    <w:name w:val="Figure Header"/>
    <w:basedOn w:val="Normal"/>
    <w:next w:val="Normal"/>
    <w:qFormat/>
    <w:rsid w:val="004204D5"/>
    <w:pPr>
      <w:keepNext/>
      <w:keepLines/>
    </w:pPr>
    <w:rPr>
      <w:b/>
      <w:sz w:val="24"/>
    </w:rPr>
  </w:style>
  <w:style w:type="character" w:customStyle="1" w:styleId="Heading2Char">
    <w:name w:val="Heading 2 Char"/>
    <w:basedOn w:val="DefaultParagraphFont"/>
    <w:link w:val="Heading2"/>
    <w:uiPriority w:val="9"/>
    <w:rsid w:val="007F4115"/>
    <w:rPr>
      <w:rFonts w:asciiTheme="majorHAnsi" w:eastAsiaTheme="majorEastAsia" w:hAnsiTheme="majorHAnsi" w:cstheme="majorBidi"/>
      <w:b/>
      <w:sz w:val="28"/>
      <w:szCs w:val="24"/>
    </w:rPr>
  </w:style>
  <w:style w:type="paragraph" w:styleId="Quote">
    <w:name w:val="Quote"/>
    <w:basedOn w:val="Normal"/>
    <w:next w:val="Normal"/>
    <w:link w:val="QuoteChar"/>
    <w:uiPriority w:val="29"/>
    <w:qFormat/>
    <w:rsid w:val="00DE385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E3854"/>
    <w:rPr>
      <w:i/>
      <w:iCs/>
      <w:color w:val="404040" w:themeColor="text1" w:themeTint="BF"/>
    </w:rPr>
  </w:style>
  <w:style w:type="paragraph" w:styleId="Header">
    <w:name w:val="header"/>
    <w:basedOn w:val="Normal"/>
    <w:link w:val="HeaderChar"/>
    <w:uiPriority w:val="99"/>
    <w:unhideWhenUsed/>
    <w:rsid w:val="00AC74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8"/>
  </w:style>
  <w:style w:type="paragraph" w:styleId="Footer">
    <w:name w:val="footer"/>
    <w:basedOn w:val="Normal"/>
    <w:link w:val="FooterChar"/>
    <w:uiPriority w:val="99"/>
    <w:unhideWhenUsed/>
    <w:rsid w:val="00A04368"/>
    <w:pPr>
      <w:tabs>
        <w:tab w:val="center" w:pos="4680"/>
        <w:tab w:val="right" w:pos="9360"/>
      </w:tabs>
      <w:spacing w:after="0" w:line="240" w:lineRule="auto"/>
    </w:pPr>
    <w:rPr>
      <w:sz w:val="16"/>
    </w:rPr>
  </w:style>
  <w:style w:type="character" w:customStyle="1" w:styleId="FooterChar">
    <w:name w:val="Footer Char"/>
    <w:basedOn w:val="DefaultParagraphFont"/>
    <w:link w:val="Footer"/>
    <w:uiPriority w:val="99"/>
    <w:rsid w:val="00A04368"/>
    <w:rPr>
      <w:sz w:val="16"/>
    </w:rPr>
  </w:style>
  <w:style w:type="paragraph" w:styleId="Bibliography">
    <w:name w:val="Bibliography"/>
    <w:basedOn w:val="Normal"/>
    <w:next w:val="Normal"/>
    <w:uiPriority w:val="37"/>
    <w:unhideWhenUsed/>
    <w:rsid w:val="00964442"/>
  </w:style>
  <w:style w:type="paragraph" w:customStyle="1" w:styleId="Code">
    <w:name w:val="Code"/>
    <w:basedOn w:val="NoSpacing"/>
    <w:qFormat/>
    <w:rsid w:val="00E97BEA"/>
    <w:pPr>
      <w:spacing w:after="120"/>
      <w:contextualSpacing/>
    </w:pPr>
    <w:rPr>
      <w:rFonts w:ascii="Consolas" w:hAnsi="Consolas"/>
      <w:sz w:val="18"/>
    </w:rPr>
  </w:style>
  <w:style w:type="character" w:styleId="Hyperlink">
    <w:name w:val="Hyperlink"/>
    <w:basedOn w:val="DefaultParagraphFont"/>
    <w:uiPriority w:val="99"/>
    <w:unhideWhenUsed/>
    <w:rsid w:val="00B93ABC"/>
    <w:rPr>
      <w:color w:val="0563C1" w:themeColor="hyperlink"/>
      <w:u w:val="single"/>
    </w:rPr>
  </w:style>
  <w:style w:type="paragraph" w:styleId="NoSpacing">
    <w:name w:val="No Spacing"/>
    <w:uiPriority w:val="1"/>
    <w:qFormat/>
    <w:rsid w:val="00B93ABC"/>
    <w:pPr>
      <w:spacing w:after="0" w:line="240" w:lineRule="auto"/>
    </w:pPr>
  </w:style>
  <w:style w:type="paragraph" w:styleId="ListParagraph">
    <w:name w:val="List Paragraph"/>
    <w:basedOn w:val="Normal"/>
    <w:uiPriority w:val="34"/>
    <w:qFormat/>
    <w:rsid w:val="009B723D"/>
    <w:pPr>
      <w:ind w:left="720"/>
      <w:contextualSpacing/>
    </w:pPr>
  </w:style>
  <w:style w:type="table" w:styleId="TableGrid">
    <w:name w:val="Table Grid"/>
    <w:basedOn w:val="TableNormal"/>
    <w:uiPriority w:val="39"/>
    <w:rsid w:val="009B7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43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3C8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916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160A"/>
    <w:rPr>
      <w:sz w:val="20"/>
      <w:szCs w:val="20"/>
    </w:rPr>
  </w:style>
  <w:style w:type="character" w:styleId="FootnoteReference">
    <w:name w:val="footnote reference"/>
    <w:basedOn w:val="DefaultParagraphFont"/>
    <w:uiPriority w:val="99"/>
    <w:semiHidden/>
    <w:unhideWhenUsed/>
    <w:rsid w:val="00C9160A"/>
    <w:rPr>
      <w:vertAlign w:val="superscript"/>
    </w:rPr>
  </w:style>
  <w:style w:type="character" w:customStyle="1" w:styleId="godmdahbbpb">
    <w:name w:val="godmdahbbpb"/>
    <w:basedOn w:val="DefaultParagraphFont"/>
    <w:rsid w:val="00BB2439"/>
  </w:style>
  <w:style w:type="character" w:customStyle="1" w:styleId="godmdahbbob">
    <w:name w:val="godmdahbbob"/>
    <w:basedOn w:val="DefaultParagraphFont"/>
    <w:rsid w:val="00BB2439"/>
  </w:style>
  <w:style w:type="character" w:customStyle="1" w:styleId="Heading3Char">
    <w:name w:val="Heading 3 Char"/>
    <w:basedOn w:val="DefaultParagraphFont"/>
    <w:link w:val="Heading3"/>
    <w:uiPriority w:val="9"/>
    <w:rsid w:val="007F4115"/>
    <w:rPr>
      <w:rFonts w:asciiTheme="majorHAnsi" w:eastAsiaTheme="majorEastAsia" w:hAnsiTheme="majorHAnsi" w:cstheme="majorBidi"/>
      <w:b/>
      <w:color w:val="000000" w:themeColor="text1"/>
      <w:sz w:val="24"/>
      <w:szCs w:val="24"/>
    </w:rPr>
  </w:style>
  <w:style w:type="character" w:styleId="FollowedHyperlink">
    <w:name w:val="FollowedHyperlink"/>
    <w:basedOn w:val="DefaultParagraphFont"/>
    <w:uiPriority w:val="99"/>
    <w:semiHidden/>
    <w:unhideWhenUsed/>
    <w:rsid w:val="008E7800"/>
    <w:rPr>
      <w:color w:val="954F72" w:themeColor="followedHyperlink"/>
      <w:u w:val="single"/>
    </w:rPr>
  </w:style>
  <w:style w:type="paragraph" w:styleId="BalloonText">
    <w:name w:val="Balloon Text"/>
    <w:basedOn w:val="Normal"/>
    <w:link w:val="BalloonTextChar"/>
    <w:uiPriority w:val="99"/>
    <w:semiHidden/>
    <w:unhideWhenUsed/>
    <w:rsid w:val="007726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638"/>
    <w:rPr>
      <w:rFonts w:ascii="Segoe UI" w:hAnsi="Segoe UI" w:cs="Segoe UI"/>
      <w:sz w:val="18"/>
      <w:szCs w:val="18"/>
    </w:rPr>
  </w:style>
  <w:style w:type="character" w:styleId="CommentReference">
    <w:name w:val="annotation reference"/>
    <w:basedOn w:val="DefaultParagraphFont"/>
    <w:uiPriority w:val="99"/>
    <w:semiHidden/>
    <w:unhideWhenUsed/>
    <w:rsid w:val="00E31A27"/>
    <w:rPr>
      <w:sz w:val="16"/>
      <w:szCs w:val="16"/>
    </w:rPr>
  </w:style>
  <w:style w:type="paragraph" w:styleId="CommentText">
    <w:name w:val="annotation text"/>
    <w:basedOn w:val="Normal"/>
    <w:link w:val="CommentTextChar"/>
    <w:uiPriority w:val="99"/>
    <w:semiHidden/>
    <w:unhideWhenUsed/>
    <w:rsid w:val="00E31A27"/>
    <w:pPr>
      <w:spacing w:line="240" w:lineRule="auto"/>
    </w:pPr>
    <w:rPr>
      <w:sz w:val="20"/>
      <w:szCs w:val="20"/>
    </w:rPr>
  </w:style>
  <w:style w:type="character" w:customStyle="1" w:styleId="CommentTextChar">
    <w:name w:val="Comment Text Char"/>
    <w:basedOn w:val="DefaultParagraphFont"/>
    <w:link w:val="CommentText"/>
    <w:uiPriority w:val="99"/>
    <w:semiHidden/>
    <w:rsid w:val="00E31A27"/>
    <w:rPr>
      <w:sz w:val="20"/>
      <w:szCs w:val="20"/>
    </w:rPr>
  </w:style>
  <w:style w:type="paragraph" w:styleId="CommentSubject">
    <w:name w:val="annotation subject"/>
    <w:basedOn w:val="CommentText"/>
    <w:next w:val="CommentText"/>
    <w:link w:val="CommentSubjectChar"/>
    <w:uiPriority w:val="99"/>
    <w:semiHidden/>
    <w:unhideWhenUsed/>
    <w:rsid w:val="00E31A27"/>
    <w:rPr>
      <w:b/>
      <w:bCs/>
    </w:rPr>
  </w:style>
  <w:style w:type="character" w:customStyle="1" w:styleId="CommentSubjectChar">
    <w:name w:val="Comment Subject Char"/>
    <w:basedOn w:val="CommentTextChar"/>
    <w:link w:val="CommentSubject"/>
    <w:uiPriority w:val="99"/>
    <w:semiHidden/>
    <w:rsid w:val="00E31A27"/>
    <w:rPr>
      <w:b/>
      <w:bCs/>
      <w:sz w:val="20"/>
      <w:szCs w:val="20"/>
    </w:rPr>
  </w:style>
  <w:style w:type="paragraph" w:styleId="Caption">
    <w:name w:val="caption"/>
    <w:basedOn w:val="Normal"/>
    <w:next w:val="Normal"/>
    <w:uiPriority w:val="35"/>
    <w:semiHidden/>
    <w:unhideWhenUsed/>
    <w:qFormat/>
    <w:rsid w:val="006325FE"/>
    <w:pPr>
      <w:spacing w:after="200" w:line="240" w:lineRule="auto"/>
    </w:pPr>
    <w:rPr>
      <w:b/>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3612">
      <w:bodyDiv w:val="1"/>
      <w:marLeft w:val="0"/>
      <w:marRight w:val="0"/>
      <w:marTop w:val="0"/>
      <w:marBottom w:val="0"/>
      <w:divBdr>
        <w:top w:val="none" w:sz="0" w:space="0" w:color="auto"/>
        <w:left w:val="none" w:sz="0" w:space="0" w:color="auto"/>
        <w:bottom w:val="none" w:sz="0" w:space="0" w:color="auto"/>
        <w:right w:val="none" w:sz="0" w:space="0" w:color="auto"/>
      </w:divBdr>
    </w:div>
    <w:div w:id="35589766">
      <w:bodyDiv w:val="1"/>
      <w:marLeft w:val="0"/>
      <w:marRight w:val="0"/>
      <w:marTop w:val="0"/>
      <w:marBottom w:val="0"/>
      <w:divBdr>
        <w:top w:val="none" w:sz="0" w:space="0" w:color="auto"/>
        <w:left w:val="none" w:sz="0" w:space="0" w:color="auto"/>
        <w:bottom w:val="none" w:sz="0" w:space="0" w:color="auto"/>
        <w:right w:val="none" w:sz="0" w:space="0" w:color="auto"/>
      </w:divBdr>
    </w:div>
    <w:div w:id="97145598">
      <w:bodyDiv w:val="1"/>
      <w:marLeft w:val="0"/>
      <w:marRight w:val="0"/>
      <w:marTop w:val="0"/>
      <w:marBottom w:val="0"/>
      <w:divBdr>
        <w:top w:val="none" w:sz="0" w:space="0" w:color="auto"/>
        <w:left w:val="none" w:sz="0" w:space="0" w:color="auto"/>
        <w:bottom w:val="none" w:sz="0" w:space="0" w:color="auto"/>
        <w:right w:val="none" w:sz="0" w:space="0" w:color="auto"/>
      </w:divBdr>
    </w:div>
    <w:div w:id="160243190">
      <w:bodyDiv w:val="1"/>
      <w:marLeft w:val="0"/>
      <w:marRight w:val="0"/>
      <w:marTop w:val="0"/>
      <w:marBottom w:val="0"/>
      <w:divBdr>
        <w:top w:val="none" w:sz="0" w:space="0" w:color="auto"/>
        <w:left w:val="none" w:sz="0" w:space="0" w:color="auto"/>
        <w:bottom w:val="none" w:sz="0" w:space="0" w:color="auto"/>
        <w:right w:val="none" w:sz="0" w:space="0" w:color="auto"/>
      </w:divBdr>
    </w:div>
    <w:div w:id="168178601">
      <w:bodyDiv w:val="1"/>
      <w:marLeft w:val="0"/>
      <w:marRight w:val="0"/>
      <w:marTop w:val="0"/>
      <w:marBottom w:val="0"/>
      <w:divBdr>
        <w:top w:val="none" w:sz="0" w:space="0" w:color="auto"/>
        <w:left w:val="none" w:sz="0" w:space="0" w:color="auto"/>
        <w:bottom w:val="none" w:sz="0" w:space="0" w:color="auto"/>
        <w:right w:val="none" w:sz="0" w:space="0" w:color="auto"/>
      </w:divBdr>
    </w:div>
    <w:div w:id="176506905">
      <w:bodyDiv w:val="1"/>
      <w:marLeft w:val="0"/>
      <w:marRight w:val="0"/>
      <w:marTop w:val="0"/>
      <w:marBottom w:val="0"/>
      <w:divBdr>
        <w:top w:val="none" w:sz="0" w:space="0" w:color="auto"/>
        <w:left w:val="none" w:sz="0" w:space="0" w:color="auto"/>
        <w:bottom w:val="none" w:sz="0" w:space="0" w:color="auto"/>
        <w:right w:val="none" w:sz="0" w:space="0" w:color="auto"/>
      </w:divBdr>
    </w:div>
    <w:div w:id="184445259">
      <w:bodyDiv w:val="1"/>
      <w:marLeft w:val="0"/>
      <w:marRight w:val="0"/>
      <w:marTop w:val="0"/>
      <w:marBottom w:val="0"/>
      <w:divBdr>
        <w:top w:val="none" w:sz="0" w:space="0" w:color="auto"/>
        <w:left w:val="none" w:sz="0" w:space="0" w:color="auto"/>
        <w:bottom w:val="none" w:sz="0" w:space="0" w:color="auto"/>
        <w:right w:val="none" w:sz="0" w:space="0" w:color="auto"/>
      </w:divBdr>
    </w:div>
    <w:div w:id="189685636">
      <w:bodyDiv w:val="1"/>
      <w:marLeft w:val="0"/>
      <w:marRight w:val="0"/>
      <w:marTop w:val="0"/>
      <w:marBottom w:val="0"/>
      <w:divBdr>
        <w:top w:val="none" w:sz="0" w:space="0" w:color="auto"/>
        <w:left w:val="none" w:sz="0" w:space="0" w:color="auto"/>
        <w:bottom w:val="none" w:sz="0" w:space="0" w:color="auto"/>
        <w:right w:val="none" w:sz="0" w:space="0" w:color="auto"/>
      </w:divBdr>
    </w:div>
    <w:div w:id="204295048">
      <w:bodyDiv w:val="1"/>
      <w:marLeft w:val="0"/>
      <w:marRight w:val="0"/>
      <w:marTop w:val="0"/>
      <w:marBottom w:val="0"/>
      <w:divBdr>
        <w:top w:val="none" w:sz="0" w:space="0" w:color="auto"/>
        <w:left w:val="none" w:sz="0" w:space="0" w:color="auto"/>
        <w:bottom w:val="none" w:sz="0" w:space="0" w:color="auto"/>
        <w:right w:val="none" w:sz="0" w:space="0" w:color="auto"/>
      </w:divBdr>
    </w:div>
    <w:div w:id="222373955">
      <w:bodyDiv w:val="1"/>
      <w:marLeft w:val="0"/>
      <w:marRight w:val="0"/>
      <w:marTop w:val="0"/>
      <w:marBottom w:val="0"/>
      <w:divBdr>
        <w:top w:val="none" w:sz="0" w:space="0" w:color="auto"/>
        <w:left w:val="none" w:sz="0" w:space="0" w:color="auto"/>
        <w:bottom w:val="none" w:sz="0" w:space="0" w:color="auto"/>
        <w:right w:val="none" w:sz="0" w:space="0" w:color="auto"/>
      </w:divBdr>
    </w:div>
    <w:div w:id="225069828">
      <w:bodyDiv w:val="1"/>
      <w:marLeft w:val="0"/>
      <w:marRight w:val="0"/>
      <w:marTop w:val="0"/>
      <w:marBottom w:val="0"/>
      <w:divBdr>
        <w:top w:val="none" w:sz="0" w:space="0" w:color="auto"/>
        <w:left w:val="none" w:sz="0" w:space="0" w:color="auto"/>
        <w:bottom w:val="none" w:sz="0" w:space="0" w:color="auto"/>
        <w:right w:val="none" w:sz="0" w:space="0" w:color="auto"/>
      </w:divBdr>
    </w:div>
    <w:div w:id="238755309">
      <w:bodyDiv w:val="1"/>
      <w:marLeft w:val="0"/>
      <w:marRight w:val="0"/>
      <w:marTop w:val="0"/>
      <w:marBottom w:val="0"/>
      <w:divBdr>
        <w:top w:val="none" w:sz="0" w:space="0" w:color="auto"/>
        <w:left w:val="none" w:sz="0" w:space="0" w:color="auto"/>
        <w:bottom w:val="none" w:sz="0" w:space="0" w:color="auto"/>
        <w:right w:val="none" w:sz="0" w:space="0" w:color="auto"/>
      </w:divBdr>
    </w:div>
    <w:div w:id="337075656">
      <w:bodyDiv w:val="1"/>
      <w:marLeft w:val="0"/>
      <w:marRight w:val="0"/>
      <w:marTop w:val="0"/>
      <w:marBottom w:val="0"/>
      <w:divBdr>
        <w:top w:val="none" w:sz="0" w:space="0" w:color="auto"/>
        <w:left w:val="none" w:sz="0" w:space="0" w:color="auto"/>
        <w:bottom w:val="none" w:sz="0" w:space="0" w:color="auto"/>
        <w:right w:val="none" w:sz="0" w:space="0" w:color="auto"/>
      </w:divBdr>
    </w:div>
    <w:div w:id="372190107">
      <w:bodyDiv w:val="1"/>
      <w:marLeft w:val="0"/>
      <w:marRight w:val="0"/>
      <w:marTop w:val="0"/>
      <w:marBottom w:val="0"/>
      <w:divBdr>
        <w:top w:val="none" w:sz="0" w:space="0" w:color="auto"/>
        <w:left w:val="none" w:sz="0" w:space="0" w:color="auto"/>
        <w:bottom w:val="none" w:sz="0" w:space="0" w:color="auto"/>
        <w:right w:val="none" w:sz="0" w:space="0" w:color="auto"/>
      </w:divBdr>
    </w:div>
    <w:div w:id="389234817">
      <w:bodyDiv w:val="1"/>
      <w:marLeft w:val="0"/>
      <w:marRight w:val="0"/>
      <w:marTop w:val="0"/>
      <w:marBottom w:val="0"/>
      <w:divBdr>
        <w:top w:val="none" w:sz="0" w:space="0" w:color="auto"/>
        <w:left w:val="none" w:sz="0" w:space="0" w:color="auto"/>
        <w:bottom w:val="none" w:sz="0" w:space="0" w:color="auto"/>
        <w:right w:val="none" w:sz="0" w:space="0" w:color="auto"/>
      </w:divBdr>
    </w:div>
    <w:div w:id="440685407">
      <w:bodyDiv w:val="1"/>
      <w:marLeft w:val="0"/>
      <w:marRight w:val="0"/>
      <w:marTop w:val="0"/>
      <w:marBottom w:val="0"/>
      <w:divBdr>
        <w:top w:val="none" w:sz="0" w:space="0" w:color="auto"/>
        <w:left w:val="none" w:sz="0" w:space="0" w:color="auto"/>
        <w:bottom w:val="none" w:sz="0" w:space="0" w:color="auto"/>
        <w:right w:val="none" w:sz="0" w:space="0" w:color="auto"/>
      </w:divBdr>
    </w:div>
    <w:div w:id="470094001">
      <w:bodyDiv w:val="1"/>
      <w:marLeft w:val="0"/>
      <w:marRight w:val="0"/>
      <w:marTop w:val="0"/>
      <w:marBottom w:val="0"/>
      <w:divBdr>
        <w:top w:val="none" w:sz="0" w:space="0" w:color="auto"/>
        <w:left w:val="none" w:sz="0" w:space="0" w:color="auto"/>
        <w:bottom w:val="none" w:sz="0" w:space="0" w:color="auto"/>
        <w:right w:val="none" w:sz="0" w:space="0" w:color="auto"/>
      </w:divBdr>
    </w:div>
    <w:div w:id="495808859">
      <w:bodyDiv w:val="1"/>
      <w:marLeft w:val="0"/>
      <w:marRight w:val="0"/>
      <w:marTop w:val="0"/>
      <w:marBottom w:val="0"/>
      <w:divBdr>
        <w:top w:val="none" w:sz="0" w:space="0" w:color="auto"/>
        <w:left w:val="none" w:sz="0" w:space="0" w:color="auto"/>
        <w:bottom w:val="none" w:sz="0" w:space="0" w:color="auto"/>
        <w:right w:val="none" w:sz="0" w:space="0" w:color="auto"/>
      </w:divBdr>
    </w:div>
    <w:div w:id="525562551">
      <w:bodyDiv w:val="1"/>
      <w:marLeft w:val="0"/>
      <w:marRight w:val="0"/>
      <w:marTop w:val="0"/>
      <w:marBottom w:val="0"/>
      <w:divBdr>
        <w:top w:val="none" w:sz="0" w:space="0" w:color="auto"/>
        <w:left w:val="none" w:sz="0" w:space="0" w:color="auto"/>
        <w:bottom w:val="none" w:sz="0" w:space="0" w:color="auto"/>
        <w:right w:val="none" w:sz="0" w:space="0" w:color="auto"/>
      </w:divBdr>
    </w:div>
    <w:div w:id="574364468">
      <w:bodyDiv w:val="1"/>
      <w:marLeft w:val="0"/>
      <w:marRight w:val="0"/>
      <w:marTop w:val="0"/>
      <w:marBottom w:val="0"/>
      <w:divBdr>
        <w:top w:val="none" w:sz="0" w:space="0" w:color="auto"/>
        <w:left w:val="none" w:sz="0" w:space="0" w:color="auto"/>
        <w:bottom w:val="none" w:sz="0" w:space="0" w:color="auto"/>
        <w:right w:val="none" w:sz="0" w:space="0" w:color="auto"/>
      </w:divBdr>
    </w:div>
    <w:div w:id="577593975">
      <w:bodyDiv w:val="1"/>
      <w:marLeft w:val="0"/>
      <w:marRight w:val="0"/>
      <w:marTop w:val="0"/>
      <w:marBottom w:val="0"/>
      <w:divBdr>
        <w:top w:val="none" w:sz="0" w:space="0" w:color="auto"/>
        <w:left w:val="none" w:sz="0" w:space="0" w:color="auto"/>
        <w:bottom w:val="none" w:sz="0" w:space="0" w:color="auto"/>
        <w:right w:val="none" w:sz="0" w:space="0" w:color="auto"/>
      </w:divBdr>
    </w:div>
    <w:div w:id="650672960">
      <w:bodyDiv w:val="1"/>
      <w:marLeft w:val="0"/>
      <w:marRight w:val="0"/>
      <w:marTop w:val="0"/>
      <w:marBottom w:val="0"/>
      <w:divBdr>
        <w:top w:val="none" w:sz="0" w:space="0" w:color="auto"/>
        <w:left w:val="none" w:sz="0" w:space="0" w:color="auto"/>
        <w:bottom w:val="none" w:sz="0" w:space="0" w:color="auto"/>
        <w:right w:val="none" w:sz="0" w:space="0" w:color="auto"/>
      </w:divBdr>
    </w:div>
    <w:div w:id="659235282">
      <w:bodyDiv w:val="1"/>
      <w:marLeft w:val="0"/>
      <w:marRight w:val="0"/>
      <w:marTop w:val="0"/>
      <w:marBottom w:val="0"/>
      <w:divBdr>
        <w:top w:val="none" w:sz="0" w:space="0" w:color="auto"/>
        <w:left w:val="none" w:sz="0" w:space="0" w:color="auto"/>
        <w:bottom w:val="none" w:sz="0" w:space="0" w:color="auto"/>
        <w:right w:val="none" w:sz="0" w:space="0" w:color="auto"/>
      </w:divBdr>
    </w:div>
    <w:div w:id="681515546">
      <w:bodyDiv w:val="1"/>
      <w:marLeft w:val="0"/>
      <w:marRight w:val="0"/>
      <w:marTop w:val="0"/>
      <w:marBottom w:val="0"/>
      <w:divBdr>
        <w:top w:val="none" w:sz="0" w:space="0" w:color="auto"/>
        <w:left w:val="none" w:sz="0" w:space="0" w:color="auto"/>
        <w:bottom w:val="none" w:sz="0" w:space="0" w:color="auto"/>
        <w:right w:val="none" w:sz="0" w:space="0" w:color="auto"/>
      </w:divBdr>
    </w:div>
    <w:div w:id="694774049">
      <w:bodyDiv w:val="1"/>
      <w:marLeft w:val="0"/>
      <w:marRight w:val="0"/>
      <w:marTop w:val="0"/>
      <w:marBottom w:val="0"/>
      <w:divBdr>
        <w:top w:val="none" w:sz="0" w:space="0" w:color="auto"/>
        <w:left w:val="none" w:sz="0" w:space="0" w:color="auto"/>
        <w:bottom w:val="none" w:sz="0" w:space="0" w:color="auto"/>
        <w:right w:val="none" w:sz="0" w:space="0" w:color="auto"/>
      </w:divBdr>
    </w:div>
    <w:div w:id="743916233">
      <w:bodyDiv w:val="1"/>
      <w:marLeft w:val="0"/>
      <w:marRight w:val="0"/>
      <w:marTop w:val="0"/>
      <w:marBottom w:val="0"/>
      <w:divBdr>
        <w:top w:val="none" w:sz="0" w:space="0" w:color="auto"/>
        <w:left w:val="none" w:sz="0" w:space="0" w:color="auto"/>
        <w:bottom w:val="none" w:sz="0" w:space="0" w:color="auto"/>
        <w:right w:val="none" w:sz="0" w:space="0" w:color="auto"/>
      </w:divBdr>
    </w:div>
    <w:div w:id="775054409">
      <w:bodyDiv w:val="1"/>
      <w:marLeft w:val="0"/>
      <w:marRight w:val="0"/>
      <w:marTop w:val="0"/>
      <w:marBottom w:val="0"/>
      <w:divBdr>
        <w:top w:val="none" w:sz="0" w:space="0" w:color="auto"/>
        <w:left w:val="none" w:sz="0" w:space="0" w:color="auto"/>
        <w:bottom w:val="none" w:sz="0" w:space="0" w:color="auto"/>
        <w:right w:val="none" w:sz="0" w:space="0" w:color="auto"/>
      </w:divBdr>
    </w:div>
    <w:div w:id="791826701">
      <w:bodyDiv w:val="1"/>
      <w:marLeft w:val="0"/>
      <w:marRight w:val="0"/>
      <w:marTop w:val="0"/>
      <w:marBottom w:val="0"/>
      <w:divBdr>
        <w:top w:val="none" w:sz="0" w:space="0" w:color="auto"/>
        <w:left w:val="none" w:sz="0" w:space="0" w:color="auto"/>
        <w:bottom w:val="none" w:sz="0" w:space="0" w:color="auto"/>
        <w:right w:val="none" w:sz="0" w:space="0" w:color="auto"/>
      </w:divBdr>
    </w:div>
    <w:div w:id="832912907">
      <w:bodyDiv w:val="1"/>
      <w:marLeft w:val="0"/>
      <w:marRight w:val="0"/>
      <w:marTop w:val="0"/>
      <w:marBottom w:val="0"/>
      <w:divBdr>
        <w:top w:val="none" w:sz="0" w:space="0" w:color="auto"/>
        <w:left w:val="none" w:sz="0" w:space="0" w:color="auto"/>
        <w:bottom w:val="none" w:sz="0" w:space="0" w:color="auto"/>
        <w:right w:val="none" w:sz="0" w:space="0" w:color="auto"/>
      </w:divBdr>
    </w:div>
    <w:div w:id="842163565">
      <w:bodyDiv w:val="1"/>
      <w:marLeft w:val="0"/>
      <w:marRight w:val="0"/>
      <w:marTop w:val="0"/>
      <w:marBottom w:val="0"/>
      <w:divBdr>
        <w:top w:val="none" w:sz="0" w:space="0" w:color="auto"/>
        <w:left w:val="none" w:sz="0" w:space="0" w:color="auto"/>
        <w:bottom w:val="none" w:sz="0" w:space="0" w:color="auto"/>
        <w:right w:val="none" w:sz="0" w:space="0" w:color="auto"/>
      </w:divBdr>
    </w:div>
    <w:div w:id="861742907">
      <w:bodyDiv w:val="1"/>
      <w:marLeft w:val="0"/>
      <w:marRight w:val="0"/>
      <w:marTop w:val="0"/>
      <w:marBottom w:val="0"/>
      <w:divBdr>
        <w:top w:val="none" w:sz="0" w:space="0" w:color="auto"/>
        <w:left w:val="none" w:sz="0" w:space="0" w:color="auto"/>
        <w:bottom w:val="none" w:sz="0" w:space="0" w:color="auto"/>
        <w:right w:val="none" w:sz="0" w:space="0" w:color="auto"/>
      </w:divBdr>
    </w:div>
    <w:div w:id="903682841">
      <w:bodyDiv w:val="1"/>
      <w:marLeft w:val="0"/>
      <w:marRight w:val="0"/>
      <w:marTop w:val="0"/>
      <w:marBottom w:val="0"/>
      <w:divBdr>
        <w:top w:val="none" w:sz="0" w:space="0" w:color="auto"/>
        <w:left w:val="none" w:sz="0" w:space="0" w:color="auto"/>
        <w:bottom w:val="none" w:sz="0" w:space="0" w:color="auto"/>
        <w:right w:val="none" w:sz="0" w:space="0" w:color="auto"/>
      </w:divBdr>
    </w:div>
    <w:div w:id="985471912">
      <w:bodyDiv w:val="1"/>
      <w:marLeft w:val="0"/>
      <w:marRight w:val="0"/>
      <w:marTop w:val="0"/>
      <w:marBottom w:val="0"/>
      <w:divBdr>
        <w:top w:val="none" w:sz="0" w:space="0" w:color="auto"/>
        <w:left w:val="none" w:sz="0" w:space="0" w:color="auto"/>
        <w:bottom w:val="none" w:sz="0" w:space="0" w:color="auto"/>
        <w:right w:val="none" w:sz="0" w:space="0" w:color="auto"/>
      </w:divBdr>
    </w:div>
    <w:div w:id="1016274759">
      <w:bodyDiv w:val="1"/>
      <w:marLeft w:val="0"/>
      <w:marRight w:val="0"/>
      <w:marTop w:val="0"/>
      <w:marBottom w:val="0"/>
      <w:divBdr>
        <w:top w:val="none" w:sz="0" w:space="0" w:color="auto"/>
        <w:left w:val="none" w:sz="0" w:space="0" w:color="auto"/>
        <w:bottom w:val="none" w:sz="0" w:space="0" w:color="auto"/>
        <w:right w:val="none" w:sz="0" w:space="0" w:color="auto"/>
      </w:divBdr>
    </w:div>
    <w:div w:id="1016884154">
      <w:bodyDiv w:val="1"/>
      <w:marLeft w:val="0"/>
      <w:marRight w:val="0"/>
      <w:marTop w:val="0"/>
      <w:marBottom w:val="0"/>
      <w:divBdr>
        <w:top w:val="none" w:sz="0" w:space="0" w:color="auto"/>
        <w:left w:val="none" w:sz="0" w:space="0" w:color="auto"/>
        <w:bottom w:val="none" w:sz="0" w:space="0" w:color="auto"/>
        <w:right w:val="none" w:sz="0" w:space="0" w:color="auto"/>
      </w:divBdr>
    </w:div>
    <w:div w:id="1027489028">
      <w:bodyDiv w:val="1"/>
      <w:marLeft w:val="0"/>
      <w:marRight w:val="0"/>
      <w:marTop w:val="0"/>
      <w:marBottom w:val="0"/>
      <w:divBdr>
        <w:top w:val="none" w:sz="0" w:space="0" w:color="auto"/>
        <w:left w:val="none" w:sz="0" w:space="0" w:color="auto"/>
        <w:bottom w:val="none" w:sz="0" w:space="0" w:color="auto"/>
        <w:right w:val="none" w:sz="0" w:space="0" w:color="auto"/>
      </w:divBdr>
    </w:div>
    <w:div w:id="1036780821">
      <w:bodyDiv w:val="1"/>
      <w:marLeft w:val="0"/>
      <w:marRight w:val="0"/>
      <w:marTop w:val="0"/>
      <w:marBottom w:val="0"/>
      <w:divBdr>
        <w:top w:val="none" w:sz="0" w:space="0" w:color="auto"/>
        <w:left w:val="none" w:sz="0" w:space="0" w:color="auto"/>
        <w:bottom w:val="none" w:sz="0" w:space="0" w:color="auto"/>
        <w:right w:val="none" w:sz="0" w:space="0" w:color="auto"/>
      </w:divBdr>
    </w:div>
    <w:div w:id="1077824574">
      <w:bodyDiv w:val="1"/>
      <w:marLeft w:val="0"/>
      <w:marRight w:val="0"/>
      <w:marTop w:val="0"/>
      <w:marBottom w:val="0"/>
      <w:divBdr>
        <w:top w:val="none" w:sz="0" w:space="0" w:color="auto"/>
        <w:left w:val="none" w:sz="0" w:space="0" w:color="auto"/>
        <w:bottom w:val="none" w:sz="0" w:space="0" w:color="auto"/>
        <w:right w:val="none" w:sz="0" w:space="0" w:color="auto"/>
      </w:divBdr>
    </w:div>
    <w:div w:id="1084718228">
      <w:bodyDiv w:val="1"/>
      <w:marLeft w:val="0"/>
      <w:marRight w:val="0"/>
      <w:marTop w:val="0"/>
      <w:marBottom w:val="0"/>
      <w:divBdr>
        <w:top w:val="none" w:sz="0" w:space="0" w:color="auto"/>
        <w:left w:val="none" w:sz="0" w:space="0" w:color="auto"/>
        <w:bottom w:val="none" w:sz="0" w:space="0" w:color="auto"/>
        <w:right w:val="none" w:sz="0" w:space="0" w:color="auto"/>
      </w:divBdr>
    </w:div>
    <w:div w:id="1087263739">
      <w:bodyDiv w:val="1"/>
      <w:marLeft w:val="0"/>
      <w:marRight w:val="0"/>
      <w:marTop w:val="0"/>
      <w:marBottom w:val="0"/>
      <w:divBdr>
        <w:top w:val="none" w:sz="0" w:space="0" w:color="auto"/>
        <w:left w:val="none" w:sz="0" w:space="0" w:color="auto"/>
        <w:bottom w:val="none" w:sz="0" w:space="0" w:color="auto"/>
        <w:right w:val="none" w:sz="0" w:space="0" w:color="auto"/>
      </w:divBdr>
    </w:div>
    <w:div w:id="1088844782">
      <w:bodyDiv w:val="1"/>
      <w:marLeft w:val="0"/>
      <w:marRight w:val="0"/>
      <w:marTop w:val="0"/>
      <w:marBottom w:val="0"/>
      <w:divBdr>
        <w:top w:val="none" w:sz="0" w:space="0" w:color="auto"/>
        <w:left w:val="none" w:sz="0" w:space="0" w:color="auto"/>
        <w:bottom w:val="none" w:sz="0" w:space="0" w:color="auto"/>
        <w:right w:val="none" w:sz="0" w:space="0" w:color="auto"/>
      </w:divBdr>
    </w:div>
    <w:div w:id="1176849455">
      <w:bodyDiv w:val="1"/>
      <w:marLeft w:val="0"/>
      <w:marRight w:val="0"/>
      <w:marTop w:val="0"/>
      <w:marBottom w:val="0"/>
      <w:divBdr>
        <w:top w:val="none" w:sz="0" w:space="0" w:color="auto"/>
        <w:left w:val="none" w:sz="0" w:space="0" w:color="auto"/>
        <w:bottom w:val="none" w:sz="0" w:space="0" w:color="auto"/>
        <w:right w:val="none" w:sz="0" w:space="0" w:color="auto"/>
      </w:divBdr>
    </w:div>
    <w:div w:id="1201240869">
      <w:bodyDiv w:val="1"/>
      <w:marLeft w:val="0"/>
      <w:marRight w:val="0"/>
      <w:marTop w:val="0"/>
      <w:marBottom w:val="0"/>
      <w:divBdr>
        <w:top w:val="none" w:sz="0" w:space="0" w:color="auto"/>
        <w:left w:val="none" w:sz="0" w:space="0" w:color="auto"/>
        <w:bottom w:val="none" w:sz="0" w:space="0" w:color="auto"/>
        <w:right w:val="none" w:sz="0" w:space="0" w:color="auto"/>
      </w:divBdr>
    </w:div>
    <w:div w:id="1209875693">
      <w:bodyDiv w:val="1"/>
      <w:marLeft w:val="0"/>
      <w:marRight w:val="0"/>
      <w:marTop w:val="0"/>
      <w:marBottom w:val="0"/>
      <w:divBdr>
        <w:top w:val="none" w:sz="0" w:space="0" w:color="auto"/>
        <w:left w:val="none" w:sz="0" w:space="0" w:color="auto"/>
        <w:bottom w:val="none" w:sz="0" w:space="0" w:color="auto"/>
        <w:right w:val="none" w:sz="0" w:space="0" w:color="auto"/>
      </w:divBdr>
    </w:div>
    <w:div w:id="1226649608">
      <w:bodyDiv w:val="1"/>
      <w:marLeft w:val="0"/>
      <w:marRight w:val="0"/>
      <w:marTop w:val="0"/>
      <w:marBottom w:val="0"/>
      <w:divBdr>
        <w:top w:val="none" w:sz="0" w:space="0" w:color="auto"/>
        <w:left w:val="none" w:sz="0" w:space="0" w:color="auto"/>
        <w:bottom w:val="none" w:sz="0" w:space="0" w:color="auto"/>
        <w:right w:val="none" w:sz="0" w:space="0" w:color="auto"/>
      </w:divBdr>
    </w:div>
    <w:div w:id="1242522869">
      <w:bodyDiv w:val="1"/>
      <w:marLeft w:val="0"/>
      <w:marRight w:val="0"/>
      <w:marTop w:val="0"/>
      <w:marBottom w:val="0"/>
      <w:divBdr>
        <w:top w:val="none" w:sz="0" w:space="0" w:color="auto"/>
        <w:left w:val="none" w:sz="0" w:space="0" w:color="auto"/>
        <w:bottom w:val="none" w:sz="0" w:space="0" w:color="auto"/>
        <w:right w:val="none" w:sz="0" w:space="0" w:color="auto"/>
      </w:divBdr>
    </w:div>
    <w:div w:id="1260022476">
      <w:bodyDiv w:val="1"/>
      <w:marLeft w:val="0"/>
      <w:marRight w:val="0"/>
      <w:marTop w:val="0"/>
      <w:marBottom w:val="0"/>
      <w:divBdr>
        <w:top w:val="none" w:sz="0" w:space="0" w:color="auto"/>
        <w:left w:val="none" w:sz="0" w:space="0" w:color="auto"/>
        <w:bottom w:val="none" w:sz="0" w:space="0" w:color="auto"/>
        <w:right w:val="none" w:sz="0" w:space="0" w:color="auto"/>
      </w:divBdr>
    </w:div>
    <w:div w:id="1270815876">
      <w:bodyDiv w:val="1"/>
      <w:marLeft w:val="0"/>
      <w:marRight w:val="0"/>
      <w:marTop w:val="0"/>
      <w:marBottom w:val="0"/>
      <w:divBdr>
        <w:top w:val="none" w:sz="0" w:space="0" w:color="auto"/>
        <w:left w:val="none" w:sz="0" w:space="0" w:color="auto"/>
        <w:bottom w:val="none" w:sz="0" w:space="0" w:color="auto"/>
        <w:right w:val="none" w:sz="0" w:space="0" w:color="auto"/>
      </w:divBdr>
    </w:div>
    <w:div w:id="1282225547">
      <w:bodyDiv w:val="1"/>
      <w:marLeft w:val="0"/>
      <w:marRight w:val="0"/>
      <w:marTop w:val="0"/>
      <w:marBottom w:val="0"/>
      <w:divBdr>
        <w:top w:val="none" w:sz="0" w:space="0" w:color="auto"/>
        <w:left w:val="none" w:sz="0" w:space="0" w:color="auto"/>
        <w:bottom w:val="none" w:sz="0" w:space="0" w:color="auto"/>
        <w:right w:val="none" w:sz="0" w:space="0" w:color="auto"/>
      </w:divBdr>
    </w:div>
    <w:div w:id="1371147179">
      <w:bodyDiv w:val="1"/>
      <w:marLeft w:val="0"/>
      <w:marRight w:val="0"/>
      <w:marTop w:val="0"/>
      <w:marBottom w:val="0"/>
      <w:divBdr>
        <w:top w:val="none" w:sz="0" w:space="0" w:color="auto"/>
        <w:left w:val="none" w:sz="0" w:space="0" w:color="auto"/>
        <w:bottom w:val="none" w:sz="0" w:space="0" w:color="auto"/>
        <w:right w:val="none" w:sz="0" w:space="0" w:color="auto"/>
      </w:divBdr>
    </w:div>
    <w:div w:id="1472400073">
      <w:bodyDiv w:val="1"/>
      <w:marLeft w:val="0"/>
      <w:marRight w:val="0"/>
      <w:marTop w:val="0"/>
      <w:marBottom w:val="0"/>
      <w:divBdr>
        <w:top w:val="none" w:sz="0" w:space="0" w:color="auto"/>
        <w:left w:val="none" w:sz="0" w:space="0" w:color="auto"/>
        <w:bottom w:val="none" w:sz="0" w:space="0" w:color="auto"/>
        <w:right w:val="none" w:sz="0" w:space="0" w:color="auto"/>
      </w:divBdr>
    </w:div>
    <w:div w:id="1485661362">
      <w:bodyDiv w:val="1"/>
      <w:marLeft w:val="0"/>
      <w:marRight w:val="0"/>
      <w:marTop w:val="0"/>
      <w:marBottom w:val="0"/>
      <w:divBdr>
        <w:top w:val="none" w:sz="0" w:space="0" w:color="auto"/>
        <w:left w:val="none" w:sz="0" w:space="0" w:color="auto"/>
        <w:bottom w:val="none" w:sz="0" w:space="0" w:color="auto"/>
        <w:right w:val="none" w:sz="0" w:space="0" w:color="auto"/>
      </w:divBdr>
    </w:div>
    <w:div w:id="1489593039">
      <w:bodyDiv w:val="1"/>
      <w:marLeft w:val="0"/>
      <w:marRight w:val="0"/>
      <w:marTop w:val="0"/>
      <w:marBottom w:val="0"/>
      <w:divBdr>
        <w:top w:val="none" w:sz="0" w:space="0" w:color="auto"/>
        <w:left w:val="none" w:sz="0" w:space="0" w:color="auto"/>
        <w:bottom w:val="none" w:sz="0" w:space="0" w:color="auto"/>
        <w:right w:val="none" w:sz="0" w:space="0" w:color="auto"/>
      </w:divBdr>
    </w:div>
    <w:div w:id="1530332424">
      <w:bodyDiv w:val="1"/>
      <w:marLeft w:val="0"/>
      <w:marRight w:val="0"/>
      <w:marTop w:val="0"/>
      <w:marBottom w:val="0"/>
      <w:divBdr>
        <w:top w:val="none" w:sz="0" w:space="0" w:color="auto"/>
        <w:left w:val="none" w:sz="0" w:space="0" w:color="auto"/>
        <w:bottom w:val="none" w:sz="0" w:space="0" w:color="auto"/>
        <w:right w:val="none" w:sz="0" w:space="0" w:color="auto"/>
      </w:divBdr>
    </w:div>
    <w:div w:id="1537230069">
      <w:bodyDiv w:val="1"/>
      <w:marLeft w:val="0"/>
      <w:marRight w:val="0"/>
      <w:marTop w:val="0"/>
      <w:marBottom w:val="0"/>
      <w:divBdr>
        <w:top w:val="none" w:sz="0" w:space="0" w:color="auto"/>
        <w:left w:val="none" w:sz="0" w:space="0" w:color="auto"/>
        <w:bottom w:val="none" w:sz="0" w:space="0" w:color="auto"/>
        <w:right w:val="none" w:sz="0" w:space="0" w:color="auto"/>
      </w:divBdr>
    </w:div>
    <w:div w:id="1537892663">
      <w:bodyDiv w:val="1"/>
      <w:marLeft w:val="0"/>
      <w:marRight w:val="0"/>
      <w:marTop w:val="0"/>
      <w:marBottom w:val="0"/>
      <w:divBdr>
        <w:top w:val="none" w:sz="0" w:space="0" w:color="auto"/>
        <w:left w:val="none" w:sz="0" w:space="0" w:color="auto"/>
        <w:bottom w:val="none" w:sz="0" w:space="0" w:color="auto"/>
        <w:right w:val="none" w:sz="0" w:space="0" w:color="auto"/>
      </w:divBdr>
    </w:div>
    <w:div w:id="1623421652">
      <w:bodyDiv w:val="1"/>
      <w:marLeft w:val="0"/>
      <w:marRight w:val="0"/>
      <w:marTop w:val="0"/>
      <w:marBottom w:val="0"/>
      <w:divBdr>
        <w:top w:val="none" w:sz="0" w:space="0" w:color="auto"/>
        <w:left w:val="none" w:sz="0" w:space="0" w:color="auto"/>
        <w:bottom w:val="none" w:sz="0" w:space="0" w:color="auto"/>
        <w:right w:val="none" w:sz="0" w:space="0" w:color="auto"/>
      </w:divBdr>
    </w:div>
    <w:div w:id="1662780848">
      <w:bodyDiv w:val="1"/>
      <w:marLeft w:val="0"/>
      <w:marRight w:val="0"/>
      <w:marTop w:val="0"/>
      <w:marBottom w:val="0"/>
      <w:divBdr>
        <w:top w:val="none" w:sz="0" w:space="0" w:color="auto"/>
        <w:left w:val="none" w:sz="0" w:space="0" w:color="auto"/>
        <w:bottom w:val="none" w:sz="0" w:space="0" w:color="auto"/>
        <w:right w:val="none" w:sz="0" w:space="0" w:color="auto"/>
      </w:divBdr>
    </w:div>
    <w:div w:id="1665624019">
      <w:bodyDiv w:val="1"/>
      <w:marLeft w:val="0"/>
      <w:marRight w:val="0"/>
      <w:marTop w:val="0"/>
      <w:marBottom w:val="0"/>
      <w:divBdr>
        <w:top w:val="none" w:sz="0" w:space="0" w:color="auto"/>
        <w:left w:val="none" w:sz="0" w:space="0" w:color="auto"/>
        <w:bottom w:val="none" w:sz="0" w:space="0" w:color="auto"/>
        <w:right w:val="none" w:sz="0" w:space="0" w:color="auto"/>
      </w:divBdr>
    </w:div>
    <w:div w:id="1680040534">
      <w:bodyDiv w:val="1"/>
      <w:marLeft w:val="0"/>
      <w:marRight w:val="0"/>
      <w:marTop w:val="0"/>
      <w:marBottom w:val="0"/>
      <w:divBdr>
        <w:top w:val="none" w:sz="0" w:space="0" w:color="auto"/>
        <w:left w:val="none" w:sz="0" w:space="0" w:color="auto"/>
        <w:bottom w:val="none" w:sz="0" w:space="0" w:color="auto"/>
        <w:right w:val="none" w:sz="0" w:space="0" w:color="auto"/>
      </w:divBdr>
    </w:div>
    <w:div w:id="1750733717">
      <w:bodyDiv w:val="1"/>
      <w:marLeft w:val="0"/>
      <w:marRight w:val="0"/>
      <w:marTop w:val="0"/>
      <w:marBottom w:val="0"/>
      <w:divBdr>
        <w:top w:val="none" w:sz="0" w:space="0" w:color="auto"/>
        <w:left w:val="none" w:sz="0" w:space="0" w:color="auto"/>
        <w:bottom w:val="none" w:sz="0" w:space="0" w:color="auto"/>
        <w:right w:val="none" w:sz="0" w:space="0" w:color="auto"/>
      </w:divBdr>
    </w:div>
    <w:div w:id="1754667670">
      <w:bodyDiv w:val="1"/>
      <w:marLeft w:val="0"/>
      <w:marRight w:val="0"/>
      <w:marTop w:val="0"/>
      <w:marBottom w:val="0"/>
      <w:divBdr>
        <w:top w:val="none" w:sz="0" w:space="0" w:color="auto"/>
        <w:left w:val="none" w:sz="0" w:space="0" w:color="auto"/>
        <w:bottom w:val="none" w:sz="0" w:space="0" w:color="auto"/>
        <w:right w:val="none" w:sz="0" w:space="0" w:color="auto"/>
      </w:divBdr>
    </w:div>
    <w:div w:id="1759980264">
      <w:bodyDiv w:val="1"/>
      <w:marLeft w:val="0"/>
      <w:marRight w:val="0"/>
      <w:marTop w:val="0"/>
      <w:marBottom w:val="0"/>
      <w:divBdr>
        <w:top w:val="none" w:sz="0" w:space="0" w:color="auto"/>
        <w:left w:val="none" w:sz="0" w:space="0" w:color="auto"/>
        <w:bottom w:val="none" w:sz="0" w:space="0" w:color="auto"/>
        <w:right w:val="none" w:sz="0" w:space="0" w:color="auto"/>
      </w:divBdr>
    </w:div>
    <w:div w:id="1798722664">
      <w:bodyDiv w:val="1"/>
      <w:marLeft w:val="0"/>
      <w:marRight w:val="0"/>
      <w:marTop w:val="0"/>
      <w:marBottom w:val="0"/>
      <w:divBdr>
        <w:top w:val="none" w:sz="0" w:space="0" w:color="auto"/>
        <w:left w:val="none" w:sz="0" w:space="0" w:color="auto"/>
        <w:bottom w:val="none" w:sz="0" w:space="0" w:color="auto"/>
        <w:right w:val="none" w:sz="0" w:space="0" w:color="auto"/>
      </w:divBdr>
    </w:div>
    <w:div w:id="1865709653">
      <w:bodyDiv w:val="1"/>
      <w:marLeft w:val="0"/>
      <w:marRight w:val="0"/>
      <w:marTop w:val="0"/>
      <w:marBottom w:val="0"/>
      <w:divBdr>
        <w:top w:val="none" w:sz="0" w:space="0" w:color="auto"/>
        <w:left w:val="none" w:sz="0" w:space="0" w:color="auto"/>
        <w:bottom w:val="none" w:sz="0" w:space="0" w:color="auto"/>
        <w:right w:val="none" w:sz="0" w:space="0" w:color="auto"/>
      </w:divBdr>
    </w:div>
    <w:div w:id="1885946750">
      <w:bodyDiv w:val="1"/>
      <w:marLeft w:val="0"/>
      <w:marRight w:val="0"/>
      <w:marTop w:val="0"/>
      <w:marBottom w:val="0"/>
      <w:divBdr>
        <w:top w:val="none" w:sz="0" w:space="0" w:color="auto"/>
        <w:left w:val="none" w:sz="0" w:space="0" w:color="auto"/>
        <w:bottom w:val="none" w:sz="0" w:space="0" w:color="auto"/>
        <w:right w:val="none" w:sz="0" w:space="0" w:color="auto"/>
      </w:divBdr>
    </w:div>
    <w:div w:id="1953049019">
      <w:bodyDiv w:val="1"/>
      <w:marLeft w:val="0"/>
      <w:marRight w:val="0"/>
      <w:marTop w:val="0"/>
      <w:marBottom w:val="0"/>
      <w:divBdr>
        <w:top w:val="none" w:sz="0" w:space="0" w:color="auto"/>
        <w:left w:val="none" w:sz="0" w:space="0" w:color="auto"/>
        <w:bottom w:val="none" w:sz="0" w:space="0" w:color="auto"/>
        <w:right w:val="none" w:sz="0" w:space="0" w:color="auto"/>
      </w:divBdr>
    </w:div>
    <w:div w:id="1977686539">
      <w:bodyDiv w:val="1"/>
      <w:marLeft w:val="0"/>
      <w:marRight w:val="0"/>
      <w:marTop w:val="0"/>
      <w:marBottom w:val="0"/>
      <w:divBdr>
        <w:top w:val="none" w:sz="0" w:space="0" w:color="auto"/>
        <w:left w:val="none" w:sz="0" w:space="0" w:color="auto"/>
        <w:bottom w:val="none" w:sz="0" w:space="0" w:color="auto"/>
        <w:right w:val="none" w:sz="0" w:space="0" w:color="auto"/>
      </w:divBdr>
    </w:div>
    <w:div w:id="2037001791">
      <w:bodyDiv w:val="1"/>
      <w:marLeft w:val="0"/>
      <w:marRight w:val="0"/>
      <w:marTop w:val="0"/>
      <w:marBottom w:val="0"/>
      <w:divBdr>
        <w:top w:val="none" w:sz="0" w:space="0" w:color="auto"/>
        <w:left w:val="none" w:sz="0" w:space="0" w:color="auto"/>
        <w:bottom w:val="none" w:sz="0" w:space="0" w:color="auto"/>
        <w:right w:val="none" w:sz="0" w:space="0" w:color="auto"/>
      </w:divBdr>
    </w:div>
    <w:div w:id="2049528848">
      <w:bodyDiv w:val="1"/>
      <w:marLeft w:val="0"/>
      <w:marRight w:val="0"/>
      <w:marTop w:val="0"/>
      <w:marBottom w:val="0"/>
      <w:divBdr>
        <w:top w:val="none" w:sz="0" w:space="0" w:color="auto"/>
        <w:left w:val="none" w:sz="0" w:space="0" w:color="auto"/>
        <w:bottom w:val="none" w:sz="0" w:space="0" w:color="auto"/>
        <w:right w:val="none" w:sz="0" w:space="0" w:color="auto"/>
      </w:divBdr>
    </w:div>
    <w:div w:id="2115199515">
      <w:bodyDiv w:val="1"/>
      <w:marLeft w:val="0"/>
      <w:marRight w:val="0"/>
      <w:marTop w:val="0"/>
      <w:marBottom w:val="0"/>
      <w:divBdr>
        <w:top w:val="none" w:sz="0" w:space="0" w:color="auto"/>
        <w:left w:val="none" w:sz="0" w:space="0" w:color="auto"/>
        <w:bottom w:val="none" w:sz="0" w:space="0" w:color="auto"/>
        <w:right w:val="none" w:sz="0" w:space="0" w:color="auto"/>
      </w:divBdr>
    </w:div>
    <w:div w:id="2145267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5281/zenodo.251188"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Rob90</b:Tag>
    <b:SourceType>JournalArticle</b:SourceType>
    <b:Guid>{530DE8CA-0AB3-43B6-ADF0-46AF6DE24730}</b:Guid>
    <b:Author>
      <b:Author>
        <b:NameList>
          <b:Person>
            <b:Last>Cleveland</b:Last>
            <b:First>Robert</b:First>
            <b:Middle>B.</b:Middle>
          </b:Person>
          <b:Person>
            <b:Last>Cleveland</b:Last>
            <b:First>William</b:First>
            <b:Middle>S.</b:Middle>
          </b:Person>
          <b:Person>
            <b:Last>McRae</b:Last>
            <b:First>Jean</b:First>
            <b:Middle>E.</b:Middle>
          </b:Person>
          <b:Person>
            <b:Last>Terpenning</b:Last>
            <b:First>Irma</b:First>
          </b:Person>
        </b:NameList>
      </b:Author>
    </b:Author>
    <b:Title>STL: A Seasonal-Trend Decomposition Procedure Based on Loess</b:Title>
    <b:JournalName>Journal of Official Statistics</b:JournalName>
    <b:Year>1990</b:Year>
    <b:Pages>3-33</b:Pages>
    <b:RefOrder>1</b:RefOrder>
  </b:Source>
</b:Sources>
</file>

<file path=customXml/itemProps1.xml><?xml version="1.0" encoding="utf-8"?>
<ds:datastoreItem xmlns:ds="http://schemas.openxmlformats.org/officeDocument/2006/customXml" ds:itemID="{D813E091-F676-493F-8A8B-07BFB6963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12321</TotalTime>
  <Pages>6</Pages>
  <Words>938</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Kale</dc:creator>
  <cp:keywords/>
  <dc:description/>
  <cp:lastModifiedBy>Nathaniel Kale</cp:lastModifiedBy>
  <cp:revision>886</cp:revision>
  <cp:lastPrinted>2017-01-30T20:45:00Z</cp:lastPrinted>
  <dcterms:created xsi:type="dcterms:W3CDTF">2016-11-03T17:00:00Z</dcterms:created>
  <dcterms:modified xsi:type="dcterms:W3CDTF">2017-02-07T23:23:00Z</dcterms:modified>
</cp:coreProperties>
</file>