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AF4F66" w:rsidRDefault="00AF4F66" w:rsidP="00AF4F66">
      <w:pPr>
        <w:spacing w:after="0" w:line="240" w:lineRule="auto"/>
      </w:pPr>
    </w:p>
    <w:p w:rsidR="00AF4F66" w:rsidRPr="00AF4F66" w:rsidRDefault="00BA6F24" w:rsidP="00AF4F66">
      <w:pPr>
        <w:spacing w:after="0" w:line="240" w:lineRule="auto"/>
        <w:jc w:val="center"/>
      </w:pPr>
      <w:r>
        <w:t>December 16</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D028DD">
        <w:t>reformat Thurston County precipitation data from 1988-2000 into a usable data structure and file type for future analysis and import into the new GData database.  Additionally, perform basic QA/QC on historic data to determine its utility.</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1994-09-09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1992-01-13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2008-11-26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Percival Creek, Bldg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 xml:space="preserve">Figure 1: Map of </w:t>
      </w:r>
      <w:r>
        <w:t>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8"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The data collected from each of these sites was over varying spans of time and of varying quality.  One site (PEB1) should be discarded from further study.  An additional two sites (PDE2 and PBL2)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F4402D" w:rsidP="009E089F">
      <w:r>
        <w:rPr>
          <w:noProof/>
        </w:rPr>
        <w:drawing>
          <wp:inline distT="0" distB="0" distL="0" distR="0">
            <wp:extent cx="5934075" cy="3810000"/>
            <wp:effectExtent l="0" t="0" r="9525" b="0"/>
            <wp:docPr id="5" name="Picture 5" descr="C:\Users\kalen\projects\2016-11-22 Parse Archived Precip Data\results\Rainfall Data Integ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projects\2016-11-22 Parse Archived Precip Data\results\Rainfall Data Integ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r w:rsidR="000F148E">
        <w:t>RStudio 1.0.44</w:t>
      </w:r>
      <w:r w:rsidR="001903D2">
        <w:t>,</w:t>
      </w:r>
      <w:r w:rsidR="000F148E">
        <w:t xml:space="preserve"> </w:t>
      </w:r>
      <w:r w:rsidR="00BD3C0C">
        <w:t>plus packages broom, cowplot, dplyr, ggplot2, readr, tools, and reshape2</w:t>
      </w:r>
      <w:r w:rsidR="001903D2">
        <w:t>);</w:t>
      </w:r>
      <w:r w:rsidR="003C1370">
        <w:t xml:space="preserve"> and QGIS 2.14</w:t>
      </w:r>
      <w:r>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Those files were generated by ANNIE, part of the Hydrologic Simulation Program: FORTRAN (HSPF)</w:t>
      </w:r>
      <w:bookmarkStart w:id="0" w:name="_GoBack"/>
      <w:bookmarkEnd w:id="0"/>
      <w:r w:rsidR="008352CD">
        <w:t xml:space="preserve"> software suite, years before this analysis was completed.  The files contained data in HSPF</w:t>
      </w:r>
    </w:p>
    <w:p w:rsidR="00AE09DB" w:rsidRDefault="00AE09DB" w:rsidP="007F4115">
      <w:pPr>
        <w:pStyle w:val="Heading2"/>
      </w:pPr>
      <w:r w:rsidRPr="007D5349">
        <w:t>Analysis</w:t>
      </w:r>
    </w:p>
    <w:p w:rsidR="00115453" w:rsidRDefault="00115453" w:rsidP="007F4115">
      <w:pPr>
        <w:pStyle w:val="Heading1"/>
      </w:pPr>
      <w:r w:rsidRPr="007D5349">
        <w:t>Recommendations</w:t>
      </w:r>
    </w:p>
    <w:sdt>
      <w:sdtPr>
        <w:rPr>
          <w:rFonts w:asciiTheme="minorHAnsi" w:eastAsiaTheme="minorHAnsi" w:hAnsiTheme="minorHAnsi" w:cstheme="minorBidi"/>
          <w:b w:val="0"/>
          <w:sz w:val="22"/>
          <w:szCs w:val="22"/>
        </w:rPr>
        <w:id w:val="537401286"/>
        <w:docPartObj>
          <w:docPartGallery w:val="Bibliographies"/>
          <w:docPartUnique/>
        </w:docPartObj>
      </w:sdtPr>
      <w:sdtEndPr/>
      <w:sdtContent>
        <w:p w:rsidR="009A4621" w:rsidRDefault="009A4621" w:rsidP="007F4115">
          <w:pPr>
            <w:pStyle w:val="Heading1"/>
          </w:pPr>
          <w:r w:rsidRPr="007D5349">
            <w:t>References</w:t>
          </w:r>
        </w:p>
        <w:sdt>
          <w:sdtPr>
            <w:id w:val="-573587230"/>
            <w:bibliography/>
          </w:sdtPr>
          <w:sdtEndPr/>
          <w:sdtContent>
            <w:p w:rsidR="00272ED1" w:rsidRDefault="009A4621" w:rsidP="00272ED1">
              <w:pPr>
                <w:pStyle w:val="Bibliography"/>
                <w:ind w:left="720" w:hanging="720"/>
                <w:rPr>
                  <w:noProof/>
                  <w:sz w:val="24"/>
                  <w:szCs w:val="24"/>
                </w:rPr>
              </w:pPr>
              <w:r>
                <w:fldChar w:fldCharType="begin"/>
              </w:r>
              <w:r>
                <w:instrText xml:space="preserve"> BIBLIOGRAPHY </w:instrText>
              </w:r>
              <w:r>
                <w:fldChar w:fldCharType="separate"/>
              </w:r>
              <w:r w:rsidR="00272ED1">
                <w:rPr>
                  <w:noProof/>
                </w:rPr>
                <w:t xml:space="preserve">Daly, C., Halbleib, M., Smith, J. I., Gibson, W. P., Doggett, M. K., Taylor, G. H., . . . Pasteris, P. P. (2008). Physiographically sensitive mapping of climatological temperature and precipitation across the conterminous United States. </w:t>
              </w:r>
              <w:r w:rsidR="00272ED1">
                <w:rPr>
                  <w:i/>
                  <w:iCs/>
                  <w:noProof/>
                </w:rPr>
                <w:t>INTERNATIONAL JOURNAL OF CLIMATOLOGY</w:t>
              </w:r>
              <w:r w:rsidR="00272ED1">
                <w:rPr>
                  <w:noProof/>
                </w:rPr>
                <w:t>.</w:t>
              </w:r>
            </w:p>
            <w:p w:rsidR="00272ED1" w:rsidRDefault="00272ED1" w:rsidP="00272ED1">
              <w:pPr>
                <w:pStyle w:val="Bibliography"/>
                <w:ind w:left="720" w:hanging="720"/>
                <w:rPr>
                  <w:noProof/>
                </w:rPr>
              </w:pPr>
              <w:r>
                <w:rPr>
                  <w:noProof/>
                </w:rPr>
                <w:lastRenderedPageBreak/>
                <w:t xml:space="preserve">Hofierka, J., Parajka, J., Mitasova, H., &amp; Mitas, L. (2002). Simultaneous spline approximation and topographic analysis for lidar elevation data in open source GIS. </w:t>
              </w:r>
              <w:r>
                <w:rPr>
                  <w:i/>
                  <w:iCs/>
                  <w:noProof/>
                </w:rPr>
                <w:t>Transactions in GIS 6(2)</w:t>
              </w:r>
              <w:r>
                <w:rPr>
                  <w:noProof/>
                </w:rPr>
                <w:t>, 135-150.</w:t>
              </w:r>
            </w:p>
            <w:p w:rsidR="00272ED1" w:rsidRDefault="00272ED1" w:rsidP="00272ED1">
              <w:pPr>
                <w:pStyle w:val="Bibliography"/>
                <w:ind w:left="720" w:hanging="720"/>
                <w:rPr>
                  <w:noProof/>
                </w:rPr>
              </w:pPr>
              <w:r>
                <w:rPr>
                  <w:noProof/>
                </w:rPr>
                <w:t xml:space="preserve">PRISM Climate Group. (2016, 12 1). </w:t>
              </w:r>
              <w:r>
                <w:rPr>
                  <w:i/>
                  <w:iCs/>
                  <w:noProof/>
                </w:rPr>
                <w:t>PRISM 30-Year Normals</w:t>
              </w:r>
              <w:r>
                <w:rPr>
                  <w:noProof/>
                </w:rPr>
                <w:t>. Retrieved 12 1, 2016, from http://prism.oregonstate.edu/normals/</w:t>
              </w:r>
            </w:p>
            <w:p w:rsidR="009A4621" w:rsidRDefault="009A4621" w:rsidP="00272ED1">
              <w:r>
                <w:rPr>
                  <w:b/>
                  <w:bCs/>
                  <w:noProof/>
                </w:rPr>
                <w:fldChar w:fldCharType="end"/>
              </w:r>
            </w:p>
          </w:sdtContent>
        </w:sdt>
      </w:sdtContent>
    </w:sdt>
    <w:p w:rsidR="002A39C9" w:rsidRDefault="002A39C9">
      <w:pPr>
        <w:rPr>
          <w:rFonts w:asciiTheme="majorHAnsi" w:eastAsiaTheme="majorEastAsia" w:hAnsiTheme="majorHAnsi" w:cstheme="majorBidi"/>
          <w:color w:val="2E74B5" w:themeColor="accent1" w:themeShade="BF"/>
          <w:sz w:val="32"/>
          <w:szCs w:val="32"/>
        </w:rPr>
      </w:pPr>
      <w:r>
        <w:br w:type="page"/>
      </w:r>
    </w:p>
    <w:p w:rsidR="00A82A6A" w:rsidRPr="007D5349" w:rsidRDefault="00B93ABC" w:rsidP="007F4115">
      <w:pPr>
        <w:pStyle w:val="Heading1"/>
      </w:pPr>
      <w:r w:rsidRPr="007D5349">
        <w:lastRenderedPageBreak/>
        <w:t>Appendix 1: R Script</w:t>
      </w:r>
      <w:r w:rsidR="00272ED1">
        <w:t xml:space="preserve"> for Adjusting Rain Gages</w:t>
      </w:r>
    </w:p>
    <w:p w:rsidR="00E95B8F" w:rsidRDefault="00E95B8F" w:rsidP="00E95B8F">
      <w:pPr>
        <w:pStyle w:val="Code"/>
      </w:pPr>
    </w:p>
    <w:sectPr w:rsidR="00E95B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8F" w:rsidRDefault="0082698F" w:rsidP="00AC7468">
      <w:pPr>
        <w:spacing w:after="0" w:line="240" w:lineRule="auto"/>
      </w:pPr>
      <w:r>
        <w:separator/>
      </w:r>
    </w:p>
  </w:endnote>
  <w:endnote w:type="continuationSeparator" w:id="0">
    <w:p w:rsidR="0082698F" w:rsidRDefault="0082698F"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D86" w:rsidRDefault="0048242D">
    <w:pPr>
      <w:pStyle w:val="Footer"/>
      <w:rPr>
        <w:noProof/>
      </w:rPr>
    </w:pPr>
    <w:r>
      <w:t>1988-2000 Precipitation</w:t>
    </w:r>
    <w:r w:rsidR="004B1D86">
      <w:ptab w:relativeTo="margin" w:alignment="center" w:leader="none"/>
    </w:r>
    <w:r w:rsidR="00BA5B8B">
      <w:t xml:space="preserve">December </w:t>
    </w:r>
    <w:r>
      <w:t>16</w:t>
    </w:r>
    <w:r w:rsidR="004B1D86">
      <w:t>, 2016</w:t>
    </w:r>
    <w:r w:rsidR="004B1D86">
      <w:ptab w:relativeTo="margin" w:alignment="right" w:leader="none"/>
    </w:r>
    <w:r w:rsidR="004B1D86">
      <w:t xml:space="preserve">Page </w:t>
    </w:r>
    <w:r w:rsidR="004B1D86" w:rsidRPr="00AC7468">
      <w:fldChar w:fldCharType="begin"/>
    </w:r>
    <w:r w:rsidR="004B1D86" w:rsidRPr="00AC7468">
      <w:instrText xml:space="preserve"> PAGE   \* MERGEFORMAT </w:instrText>
    </w:r>
    <w:r w:rsidR="004B1D86" w:rsidRPr="00AC7468">
      <w:fldChar w:fldCharType="separate"/>
    </w:r>
    <w:r w:rsidR="008352CD">
      <w:rPr>
        <w:noProof/>
      </w:rPr>
      <w:t>5</w:t>
    </w:r>
    <w:r w:rsidR="004B1D86" w:rsidRPr="00AC7468">
      <w:rPr>
        <w:noProof/>
      </w:rPr>
      <w:fldChar w:fldCharType="end"/>
    </w:r>
    <w:r w:rsidR="004B1D86">
      <w:rPr>
        <w:noProof/>
      </w:rPr>
      <w:t xml:space="preserve"> of </w:t>
    </w:r>
    <w:r w:rsidR="004B1D86">
      <w:rPr>
        <w:noProof/>
      </w:rPr>
      <w:fldChar w:fldCharType="begin"/>
    </w:r>
    <w:r w:rsidR="004B1D86">
      <w:rPr>
        <w:noProof/>
      </w:rPr>
      <w:instrText xml:space="preserve"> NUMPAGES   \* MERGEFORMAT </w:instrText>
    </w:r>
    <w:r w:rsidR="004B1D86">
      <w:rPr>
        <w:noProof/>
      </w:rPr>
      <w:fldChar w:fldCharType="separate"/>
    </w:r>
    <w:r w:rsidR="008352CD">
      <w:rPr>
        <w:noProof/>
      </w:rPr>
      <w:t>5</w:t>
    </w:r>
    <w:r w:rsidR="004B1D86">
      <w:rPr>
        <w:noProof/>
      </w:rPr>
      <w:fldChar w:fldCharType="end"/>
    </w:r>
  </w:p>
  <w:p w:rsidR="004B1D86" w:rsidRDefault="0039386C">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8F" w:rsidRDefault="0082698F" w:rsidP="00AC7468">
      <w:pPr>
        <w:spacing w:after="0" w:line="240" w:lineRule="auto"/>
      </w:pPr>
      <w:r>
        <w:separator/>
      </w:r>
    </w:p>
  </w:footnote>
  <w:footnote w:type="continuationSeparator" w:id="0">
    <w:p w:rsidR="0082698F" w:rsidRDefault="0082698F"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49D5"/>
    <w:rsid w:val="00007E4D"/>
    <w:rsid w:val="00011285"/>
    <w:rsid w:val="00011AB4"/>
    <w:rsid w:val="00020E92"/>
    <w:rsid w:val="0002175E"/>
    <w:rsid w:val="0003273F"/>
    <w:rsid w:val="000348CA"/>
    <w:rsid w:val="00040F75"/>
    <w:rsid w:val="00044FCF"/>
    <w:rsid w:val="00045870"/>
    <w:rsid w:val="0004724E"/>
    <w:rsid w:val="00053209"/>
    <w:rsid w:val="00064C2A"/>
    <w:rsid w:val="000725CA"/>
    <w:rsid w:val="00073D65"/>
    <w:rsid w:val="00075D88"/>
    <w:rsid w:val="00091CD4"/>
    <w:rsid w:val="000C4596"/>
    <w:rsid w:val="000D2395"/>
    <w:rsid w:val="000D29B9"/>
    <w:rsid w:val="000D2D38"/>
    <w:rsid w:val="000D7FBC"/>
    <w:rsid w:val="000F148E"/>
    <w:rsid w:val="000F6FBE"/>
    <w:rsid w:val="00115453"/>
    <w:rsid w:val="0013399E"/>
    <w:rsid w:val="001353A6"/>
    <w:rsid w:val="00135FC6"/>
    <w:rsid w:val="001364CD"/>
    <w:rsid w:val="0013721F"/>
    <w:rsid w:val="0014632A"/>
    <w:rsid w:val="00153F13"/>
    <w:rsid w:val="001723A5"/>
    <w:rsid w:val="00173692"/>
    <w:rsid w:val="001812C8"/>
    <w:rsid w:val="001903D2"/>
    <w:rsid w:val="00194F2B"/>
    <w:rsid w:val="001969EF"/>
    <w:rsid w:val="001A1F41"/>
    <w:rsid w:val="001A352C"/>
    <w:rsid w:val="001A67EF"/>
    <w:rsid w:val="001B2914"/>
    <w:rsid w:val="001B705D"/>
    <w:rsid w:val="001C6944"/>
    <w:rsid w:val="001C7A7C"/>
    <w:rsid w:val="001C7E14"/>
    <w:rsid w:val="001E2A99"/>
    <w:rsid w:val="002033BE"/>
    <w:rsid w:val="00205CBF"/>
    <w:rsid w:val="00210063"/>
    <w:rsid w:val="002149ED"/>
    <w:rsid w:val="00222032"/>
    <w:rsid w:val="00231C27"/>
    <w:rsid w:val="00243FE2"/>
    <w:rsid w:val="0027127D"/>
    <w:rsid w:val="00272ED1"/>
    <w:rsid w:val="002730F6"/>
    <w:rsid w:val="00277EC9"/>
    <w:rsid w:val="00285EE7"/>
    <w:rsid w:val="002959A6"/>
    <w:rsid w:val="002A39C9"/>
    <w:rsid w:val="002B17CD"/>
    <w:rsid w:val="002C24BD"/>
    <w:rsid w:val="002E0384"/>
    <w:rsid w:val="002E39E9"/>
    <w:rsid w:val="002F3F6C"/>
    <w:rsid w:val="002F71B0"/>
    <w:rsid w:val="00303015"/>
    <w:rsid w:val="00316D99"/>
    <w:rsid w:val="00320EC6"/>
    <w:rsid w:val="003307AD"/>
    <w:rsid w:val="003423C7"/>
    <w:rsid w:val="00347569"/>
    <w:rsid w:val="00355EB3"/>
    <w:rsid w:val="00357DA4"/>
    <w:rsid w:val="003636D1"/>
    <w:rsid w:val="003711E1"/>
    <w:rsid w:val="00381B3F"/>
    <w:rsid w:val="003828BB"/>
    <w:rsid w:val="00386861"/>
    <w:rsid w:val="00387C99"/>
    <w:rsid w:val="003918C3"/>
    <w:rsid w:val="0039273E"/>
    <w:rsid w:val="0039386C"/>
    <w:rsid w:val="00394C39"/>
    <w:rsid w:val="003968E7"/>
    <w:rsid w:val="00396E27"/>
    <w:rsid w:val="003A28D6"/>
    <w:rsid w:val="003B399F"/>
    <w:rsid w:val="003B3B79"/>
    <w:rsid w:val="003C1370"/>
    <w:rsid w:val="003C3D9D"/>
    <w:rsid w:val="003C3FC8"/>
    <w:rsid w:val="003C617B"/>
    <w:rsid w:val="003D2307"/>
    <w:rsid w:val="003D24DE"/>
    <w:rsid w:val="003D793B"/>
    <w:rsid w:val="003F5E04"/>
    <w:rsid w:val="004204D5"/>
    <w:rsid w:val="00440D94"/>
    <w:rsid w:val="004413F4"/>
    <w:rsid w:val="004548C1"/>
    <w:rsid w:val="00461E56"/>
    <w:rsid w:val="00470091"/>
    <w:rsid w:val="004733DD"/>
    <w:rsid w:val="00474343"/>
    <w:rsid w:val="0048242D"/>
    <w:rsid w:val="00490225"/>
    <w:rsid w:val="00497B3E"/>
    <w:rsid w:val="004A3AD6"/>
    <w:rsid w:val="004A526C"/>
    <w:rsid w:val="004A6B3C"/>
    <w:rsid w:val="004B1D86"/>
    <w:rsid w:val="004B3B40"/>
    <w:rsid w:val="004B7136"/>
    <w:rsid w:val="004C15FD"/>
    <w:rsid w:val="004D4C02"/>
    <w:rsid w:val="004D5217"/>
    <w:rsid w:val="004D6471"/>
    <w:rsid w:val="004F5D7B"/>
    <w:rsid w:val="005105BB"/>
    <w:rsid w:val="00523799"/>
    <w:rsid w:val="005254E9"/>
    <w:rsid w:val="00534F35"/>
    <w:rsid w:val="00535D7E"/>
    <w:rsid w:val="00543C8F"/>
    <w:rsid w:val="005471F8"/>
    <w:rsid w:val="00547601"/>
    <w:rsid w:val="005477C8"/>
    <w:rsid w:val="00552424"/>
    <w:rsid w:val="00560B74"/>
    <w:rsid w:val="00563D70"/>
    <w:rsid w:val="005747FE"/>
    <w:rsid w:val="0057593B"/>
    <w:rsid w:val="005A1984"/>
    <w:rsid w:val="005A3278"/>
    <w:rsid w:val="005C3056"/>
    <w:rsid w:val="005C57D5"/>
    <w:rsid w:val="005D1DB4"/>
    <w:rsid w:val="005E0026"/>
    <w:rsid w:val="005E36B0"/>
    <w:rsid w:val="005F4E0A"/>
    <w:rsid w:val="005F564B"/>
    <w:rsid w:val="006032CB"/>
    <w:rsid w:val="00617925"/>
    <w:rsid w:val="006226C1"/>
    <w:rsid w:val="00624304"/>
    <w:rsid w:val="00632F71"/>
    <w:rsid w:val="006335A1"/>
    <w:rsid w:val="0064303A"/>
    <w:rsid w:val="00650EDD"/>
    <w:rsid w:val="00656ED3"/>
    <w:rsid w:val="006571DD"/>
    <w:rsid w:val="00670F35"/>
    <w:rsid w:val="00671121"/>
    <w:rsid w:val="006737D0"/>
    <w:rsid w:val="006A11DF"/>
    <w:rsid w:val="006A35CD"/>
    <w:rsid w:val="006A4BF7"/>
    <w:rsid w:val="006B0861"/>
    <w:rsid w:val="006B132C"/>
    <w:rsid w:val="006B6265"/>
    <w:rsid w:val="006D273F"/>
    <w:rsid w:val="006D7A50"/>
    <w:rsid w:val="006E74EB"/>
    <w:rsid w:val="006F6BF7"/>
    <w:rsid w:val="00720861"/>
    <w:rsid w:val="007560F0"/>
    <w:rsid w:val="00760AC7"/>
    <w:rsid w:val="00767F00"/>
    <w:rsid w:val="00774A74"/>
    <w:rsid w:val="0077647C"/>
    <w:rsid w:val="00781E72"/>
    <w:rsid w:val="007A10E1"/>
    <w:rsid w:val="007A65A0"/>
    <w:rsid w:val="007B202C"/>
    <w:rsid w:val="007C0F0C"/>
    <w:rsid w:val="007D0961"/>
    <w:rsid w:val="007D5349"/>
    <w:rsid w:val="007F141A"/>
    <w:rsid w:val="007F4115"/>
    <w:rsid w:val="00800C38"/>
    <w:rsid w:val="00806275"/>
    <w:rsid w:val="008119C5"/>
    <w:rsid w:val="00811F14"/>
    <w:rsid w:val="00814DCD"/>
    <w:rsid w:val="00817C99"/>
    <w:rsid w:val="0082698F"/>
    <w:rsid w:val="008352CD"/>
    <w:rsid w:val="00845FD9"/>
    <w:rsid w:val="00850B0E"/>
    <w:rsid w:val="0085105B"/>
    <w:rsid w:val="00860DD4"/>
    <w:rsid w:val="00863AB5"/>
    <w:rsid w:val="0086508B"/>
    <w:rsid w:val="008719F5"/>
    <w:rsid w:val="0087385D"/>
    <w:rsid w:val="00875633"/>
    <w:rsid w:val="0087643F"/>
    <w:rsid w:val="00876EA3"/>
    <w:rsid w:val="00896369"/>
    <w:rsid w:val="008A17DC"/>
    <w:rsid w:val="008A4193"/>
    <w:rsid w:val="008A6EF8"/>
    <w:rsid w:val="008B7900"/>
    <w:rsid w:val="008C0802"/>
    <w:rsid w:val="008C0BCA"/>
    <w:rsid w:val="008E0846"/>
    <w:rsid w:val="008E6066"/>
    <w:rsid w:val="00901757"/>
    <w:rsid w:val="00902408"/>
    <w:rsid w:val="0092297B"/>
    <w:rsid w:val="0092396D"/>
    <w:rsid w:val="00930A66"/>
    <w:rsid w:val="0093452E"/>
    <w:rsid w:val="00946795"/>
    <w:rsid w:val="009520BC"/>
    <w:rsid w:val="009538CC"/>
    <w:rsid w:val="009539C8"/>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21AD1"/>
    <w:rsid w:val="00A21F9A"/>
    <w:rsid w:val="00A41F8D"/>
    <w:rsid w:val="00A47C72"/>
    <w:rsid w:val="00A54488"/>
    <w:rsid w:val="00A67E10"/>
    <w:rsid w:val="00A701FA"/>
    <w:rsid w:val="00A72EA0"/>
    <w:rsid w:val="00A72EC3"/>
    <w:rsid w:val="00A7696E"/>
    <w:rsid w:val="00A82A6A"/>
    <w:rsid w:val="00AB37EE"/>
    <w:rsid w:val="00AC2774"/>
    <w:rsid w:val="00AC4365"/>
    <w:rsid w:val="00AC7468"/>
    <w:rsid w:val="00AE09DB"/>
    <w:rsid w:val="00AE0A18"/>
    <w:rsid w:val="00AE3501"/>
    <w:rsid w:val="00AE645F"/>
    <w:rsid w:val="00AF0AFE"/>
    <w:rsid w:val="00AF1A44"/>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8354F"/>
    <w:rsid w:val="00B87DEB"/>
    <w:rsid w:val="00B93ABC"/>
    <w:rsid w:val="00B945FD"/>
    <w:rsid w:val="00B969A2"/>
    <w:rsid w:val="00BA5B8B"/>
    <w:rsid w:val="00BA6F24"/>
    <w:rsid w:val="00BB2439"/>
    <w:rsid w:val="00BB38DA"/>
    <w:rsid w:val="00BD3C0C"/>
    <w:rsid w:val="00BE4785"/>
    <w:rsid w:val="00BF51F1"/>
    <w:rsid w:val="00BF7523"/>
    <w:rsid w:val="00C045A3"/>
    <w:rsid w:val="00C072E0"/>
    <w:rsid w:val="00C11AA7"/>
    <w:rsid w:val="00C148C6"/>
    <w:rsid w:val="00C15260"/>
    <w:rsid w:val="00C17916"/>
    <w:rsid w:val="00C22A40"/>
    <w:rsid w:val="00C34F30"/>
    <w:rsid w:val="00C34F80"/>
    <w:rsid w:val="00C35BAF"/>
    <w:rsid w:val="00C429E0"/>
    <w:rsid w:val="00C53C05"/>
    <w:rsid w:val="00C72485"/>
    <w:rsid w:val="00C74294"/>
    <w:rsid w:val="00C83F12"/>
    <w:rsid w:val="00C9160A"/>
    <w:rsid w:val="00CA1A21"/>
    <w:rsid w:val="00CA677B"/>
    <w:rsid w:val="00CB378E"/>
    <w:rsid w:val="00CB6573"/>
    <w:rsid w:val="00CD1C10"/>
    <w:rsid w:val="00CD7B18"/>
    <w:rsid w:val="00CD7E03"/>
    <w:rsid w:val="00CE7EBE"/>
    <w:rsid w:val="00CF5B43"/>
    <w:rsid w:val="00D028DD"/>
    <w:rsid w:val="00D07FA5"/>
    <w:rsid w:val="00D1540F"/>
    <w:rsid w:val="00D24A25"/>
    <w:rsid w:val="00D2726F"/>
    <w:rsid w:val="00D36324"/>
    <w:rsid w:val="00D365E4"/>
    <w:rsid w:val="00D37CC7"/>
    <w:rsid w:val="00D40769"/>
    <w:rsid w:val="00D40F4D"/>
    <w:rsid w:val="00D56441"/>
    <w:rsid w:val="00D849AE"/>
    <w:rsid w:val="00D863CF"/>
    <w:rsid w:val="00D91C23"/>
    <w:rsid w:val="00D94716"/>
    <w:rsid w:val="00DA1852"/>
    <w:rsid w:val="00DC0230"/>
    <w:rsid w:val="00DC05C3"/>
    <w:rsid w:val="00DC2153"/>
    <w:rsid w:val="00DD7C73"/>
    <w:rsid w:val="00DE2678"/>
    <w:rsid w:val="00DE3854"/>
    <w:rsid w:val="00DF2AA6"/>
    <w:rsid w:val="00E07999"/>
    <w:rsid w:val="00E20F74"/>
    <w:rsid w:val="00E41075"/>
    <w:rsid w:val="00E46039"/>
    <w:rsid w:val="00E5005F"/>
    <w:rsid w:val="00E52898"/>
    <w:rsid w:val="00E57944"/>
    <w:rsid w:val="00E7003F"/>
    <w:rsid w:val="00E857DC"/>
    <w:rsid w:val="00E85D49"/>
    <w:rsid w:val="00E95B8F"/>
    <w:rsid w:val="00E96D47"/>
    <w:rsid w:val="00E97A51"/>
    <w:rsid w:val="00E97BEA"/>
    <w:rsid w:val="00EA1376"/>
    <w:rsid w:val="00EB14F0"/>
    <w:rsid w:val="00EB6AD3"/>
    <w:rsid w:val="00ED6D78"/>
    <w:rsid w:val="00EE66BB"/>
    <w:rsid w:val="00F00894"/>
    <w:rsid w:val="00F022D0"/>
    <w:rsid w:val="00F03DCB"/>
    <w:rsid w:val="00F04F38"/>
    <w:rsid w:val="00F05C09"/>
    <w:rsid w:val="00F1087D"/>
    <w:rsid w:val="00F122D7"/>
    <w:rsid w:val="00F1283C"/>
    <w:rsid w:val="00F21763"/>
    <w:rsid w:val="00F327CE"/>
    <w:rsid w:val="00F4402D"/>
    <w:rsid w:val="00F50FDE"/>
    <w:rsid w:val="00F51426"/>
    <w:rsid w:val="00F87999"/>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122251B7-6B53-4200-98EC-B00BA745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345</cp:revision>
  <cp:lastPrinted>2016-11-04T18:21:00Z</cp:lastPrinted>
  <dcterms:created xsi:type="dcterms:W3CDTF">2016-11-03T17:00:00Z</dcterms:created>
  <dcterms:modified xsi:type="dcterms:W3CDTF">2016-12-16T20:13:00Z</dcterms:modified>
</cp:coreProperties>
</file>