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analysis</w:t>
      </w:r>
    </w:p>
    <w:p>
      <w:r>
        <w:rPr>
          <w:color w:val="646464"/>
          <w:sz w:val="22"/>
        </w:rPr>
        <w:t>Synthetic one-page source</w:t>
      </w:r>
    </w:p>
    <w:p/>
    <w:p>
      <w:pPr>
        <w:pStyle w:val="Heading2"/>
      </w:pPr>
      <w:r>
        <w:t>1. Termination</w:t>
      </w:r>
    </w:p>
    <w:p>
      <w:r>
        <w:t>Section 9.3 allows termination for cause with a 30-day cure period.</w:t>
      </w:r>
    </w:p>
    <w:p>
      <w:pPr>
        <w:spacing w:before="120" w:after="40"/>
      </w:pPr>
      <w:r>
        <w:rPr>
          <w:i/>
          <w:color w:val="787878"/>
          <w:sz w:val="16"/>
        </w:rPr>
        <w:t>[Source: source.pdf, page 1 -- highlighted: "30-day cure period"]</w:t>
      </w:r>
    </w:p>
    <w:p>
      <w:pPr>
        <w:spacing w:after="240"/>
      </w:pPr>
      <w:r>
        <w:drawing>
          <wp:inline xmlns:a="http://schemas.openxmlformats.org/drawingml/2006/main" xmlns:pic="http://schemas.openxmlformats.org/drawingml/2006/picture">
            <wp:extent cx="5303520" cy="95209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952090"/>
                    </a:xfrm>
                    <a:prstGeom prst="rect"/>
                  </pic:spPr>
                </pic:pic>
              </a:graphicData>
            </a:graphic>
          </wp:inline>
        </w:drawing>
      </w:r>
    </w:p>
    <w:p/>
    <w:p>
      <w:r>
        <w:rPr>
          <w:i/>
          <w:color w:val="828282"/>
          <w:sz w:val="18"/>
        </w:rPr>
        <w:t>Generated by Eyeball. Each screenshot is captured from the source document with cited text highlighted in yellow. Screenshots are dynamically sized to cover the full range of text referenced in the analysis. Review the highlighted source material to verify each assertion.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