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Response Procedure</w:t>
      </w:r>
    </w:p>
    <w:p>
      <w:r>
        <w:t>Document ID: IR-PROC-001</w:t>
      </w:r>
    </w:p>
    <w:p>
      <w:r>
        <w:t>Version: 3.2</w:t>
      </w:r>
    </w:p>
    <w:p>
      <w:r>
        <w:t>Effective Date: 2025-12-07</w:t>
      </w:r>
    </w:p>
    <w:p>
      <w:r>
        <w:t>Classification: Internal Use Only</w:t>
      </w:r>
    </w:p>
    <w:p/>
    <w:p>
      <w:pPr>
        <w:pStyle w:val="Heading1"/>
      </w:pPr>
      <w:r>
        <w:t>1. Purpose</w:t>
      </w:r>
    </w:p>
    <w:p>
      <w:r>
        <w:t>This procedure establishes the incident response process in accordance with NIST 800-53 IR controls and FedRAMP requirements. It ensures consistent handling of security incidents to minimize impact and enable recovery.</w:t>
      </w:r>
    </w:p>
    <w:p>
      <w:pPr>
        <w:pStyle w:val="Heading1"/>
      </w:pPr>
      <w:r>
        <w:t>2. Scope</w:t>
      </w:r>
    </w:p>
    <w:p>
      <w:r>
        <w:t>This procedure applies to all security incidents affecting the CloudSecure Platform and its components, including infrastructure, applications, and data.</w:t>
      </w:r>
    </w:p>
    <w:p>
      <w:pPr>
        <w:pStyle w:val="Heading1"/>
      </w:pPr>
      <w:r>
        <w:t>3. Applicable Controls</w:t>
      </w:r>
    </w:p>
    <w:p>
      <w:pPr>
        <w:pStyle w:val="ListBullet"/>
      </w:pPr>
      <w:r>
        <w:t>IR-1: Incident Response Policy and Procedures</w:t>
      </w:r>
    </w:p>
    <w:p>
      <w:pPr>
        <w:pStyle w:val="ListBullet"/>
      </w:pPr>
      <w:r>
        <w:t>IR-2: Incident Response Training</w:t>
      </w:r>
    </w:p>
    <w:p>
      <w:pPr>
        <w:pStyle w:val="ListBullet"/>
      </w:pPr>
      <w:r>
        <w:t>IR-3: Incident Response Testing</w:t>
      </w:r>
    </w:p>
    <w:p>
      <w:pPr>
        <w:pStyle w:val="ListBullet"/>
      </w:pPr>
      <w:r>
        <w:t>IR-4: Incident Handling</w:t>
      </w:r>
    </w:p>
    <w:p>
      <w:pPr>
        <w:pStyle w:val="ListBullet"/>
      </w:pPr>
      <w:r>
        <w:t>IR-5: Incident Monitoring</w:t>
      </w:r>
    </w:p>
    <w:p>
      <w:pPr>
        <w:pStyle w:val="ListBullet"/>
      </w:pPr>
      <w:r>
        <w:t>IR-6: Incident Reporting</w:t>
      </w:r>
    </w:p>
    <w:p>
      <w:pPr>
        <w:pStyle w:val="ListBullet"/>
      </w:pPr>
      <w:r>
        <w:t>IR-7: Incident Response Assistance</w:t>
      </w:r>
    </w:p>
    <w:p>
      <w:pPr>
        <w:pStyle w:val="ListBullet"/>
      </w:pPr>
      <w:r>
        <w:t>IR-8: Incident Response Plan</w:t>
      </w:r>
    </w:p>
    <w:p>
      <w:pPr>
        <w:pStyle w:val="Heading1"/>
      </w:pPr>
      <w:r>
        <w:t>4. Incident Categories (IR-4)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Category 1 - Critical</w:t>
            </w:r>
          </w:p>
        </w:tc>
        <w:tc>
          <w:tcPr>
            <w:tcW w:type="dxa" w:w="4320"/>
          </w:tcPr>
          <w:p>
            <w:r>
              <w:t>Active exploitation, data breach, system compromise</w:t>
            </w:r>
          </w:p>
        </w:tc>
      </w:tr>
      <w:tr>
        <w:tc>
          <w:tcPr>
            <w:tcW w:type="dxa" w:w="4320"/>
          </w:tcPr>
          <w:p>
            <w:r>
              <w:t>Category 2 - High</w:t>
            </w:r>
          </w:p>
        </w:tc>
        <w:tc>
          <w:tcPr>
            <w:tcW w:type="dxa" w:w="4320"/>
          </w:tcPr>
          <w:p>
            <w:r>
              <w:t>Attempted intrusion, malware detection, policy violation</w:t>
            </w:r>
          </w:p>
        </w:tc>
      </w:tr>
      <w:tr>
        <w:tc>
          <w:tcPr>
            <w:tcW w:type="dxa" w:w="4320"/>
          </w:tcPr>
          <w:p>
            <w:r>
              <w:t>Category 3 - Medium</w:t>
            </w:r>
          </w:p>
        </w:tc>
        <w:tc>
          <w:tcPr>
            <w:tcW w:type="dxa" w:w="4320"/>
          </w:tcPr>
          <w:p>
            <w:r>
              <w:t>Suspicious activity, vulnerability discovery</w:t>
            </w:r>
          </w:p>
        </w:tc>
      </w:tr>
      <w:tr>
        <w:tc>
          <w:tcPr>
            <w:tcW w:type="dxa" w:w="4320"/>
          </w:tcPr>
          <w:p>
            <w:r>
              <w:t>Category 4 - Low</w:t>
            </w:r>
          </w:p>
        </w:tc>
        <w:tc>
          <w:tcPr>
            <w:tcW w:type="dxa" w:w="4320"/>
          </w:tcPr>
          <w:p>
            <w:r>
              <w:t>Security queries, false positives, informational</w:t>
            </w:r>
          </w:p>
        </w:tc>
      </w:tr>
    </w:tbl>
    <w:p/>
    <w:p>
      <w:pPr>
        <w:pStyle w:val="Heading1"/>
      </w:pPr>
      <w:r>
        <w:t>5. Incident Response Procedure</w:t>
      </w:r>
    </w:p>
    <w:p>
      <w:pPr>
        <w:pStyle w:val="Heading2"/>
      </w:pPr>
      <w:r>
        <w:t>5.1 Detection and Analysis (IR-4.a)</w:t>
      </w:r>
    </w:p>
    <w:p>
      <w:r>
        <w:t>1. Monitor security alerts from Splunk, GuardDuty, and other sources</w:t>
      </w:r>
    </w:p>
    <w:p>
      <w:r>
        <w:t>2. Validate alert and determine if incident is real or false positive</w:t>
      </w:r>
    </w:p>
    <w:p>
      <w:r>
        <w:t>3. Categorize incident based on severity and type</w:t>
      </w:r>
    </w:p>
    <w:p>
      <w:r>
        <w:t>4. Document initial findings in incident tracking system</w:t>
      </w:r>
    </w:p>
    <w:p>
      <w:r>
        <w:t>5. Notify appropriate personnel based on category</w:t>
      </w:r>
    </w:p>
    <w:p>
      <w:pPr>
        <w:pStyle w:val="Heading2"/>
      </w:pPr>
      <w:r>
        <w:t>5.2 Containment (IR-4.b)</w:t>
      </w:r>
    </w:p>
    <w:p>
      <w:r>
        <w:t>1. Isolate affected systems if necessary</w:t>
      </w:r>
    </w:p>
    <w:p>
      <w:r>
        <w:t>2. Preserve evidence for forensic analysis</w:t>
      </w:r>
    </w:p>
    <w:p>
      <w:r>
        <w:t>3. Implement temporary mitigations</w:t>
      </w:r>
    </w:p>
    <w:p>
      <w:r>
        <w:t>4. Block malicious IPs or domains</w:t>
      </w:r>
    </w:p>
    <w:p>
      <w:r>
        <w:t>5. Revoke compromised credentials</w:t>
      </w:r>
    </w:p>
    <w:p>
      <w:pPr>
        <w:pStyle w:val="Heading2"/>
      </w:pPr>
      <w:r>
        <w:t>5.3 Eradication and Recovery (IR-4.c)</w:t>
      </w:r>
    </w:p>
    <w:p>
      <w:r>
        <w:t>1. Remove malware or unauthorized access</w:t>
      </w:r>
    </w:p>
    <w:p>
      <w:r>
        <w:t>2. Apply patches or configuration changes</w:t>
      </w:r>
    </w:p>
    <w:p>
      <w:r>
        <w:t>3. Restore systems from clean backups if needed</w:t>
      </w:r>
    </w:p>
    <w:p>
      <w:r>
        <w:t>4. Verify system integrity before returning to production</w:t>
      </w:r>
    </w:p>
    <w:p>
      <w:r>
        <w:t>5. Monitor for recurrence</w:t>
      </w:r>
    </w:p>
    <w:p>
      <w:pPr>
        <w:pStyle w:val="Heading2"/>
      </w:pPr>
      <w:r>
        <w:t>5.4 Post-Incident Activity (IR-4.d)</w:t>
      </w:r>
    </w:p>
    <w:p>
      <w:r>
        <w:t>1. Conduct lessons learned meeting within 5 business days</w:t>
      </w:r>
    </w:p>
    <w:p>
      <w:r>
        <w:t>2. Document incident timeline and response actions</w:t>
      </w:r>
    </w:p>
    <w:p>
      <w:r>
        <w:t>3. Identify process improvements</w:t>
      </w:r>
    </w:p>
    <w:p>
      <w:r>
        <w:t>4. Update playbooks and procedures as needed</w:t>
      </w:r>
    </w:p>
    <w:p>
      <w:r>
        <w:t>5. Report to FedRAMP PMO within required timeframes (IR-6)</w:t>
      </w:r>
    </w:p>
    <w:p>
      <w:pPr>
        <w:pStyle w:val="Heading1"/>
      </w:pPr>
      <w:r>
        <w:t>6. Reporting Requirements (IR-6)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Reporting Entity</w:t>
            </w:r>
          </w:p>
        </w:tc>
        <w:tc>
          <w:tcPr>
            <w:tcW w:type="dxa" w:w="4320"/>
          </w:tcPr>
          <w:p>
            <w:r>
              <w:t>Timeline</w:t>
            </w:r>
          </w:p>
        </w:tc>
      </w:tr>
      <w:tr>
        <w:tc>
          <w:tcPr>
            <w:tcW w:type="dxa" w:w="4320"/>
          </w:tcPr>
          <w:p>
            <w:r>
              <w:t>US-CERT</w:t>
            </w:r>
          </w:p>
        </w:tc>
        <w:tc>
          <w:tcPr>
            <w:tcW w:type="dxa" w:w="4320"/>
          </w:tcPr>
          <w:p>
            <w:r>
              <w:t>Within 1 hour for Cat 1, 72 hours for Cat 2</w:t>
            </w:r>
          </w:p>
        </w:tc>
      </w:tr>
      <w:tr>
        <w:tc>
          <w:tcPr>
            <w:tcW w:type="dxa" w:w="4320"/>
          </w:tcPr>
          <w:p>
            <w:r>
              <w:t>FedRAMP PMO</w:t>
            </w:r>
          </w:p>
        </w:tc>
        <w:tc>
          <w:tcPr>
            <w:tcW w:type="dxa" w:w="4320"/>
          </w:tcPr>
          <w:p>
            <w:r>
              <w:t>Within 24 hours for significant incidents</w:t>
            </w:r>
          </w:p>
        </w:tc>
      </w:tr>
      <w:tr>
        <w:tc>
          <w:tcPr>
            <w:tcW w:type="dxa" w:w="4320"/>
          </w:tcPr>
          <w:p>
            <w:r>
              <w:t>Agency AO</w:t>
            </w:r>
          </w:p>
        </w:tc>
        <w:tc>
          <w:tcPr>
            <w:tcW w:type="dxa" w:w="4320"/>
          </w:tcPr>
          <w:p>
            <w:r>
              <w:t>Within 24 hours for incidents affecting agency data</w:t>
            </w:r>
          </w:p>
        </w:tc>
      </w:tr>
      <w:tr>
        <w:tc>
          <w:tcPr>
            <w:tcW w:type="dxa" w:w="4320"/>
          </w:tcPr>
          <w:p>
            <w:r>
              <w:t>Internal CISO</w:t>
            </w:r>
          </w:p>
        </w:tc>
        <w:tc>
          <w:tcPr>
            <w:tcW w:type="dxa" w:w="4320"/>
          </w:tcPr>
          <w:p>
            <w:r>
              <w:t>Immediately for all categories</w:t>
            </w:r>
          </w:p>
        </w:tc>
      </w:tr>
    </w:tbl>
    <w:p>
      <w:pPr>
        <w:pStyle w:val="Heading1"/>
      </w:pPr>
      <w:r>
        <w:t>7. Contact Information</w:t>
      </w:r>
    </w:p>
    <w:p>
      <w:r>
        <w:t>Security Operations Center (SOC): soc@example.com</w:t>
      </w:r>
    </w:p>
    <w:p>
      <w:r>
        <w:t>CISO: ciso@example.com</w:t>
      </w:r>
    </w:p>
    <w:p>
      <w:r>
        <w:t>Incident Response Team: irt@example.com</w:t>
      </w:r>
    </w:p>
    <w:p>
      <w:r>
        <w:t>24/7 Hotline: 1-800-SEC-INCI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