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Security Plan - Control Implementation</w:t>
      </w:r>
    </w:p>
    <w:p>
      <w:r>
        <w:t>System Name: CloudSecure Platform</w:t>
      </w:r>
    </w:p>
    <w:p>
      <w:r>
        <w:t>FedRAMP Impact Level: Moderate</w:t>
      </w:r>
    </w:p>
    <w:p>
      <w:r>
        <w:t>Document Version: 2.1</w:t>
      </w:r>
    </w:p>
    <w:p>
      <w:r>
        <w:t>Last Updated: 2025-12-07</w:t>
      </w:r>
    </w:p>
    <w:p/>
    <w:p>
      <w:pPr>
        <w:pStyle w:val="Heading1"/>
      </w:pPr>
      <w:r>
        <w:t>Control Implementation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Control ID</w:t>
            </w:r>
          </w:p>
        </w:tc>
        <w:tc>
          <w:tcPr>
            <w:tcW w:type="dxa" w:w="2160"/>
          </w:tcPr>
          <w:p>
            <w:r>
              <w:t>Control Title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Implementation Description</w:t>
            </w:r>
          </w:p>
        </w:tc>
      </w:tr>
      <w:tr>
        <w:tc>
          <w:tcPr>
            <w:tcW w:type="dxa" w:w="2160"/>
          </w:tcPr>
          <w:p>
            <w:r>
              <w:t>AC-2</w:t>
            </w:r>
          </w:p>
        </w:tc>
        <w:tc>
          <w:tcPr>
            <w:tcW w:type="dxa" w:w="2160"/>
          </w:tcPr>
          <w:p>
            <w:r>
              <w:t>Account Management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2160"/>
          </w:tcPr>
          <w:p>
            <w:r>
              <w:t>Account management is implemented through Okta identity provider with automated provisioning and deprovisioning workflows. Quarterly access reviews are conducted using ServiceNow.</w:t>
            </w:r>
          </w:p>
        </w:tc>
      </w:tr>
      <w:tr>
        <w:tc>
          <w:tcPr>
            <w:tcW w:type="dxa" w:w="2160"/>
          </w:tcPr>
          <w:p>
            <w:r>
              <w:t>AU-2</w:t>
            </w:r>
          </w:p>
        </w:tc>
        <w:tc>
          <w:tcPr>
            <w:tcW w:type="dxa" w:w="2160"/>
          </w:tcPr>
          <w:p>
            <w:r>
              <w:t>Audit Events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2160"/>
          </w:tcPr>
          <w:p>
            <w:r>
              <w:t>The system audits login/logout events, privilege escalation, configuration changes, and data access. Logs are forwarded to Splunk SIEM for analysis and retention.</w:t>
            </w:r>
          </w:p>
        </w:tc>
      </w:tr>
      <w:tr>
        <w:tc>
          <w:tcPr>
            <w:tcW w:type="dxa" w:w="2160"/>
          </w:tcPr>
          <w:p>
            <w:r>
              <w:t>AU-6</w:t>
            </w:r>
          </w:p>
        </w:tc>
        <w:tc>
          <w:tcPr>
            <w:tcW w:type="dxa" w:w="2160"/>
          </w:tcPr>
          <w:p>
            <w:r>
              <w:t>Audit Review, Analysis, and Reporting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2160"/>
          </w:tcPr>
          <w:p>
            <w:r>
              <w:t>Security analysts review audit logs daily using Splunk dashboards. Automated alerts notify the SOC of suspicious activities. Weekly reports are provided to management.</w:t>
            </w:r>
          </w:p>
        </w:tc>
      </w:tr>
      <w:tr>
        <w:tc>
          <w:tcPr>
            <w:tcW w:type="dxa" w:w="2160"/>
          </w:tcPr>
          <w:p>
            <w:r>
              <w:t>CM-2</w:t>
            </w:r>
          </w:p>
        </w:tc>
        <w:tc>
          <w:tcPr>
            <w:tcW w:type="dxa" w:w="2160"/>
          </w:tcPr>
          <w:p>
            <w:r>
              <w:t>Baseline Configuration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2160"/>
          </w:tcPr>
          <w:p>
            <w:r>
              <w:t>Baseline configurations are maintained in Terraform and Ansible. All infrastructure changes go through GitOps workflows with automated compliance checks.</w:t>
            </w:r>
          </w:p>
        </w:tc>
      </w:tr>
      <w:tr>
        <w:tc>
          <w:tcPr>
            <w:tcW w:type="dxa" w:w="2160"/>
          </w:tcPr>
          <w:p>
            <w:r>
              <w:t>CM-6</w:t>
            </w:r>
          </w:p>
        </w:tc>
        <w:tc>
          <w:tcPr>
            <w:tcW w:type="dxa" w:w="2160"/>
          </w:tcPr>
          <w:p>
            <w:r>
              <w:t>Configuration Settings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2160"/>
          </w:tcPr>
          <w:p>
            <w:r>
              <w:t>CIS Benchmarks are applied to all systems. Configuration compliance is monitored continuously using AWS Config and custom Lambda functions.</w:t>
            </w:r>
          </w:p>
        </w:tc>
      </w:tr>
      <w:tr>
        <w:tc>
          <w:tcPr>
            <w:tcW w:type="dxa" w:w="2160"/>
          </w:tcPr>
          <w:p>
            <w:r>
              <w:t>IA-2</w:t>
            </w:r>
          </w:p>
        </w:tc>
        <w:tc>
          <w:tcPr>
            <w:tcW w:type="dxa" w:w="2160"/>
          </w:tcPr>
          <w:p>
            <w:r>
              <w:t>Identification and Authentication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2160"/>
          </w:tcPr>
          <w:p>
            <w:r>
              <w:t>Multi-factor authentication is required for all users. PIV/CAC cards are supported for federal users. Passwords meet NIST 800-63B requirements.</w:t>
            </w:r>
          </w:p>
        </w:tc>
      </w:tr>
      <w:tr>
        <w:tc>
          <w:tcPr>
            <w:tcW w:type="dxa" w:w="2160"/>
          </w:tcPr>
          <w:p>
            <w:r>
              <w:t>IA-2(1)</w:t>
            </w:r>
          </w:p>
        </w:tc>
        <w:tc>
          <w:tcPr>
            <w:tcW w:type="dxa" w:w="2160"/>
          </w:tcPr>
          <w:p>
            <w:r>
              <w:t>Network Access to Privileged Accounts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2160"/>
          </w:tcPr>
          <w:p>
            <w:r>
              <w:t>MFA is enforced for all privileged access including admin consoles, SSH, and API access. Hardware tokens are required for production access.</w:t>
            </w:r>
          </w:p>
        </w:tc>
      </w:tr>
      <w:tr>
        <w:tc>
          <w:tcPr>
            <w:tcW w:type="dxa" w:w="2160"/>
          </w:tcPr>
          <w:p>
            <w:r>
              <w:t>SC-7</w:t>
            </w:r>
          </w:p>
        </w:tc>
        <w:tc>
          <w:tcPr>
            <w:tcW w:type="dxa" w:w="2160"/>
          </w:tcPr>
          <w:p>
            <w:r>
              <w:t>Boundary Protection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2160"/>
          </w:tcPr>
          <w:p>
            <w:r>
              <w:t>AWS WAF and CloudFront provide boundary protection. VPC network ACLs and security groups enforce microsegmentation. All traffic is logged and analyzed.</w:t>
            </w:r>
          </w:p>
        </w:tc>
      </w:tr>
      <w:tr>
        <w:tc>
          <w:tcPr>
            <w:tcW w:type="dxa" w:w="2160"/>
          </w:tcPr>
          <w:p>
            <w:r>
              <w:t>SC-8</w:t>
            </w:r>
          </w:p>
        </w:tc>
        <w:tc>
          <w:tcPr>
            <w:tcW w:type="dxa" w:w="2160"/>
          </w:tcPr>
          <w:p>
            <w:r>
              <w:t>Transmission Confidentiality and Integrity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2160"/>
          </w:tcPr>
          <w:p>
            <w:r>
              <w:t>All data in transit is encrypted using TLS 1.3. Certificate management is automated through AWS Certificate Manager. HSTS is enforced on all endpoints.</w:t>
            </w:r>
          </w:p>
        </w:tc>
      </w:tr>
      <w:tr>
        <w:tc>
          <w:tcPr>
            <w:tcW w:type="dxa" w:w="2160"/>
          </w:tcPr>
          <w:p>
            <w:r>
              <w:t>SC-13</w:t>
            </w:r>
          </w:p>
        </w:tc>
        <w:tc>
          <w:tcPr>
            <w:tcW w:type="dxa" w:w="2160"/>
          </w:tcPr>
          <w:p>
            <w:r>
              <w:t>Cryptographic Protection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2160"/>
          </w:tcPr>
          <w:p>
            <w:r>
              <w:t>FIPS 140-2 validated modules are used for all cryptographic operations. AWS KMS with FIPS endpoints provides key management.</w:t>
            </w:r>
          </w:p>
        </w:tc>
      </w:tr>
      <w:tr>
        <w:tc>
          <w:tcPr>
            <w:tcW w:type="dxa" w:w="2160"/>
          </w:tcPr>
          <w:p>
            <w:r>
              <w:t>SI-2</w:t>
            </w:r>
          </w:p>
        </w:tc>
        <w:tc>
          <w:tcPr>
            <w:tcW w:type="dxa" w:w="2160"/>
          </w:tcPr>
          <w:p>
            <w:r>
              <w:t>Flaw Remediation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2160"/>
          </w:tcPr>
          <w:p>
            <w:r>
              <w:t>Vulnerability scanning is performed weekly using Qualys. Critical vulnerabilities are remediated within 15 days, high within 30 days per FedRAMP requirements.</w:t>
            </w:r>
          </w:p>
        </w:tc>
      </w:tr>
      <w:tr>
        <w:tc>
          <w:tcPr>
            <w:tcW w:type="dxa" w:w="2160"/>
          </w:tcPr>
          <w:p>
            <w:r>
              <w:t>SI-4</w:t>
            </w:r>
          </w:p>
        </w:tc>
        <w:tc>
          <w:tcPr>
            <w:tcW w:type="dxa" w:w="2160"/>
          </w:tcPr>
          <w:p>
            <w:r>
              <w:t>Information System Monitoring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  <w:tc>
          <w:tcPr>
            <w:tcW w:type="dxa" w:w="2160"/>
          </w:tcPr>
          <w:p>
            <w:r>
              <w:t>CloudWatch, GuardDuty, and Splunk provide continuous monitoring. IDS/IPS capabilities detect and block malicious activity. 24/7 SOC coverage is provided.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