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ACA41" w14:textId="377EE3D8" w:rsidR="00D66706" w:rsidRPr="00D51002" w:rsidRDefault="00D66706">
      <w:pPr>
        <w:rPr>
          <w:rFonts w:ascii="Times New Roman" w:hAnsi="Times New Roman" w:cs="Times New Roman"/>
          <w:sz w:val="24"/>
          <w:szCs w:val="24"/>
        </w:rPr>
      </w:pPr>
      <w:r w:rsidRPr="00D51002">
        <w:rPr>
          <w:rFonts w:ascii="Times New Roman" w:hAnsi="Times New Roman" w:cs="Times New Roman"/>
          <w:sz w:val="24"/>
          <w:szCs w:val="24"/>
        </w:rPr>
        <w:t>Research question: why do market-based metrics of monetary policy expectations sometimes yield contradictory signals in response to the release of Federal Open Market Committee (FOMC) meeting information?</w:t>
      </w:r>
    </w:p>
    <w:p w14:paraId="627F5472" w14:textId="3FDA7A18" w:rsidR="00F0628A" w:rsidRPr="00D51002" w:rsidRDefault="00F0628A">
      <w:pPr>
        <w:rPr>
          <w:rFonts w:ascii="Times New Roman" w:hAnsi="Times New Roman" w:cs="Times New Roman"/>
          <w:sz w:val="24"/>
          <w:szCs w:val="24"/>
        </w:rPr>
      </w:pPr>
      <w:r w:rsidRPr="00D51002">
        <w:rPr>
          <w:rFonts w:ascii="Times New Roman" w:hAnsi="Times New Roman" w:cs="Times New Roman"/>
          <w:sz w:val="24"/>
          <w:szCs w:val="24"/>
        </w:rPr>
        <w:t>In monetary policy economics, there is current a large amount of research on market-based approaches to measuring monetary policy expectations. Specifically, the following market-based metrics are potentially of interest:</w:t>
      </w:r>
    </w:p>
    <w:p w14:paraId="1A70309C" w14:textId="5EC2B62B" w:rsidR="00D66706" w:rsidRPr="00D51002" w:rsidRDefault="00F0628A"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 xml:space="preserve">Federal Funds Futures Rates. The Chicago Mercantile Exchange runs the largest and most liquid </w:t>
      </w:r>
      <w:r w:rsidR="00D66706" w:rsidRPr="00D51002">
        <w:rPr>
          <w:rFonts w:ascii="Times New Roman" w:hAnsi="Times New Roman" w:cs="Times New Roman"/>
          <w:sz w:val="24"/>
          <w:szCs w:val="24"/>
        </w:rPr>
        <w:t xml:space="preserve">exchange for this type of asset. These are futures contracts that are based on the Federal Reserve’s FFR target rate. </w:t>
      </w:r>
    </w:p>
    <w:p w14:paraId="00426E92" w14:textId="38F5287A" w:rsidR="00D66706" w:rsidRPr="00D51002" w:rsidRDefault="00D66706"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 xml:space="preserve">Term Eurodollar Deposit Rates (LIBOR). These are US dollar denominated deposits held at banks overseas. </w:t>
      </w:r>
      <w:r w:rsidR="00602245" w:rsidRPr="00D51002">
        <w:rPr>
          <w:rFonts w:ascii="Times New Roman" w:hAnsi="Times New Roman" w:cs="Times New Roman"/>
          <w:sz w:val="24"/>
          <w:szCs w:val="24"/>
        </w:rPr>
        <w:t xml:space="preserve">The overnight LIBOR closely tracks FFR, however the most important difference between LIBOR and FFR is that LIBOR includes collateralized interbank lending whereas FFR only tracks </w:t>
      </w:r>
      <w:r w:rsidR="00602245" w:rsidRPr="00D51002">
        <w:rPr>
          <w:rFonts w:ascii="Times New Roman" w:hAnsi="Times New Roman" w:cs="Times New Roman"/>
          <w:sz w:val="24"/>
          <w:szCs w:val="24"/>
        </w:rPr>
        <w:t>uncollateralized</w:t>
      </w:r>
      <w:r w:rsidR="00602245" w:rsidRPr="00D51002">
        <w:rPr>
          <w:rFonts w:ascii="Times New Roman" w:hAnsi="Times New Roman" w:cs="Times New Roman"/>
          <w:sz w:val="24"/>
          <w:szCs w:val="24"/>
        </w:rPr>
        <w:t xml:space="preserve"> loans. </w:t>
      </w:r>
      <w:r w:rsidRPr="00D51002">
        <w:rPr>
          <w:rFonts w:ascii="Times New Roman" w:hAnsi="Times New Roman" w:cs="Times New Roman"/>
          <w:sz w:val="24"/>
          <w:szCs w:val="24"/>
        </w:rPr>
        <w:t xml:space="preserve">LIBOR quotes are offered by the British Banker’s Association. </w:t>
      </w:r>
    </w:p>
    <w:p w14:paraId="249B51F3" w14:textId="3DC2A523" w:rsidR="00D66706" w:rsidRPr="00D51002" w:rsidRDefault="00D66706"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Eurodollar Futures Rates</w:t>
      </w:r>
      <w:r w:rsidR="00602245" w:rsidRPr="00D51002">
        <w:rPr>
          <w:rFonts w:ascii="Times New Roman" w:hAnsi="Times New Roman" w:cs="Times New Roman"/>
          <w:sz w:val="24"/>
          <w:szCs w:val="24"/>
        </w:rPr>
        <w:t xml:space="preserve">. This is CME’s market for LIBOR futures contracts. </w:t>
      </w:r>
    </w:p>
    <w:p w14:paraId="6F45F339" w14:textId="64861CC5" w:rsidR="00602245" w:rsidRPr="00D51002" w:rsidRDefault="00602245"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US Treasury Yield Curve. The Treasury offers data on this however it is only daily data. We may need to find a different source, potentially a source that tracks data on secondary markets.</w:t>
      </w:r>
    </w:p>
    <w:p w14:paraId="63C08497" w14:textId="3091F783" w:rsidR="00602245" w:rsidRPr="00D51002" w:rsidRDefault="00602245"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TIPS Spread. The difference between Treasury Inflation Protected Securities and the yield of regular US Treasury securities with the same maturity.</w:t>
      </w:r>
      <w:r w:rsidR="002777B9" w:rsidRPr="00D51002">
        <w:rPr>
          <w:rFonts w:ascii="Times New Roman" w:hAnsi="Times New Roman" w:cs="Times New Roman"/>
          <w:sz w:val="24"/>
          <w:szCs w:val="24"/>
        </w:rPr>
        <w:t xml:space="preserve"> </w:t>
      </w:r>
      <w:r w:rsidR="002777B9" w:rsidRPr="00D51002">
        <w:rPr>
          <w:rFonts w:ascii="Times New Roman" w:hAnsi="Times New Roman" w:cs="Times New Roman"/>
          <w:sz w:val="24"/>
          <w:szCs w:val="24"/>
        </w:rPr>
        <w:t xml:space="preserve">If markets expect inflation, then market actors would be willing to pay slightly more for TIPS than normal Treasuries. </w:t>
      </w:r>
      <w:r w:rsidRPr="00D51002">
        <w:rPr>
          <w:rFonts w:ascii="Times New Roman" w:hAnsi="Times New Roman" w:cs="Times New Roman"/>
          <w:sz w:val="24"/>
          <w:szCs w:val="24"/>
        </w:rPr>
        <w:t xml:space="preserve">The difference between the two interest rates offers an implicit market forecast of inflation. </w:t>
      </w:r>
    </w:p>
    <w:p w14:paraId="42207031" w14:textId="5F9F1F87" w:rsidR="00602245" w:rsidRPr="00D51002" w:rsidRDefault="002777B9"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VTI or other broad stock market ETF. VTI tracks the stock prices of almost every publicly traded corporation in America. VTI is generally considered the cheapest option for people who want to buy ETFs however for research purposes it may be better to look at other ETFs that are more liquid. This indicator isn’t directly related to monetary policy</w:t>
      </w:r>
      <w:r w:rsidR="00D51002" w:rsidRPr="00D51002">
        <w:rPr>
          <w:rFonts w:ascii="Times New Roman" w:hAnsi="Times New Roman" w:cs="Times New Roman"/>
          <w:sz w:val="24"/>
          <w:szCs w:val="24"/>
        </w:rPr>
        <w:t>,</w:t>
      </w:r>
      <w:r w:rsidRPr="00D51002">
        <w:rPr>
          <w:rFonts w:ascii="Times New Roman" w:hAnsi="Times New Roman" w:cs="Times New Roman"/>
          <w:sz w:val="24"/>
          <w:szCs w:val="24"/>
        </w:rPr>
        <w:t xml:space="preserve"> however market ETFs can sometimes exhibit strange behavior after FOMC meetings</w:t>
      </w:r>
      <w:r w:rsidR="00D51002" w:rsidRPr="00D51002">
        <w:rPr>
          <w:rFonts w:ascii="Times New Roman" w:hAnsi="Times New Roman" w:cs="Times New Roman"/>
          <w:sz w:val="24"/>
          <w:szCs w:val="24"/>
        </w:rPr>
        <w:t xml:space="preserve"> </w:t>
      </w:r>
      <w:r w:rsidR="00D51002" w:rsidRPr="00D51002">
        <w:rPr>
          <w:rFonts w:ascii="Times New Roman" w:hAnsi="Times New Roman" w:cs="Times New Roman"/>
          <w:sz w:val="24"/>
          <w:szCs w:val="24"/>
        </w:rPr>
        <w:fldChar w:fldCharType="begin" w:fldLock="1"/>
      </w:r>
      <w:r w:rsidR="009F58B6">
        <w:rPr>
          <w:rFonts w:ascii="Times New Roman" w:hAnsi="Times New Roman" w:cs="Times New Roman"/>
          <w:sz w:val="24"/>
          <w:szCs w:val="24"/>
        </w:rPr>
        <w:instrText>ADDIN CSL_CITATION {"citationItems":[{"id":"ITEM-1","itemData":{"DOI":"10.1257/mac.20180090","ISSN":"19457715","abstract":"Central bank announcements simultaneously convey information about monetary policy and the central bank's assessment of the economic outlook. This paper disentangles these two components and studies their effect on the economy using a structural vector autoregression. It relies on the information inherent in high-frequency co-movement of interest rates and stock prices around policy announcements: a surprise policy tightening raises interest rates and reduces stock prices, while the complementary positive central bank information shock raises both. These two shocks have intuitive and very different effects on the economy. Ignoring the central bank information shocks biases the inference on monetary policy nonneutrality.","author":[{"dropping-particle":"","family":"Jarociński","given":"Marek","non-dropping-particle":"","parse-names":false,"suffix":""},{"dropping-particle":"","family":"Karadi","given":"Peter","non-dropping-particle":"","parse-names":false,"suffix":""}],"container-title":"American Economic Journal: Macroeconomics","id":"ITEM-1","issue":"2","issued":{"date-parts":[["2020"]]},"page":"1-43","title":"Deconstructing monetary policy surprises-The role of information shocks","type":"article-journal","volume":"12"},"uris":["http://www.mendeley.com/documents/?uuid=2e391da4-4d79-4e97-a09e-901432951594"]}],"mendeley":{"formattedCitation":"(Jarociński and Karadi)","plainTextFormattedCitation":"(Jarociński and Karadi)","previouslyFormattedCitation":"(Jarociński and Karadi)"},"properties":{"noteIndex":0},"schema":"https://github.com/citation-style-language/schema/raw/master/csl-citation.json"}</w:instrText>
      </w:r>
      <w:r w:rsidR="00D51002" w:rsidRPr="00D51002">
        <w:rPr>
          <w:rFonts w:ascii="Times New Roman" w:hAnsi="Times New Roman" w:cs="Times New Roman"/>
          <w:sz w:val="24"/>
          <w:szCs w:val="24"/>
        </w:rPr>
        <w:fldChar w:fldCharType="separate"/>
      </w:r>
      <w:r w:rsidR="00D51002" w:rsidRPr="00D51002">
        <w:rPr>
          <w:rFonts w:ascii="Times New Roman" w:hAnsi="Times New Roman" w:cs="Times New Roman"/>
          <w:noProof/>
          <w:sz w:val="24"/>
          <w:szCs w:val="24"/>
        </w:rPr>
        <w:t>(Jarociński and Karadi)</w:t>
      </w:r>
      <w:r w:rsidR="00D51002" w:rsidRPr="00D51002">
        <w:rPr>
          <w:rFonts w:ascii="Times New Roman" w:hAnsi="Times New Roman" w:cs="Times New Roman"/>
          <w:sz w:val="24"/>
          <w:szCs w:val="24"/>
        </w:rPr>
        <w:fldChar w:fldCharType="end"/>
      </w:r>
      <w:r w:rsidRPr="00D51002">
        <w:rPr>
          <w:rFonts w:ascii="Times New Roman" w:hAnsi="Times New Roman" w:cs="Times New Roman"/>
          <w:sz w:val="24"/>
          <w:szCs w:val="24"/>
        </w:rPr>
        <w:t>. This is worth investigating.</w:t>
      </w:r>
    </w:p>
    <w:p w14:paraId="2D4078BD" w14:textId="751697D8" w:rsidR="002777B9" w:rsidRPr="00D51002" w:rsidRDefault="002777B9" w:rsidP="00D66706">
      <w:pPr>
        <w:pStyle w:val="ListParagraph"/>
        <w:numPr>
          <w:ilvl w:val="0"/>
          <w:numId w:val="1"/>
        </w:numPr>
        <w:rPr>
          <w:rFonts w:ascii="Times New Roman" w:hAnsi="Times New Roman" w:cs="Times New Roman"/>
          <w:sz w:val="24"/>
          <w:szCs w:val="24"/>
        </w:rPr>
      </w:pPr>
      <w:r w:rsidRPr="00D51002">
        <w:rPr>
          <w:rFonts w:ascii="Times New Roman" w:hAnsi="Times New Roman" w:cs="Times New Roman"/>
          <w:sz w:val="24"/>
          <w:szCs w:val="24"/>
        </w:rPr>
        <w:t xml:space="preserve">Vanguard Treasury Bond ETFs. These ETFs are for US Treasury bonds only. Movement in these ETF prices can potentially signal </w:t>
      </w:r>
      <w:r w:rsidR="002214BF" w:rsidRPr="00D51002">
        <w:rPr>
          <w:rFonts w:ascii="Times New Roman" w:hAnsi="Times New Roman" w:cs="Times New Roman"/>
          <w:sz w:val="24"/>
          <w:szCs w:val="24"/>
        </w:rPr>
        <w:t xml:space="preserve">changes in market forecasts of FFR however the signal will not be as precise or consistent as interest </w:t>
      </w:r>
      <w:r w:rsidR="00D51002" w:rsidRPr="00D51002">
        <w:rPr>
          <w:rFonts w:ascii="Times New Roman" w:hAnsi="Times New Roman" w:cs="Times New Roman"/>
          <w:sz w:val="24"/>
          <w:szCs w:val="24"/>
        </w:rPr>
        <w:t>rate-based</w:t>
      </w:r>
      <w:r w:rsidR="002214BF" w:rsidRPr="00D51002">
        <w:rPr>
          <w:rFonts w:ascii="Times New Roman" w:hAnsi="Times New Roman" w:cs="Times New Roman"/>
          <w:sz w:val="24"/>
          <w:szCs w:val="24"/>
        </w:rPr>
        <w:t xml:space="preserve"> metrics. </w:t>
      </w:r>
    </w:p>
    <w:p w14:paraId="2F12976D" w14:textId="77777777" w:rsidR="002214BF" w:rsidRPr="00D51002" w:rsidRDefault="002214BF" w:rsidP="009F58B6">
      <w:pPr>
        <w:ind w:firstLine="360"/>
        <w:rPr>
          <w:rFonts w:ascii="Times New Roman" w:hAnsi="Times New Roman" w:cs="Times New Roman"/>
          <w:sz w:val="24"/>
          <w:szCs w:val="24"/>
        </w:rPr>
      </w:pPr>
      <w:r w:rsidRPr="00D51002">
        <w:rPr>
          <w:rFonts w:ascii="Times New Roman" w:hAnsi="Times New Roman" w:cs="Times New Roman"/>
          <w:sz w:val="24"/>
          <w:szCs w:val="24"/>
        </w:rPr>
        <w:t xml:space="preserve">When considering what datasets to choose there are several relevant factors. The most important is whether the data sources will be free. CME requires payment for their historical data but there are some economists who will offer it for free upon request if its being used for research purposes. </w:t>
      </w:r>
    </w:p>
    <w:p w14:paraId="3B4911DD" w14:textId="5D8FBEE1" w:rsidR="002214BF" w:rsidRPr="00D51002" w:rsidRDefault="002214BF" w:rsidP="009F58B6">
      <w:pPr>
        <w:ind w:firstLine="360"/>
        <w:rPr>
          <w:rFonts w:ascii="Times New Roman" w:hAnsi="Times New Roman" w:cs="Times New Roman"/>
          <w:sz w:val="24"/>
          <w:szCs w:val="24"/>
        </w:rPr>
      </w:pPr>
      <w:r w:rsidRPr="00D51002">
        <w:rPr>
          <w:rFonts w:ascii="Times New Roman" w:hAnsi="Times New Roman" w:cs="Times New Roman"/>
          <w:sz w:val="24"/>
          <w:szCs w:val="24"/>
        </w:rPr>
        <w:t xml:space="preserve">The frequency of the data will also be important. </w:t>
      </w:r>
      <w:r w:rsidR="00D51002" w:rsidRPr="00D51002">
        <w:rPr>
          <w:rFonts w:ascii="Times New Roman" w:hAnsi="Times New Roman" w:cs="Times New Roman"/>
          <w:sz w:val="24"/>
          <w:szCs w:val="24"/>
        </w:rPr>
        <w:t>Ideally,</w:t>
      </w:r>
      <w:r w:rsidRPr="00D51002">
        <w:rPr>
          <w:rFonts w:ascii="Times New Roman" w:hAnsi="Times New Roman" w:cs="Times New Roman"/>
          <w:sz w:val="24"/>
          <w:szCs w:val="24"/>
        </w:rPr>
        <w:t xml:space="preserve"> we should be able to get prices in the 30 minutes before and after an FOMC press release. Daily data will be a big compromise, but it </w:t>
      </w:r>
      <w:proofErr w:type="gramStart"/>
      <w:r w:rsidRPr="00D51002">
        <w:rPr>
          <w:rFonts w:ascii="Times New Roman" w:hAnsi="Times New Roman" w:cs="Times New Roman"/>
          <w:sz w:val="24"/>
          <w:szCs w:val="24"/>
        </w:rPr>
        <w:t>doesn’t</w:t>
      </w:r>
      <w:proofErr w:type="gramEnd"/>
      <w:r w:rsidRPr="00D51002">
        <w:rPr>
          <w:rFonts w:ascii="Times New Roman" w:hAnsi="Times New Roman" w:cs="Times New Roman"/>
          <w:sz w:val="24"/>
          <w:szCs w:val="24"/>
        </w:rPr>
        <w:t xml:space="preserve"> </w:t>
      </w:r>
      <w:r w:rsidR="006675C4" w:rsidRPr="00D51002">
        <w:rPr>
          <w:rFonts w:ascii="Times New Roman" w:hAnsi="Times New Roman" w:cs="Times New Roman"/>
          <w:sz w:val="24"/>
          <w:szCs w:val="24"/>
        </w:rPr>
        <w:t>usually</w:t>
      </w:r>
      <w:r w:rsidRPr="00D51002">
        <w:rPr>
          <w:rFonts w:ascii="Times New Roman" w:hAnsi="Times New Roman" w:cs="Times New Roman"/>
          <w:sz w:val="24"/>
          <w:szCs w:val="24"/>
        </w:rPr>
        <w:t xml:space="preserve"> make a difference</w:t>
      </w:r>
      <w:r w:rsidR="00D51002" w:rsidRPr="00D51002">
        <w:rPr>
          <w:rFonts w:ascii="Times New Roman" w:hAnsi="Times New Roman" w:cs="Times New Roman"/>
          <w:sz w:val="24"/>
          <w:szCs w:val="24"/>
        </w:rPr>
        <w:t xml:space="preserve">. The </w:t>
      </w:r>
      <w:r w:rsidR="006675C4" w:rsidRPr="00D51002">
        <w:rPr>
          <w:rFonts w:ascii="Times New Roman" w:hAnsi="Times New Roman" w:cs="Times New Roman"/>
          <w:sz w:val="24"/>
          <w:szCs w:val="24"/>
        </w:rPr>
        <w:t>timing window becomes more important when the Bureau of Labor Statistics releases a jobs report on the same day</w:t>
      </w:r>
      <w:r w:rsidR="00D51002" w:rsidRPr="00D51002">
        <w:rPr>
          <w:rFonts w:ascii="Times New Roman" w:hAnsi="Times New Roman" w:cs="Times New Roman"/>
          <w:sz w:val="24"/>
          <w:szCs w:val="24"/>
        </w:rPr>
        <w:t xml:space="preserve"> </w:t>
      </w:r>
      <w:r w:rsidR="00D51002" w:rsidRPr="00D51002">
        <w:rPr>
          <w:rFonts w:ascii="Times New Roman" w:hAnsi="Times New Roman" w:cs="Times New Roman"/>
          <w:sz w:val="24"/>
          <w:szCs w:val="24"/>
        </w:rPr>
        <w:fldChar w:fldCharType="begin" w:fldLock="1"/>
      </w:r>
      <w:r w:rsidR="00D51002" w:rsidRPr="00D51002">
        <w:rPr>
          <w:rFonts w:ascii="Times New Roman" w:hAnsi="Times New Roman" w:cs="Times New Roman"/>
          <w:sz w:val="24"/>
          <w:szCs w:val="24"/>
        </w:rPr>
        <w:instrText>ADDIN CSL_CITATION {"citationItems":[{"id":"ITEM-1","itemData":{"DOI":"10.1198/073500106000000387","ISSN":"07350015","abstract":"A number of recent articles have used different financial market instruments to measure near-term expectations of the federal funds rate and the high-frequency changes in these instruments around Federal Open Market Committee announcements to measure monetary policy shocks. This article evaluates the empirical success of a variety of financial market instruments in predicting the future path of monetary policy. All of the instruments we consider provide forecasts that are clearly superior to those of standard time series models at all of the horizons considered. Among financial market instruments, we find that federal funds futures dominate all the other securities in forecasting monetary policy at horizons out to six months. For longer horizons, the predictive power of many of the instruments we consider is very similar. In addition, we present evidence that monetary policy shocks computed using the current-month federal funds futures contract are influenced by changes in the timing of policy actions that do not influence the expected course of policy beyond a horizon of about six weeks. We propose an alternative shock measure that captures changes in market expectations of policy over slightly longer horizons.","author":[{"dropping-particle":"","family":"Gürkaynak","given":"Refet S.","non-dropping-particle":"","parse-names":false,"suffix":""},{"dropping-particle":"","family":"Sack","given":"Brian P.","non-dropping-particle":"","parse-names":false,"suffix":""},{"dropping-particle":"","family":"Swanson","given":"Eric T.","non-dropping-particle":"","parse-names":false,"suffix":""}],"container-title":"Journal of Business and Economic Statistics","id":"ITEM-1","issue":"2","issued":{"date-parts":[["2007"]]},"page":"201-212","title":"Market-based measures of monetary policy expectations","type":"article-journal","volume":"25"},"uris":["http://www.mendeley.com/documents/?uuid=9bf25fe0-754e-3a6f-b2c9-50c77f864298"]}],"mendeley":{"formattedCitation":"(Gürkaynak et al.)","plainTextFormattedCitation":"(Gürkaynak et al.)","previouslyFormattedCitation":"(Gürkaynak et al.)"},"properties":{"noteIndex":0},"schema":"https://github.com/citation-style-language/schema/raw/master/csl-citation.json"}</w:instrText>
      </w:r>
      <w:r w:rsidR="00D51002" w:rsidRPr="00D51002">
        <w:rPr>
          <w:rFonts w:ascii="Times New Roman" w:hAnsi="Times New Roman" w:cs="Times New Roman"/>
          <w:sz w:val="24"/>
          <w:szCs w:val="24"/>
        </w:rPr>
        <w:fldChar w:fldCharType="separate"/>
      </w:r>
      <w:r w:rsidR="00D51002" w:rsidRPr="00D51002">
        <w:rPr>
          <w:rFonts w:ascii="Times New Roman" w:hAnsi="Times New Roman" w:cs="Times New Roman"/>
          <w:noProof/>
          <w:sz w:val="24"/>
          <w:szCs w:val="24"/>
        </w:rPr>
        <w:t>(Gürkaynak et al.)</w:t>
      </w:r>
      <w:r w:rsidR="00D51002" w:rsidRPr="00D51002">
        <w:rPr>
          <w:rFonts w:ascii="Times New Roman" w:hAnsi="Times New Roman" w:cs="Times New Roman"/>
          <w:sz w:val="24"/>
          <w:szCs w:val="24"/>
        </w:rPr>
        <w:fldChar w:fldCharType="end"/>
      </w:r>
      <w:r w:rsidR="006675C4" w:rsidRPr="00D51002">
        <w:rPr>
          <w:rFonts w:ascii="Times New Roman" w:hAnsi="Times New Roman" w:cs="Times New Roman"/>
          <w:sz w:val="24"/>
          <w:szCs w:val="24"/>
        </w:rPr>
        <w:t xml:space="preserve">. The effect </w:t>
      </w:r>
      <w:r w:rsidR="006675C4" w:rsidRPr="00D51002">
        <w:rPr>
          <w:rFonts w:ascii="Times New Roman" w:hAnsi="Times New Roman" w:cs="Times New Roman"/>
          <w:sz w:val="24"/>
          <w:szCs w:val="24"/>
        </w:rPr>
        <w:lastRenderedPageBreak/>
        <w:t xml:space="preserve">of BLS reports are predictable and very consistent so using daily data may not be the worst concession to make. </w:t>
      </w:r>
    </w:p>
    <w:p w14:paraId="5FF31C2B" w14:textId="4FAFD9C6" w:rsidR="006675C4" w:rsidRPr="00D51002" w:rsidRDefault="006675C4" w:rsidP="009F58B6">
      <w:pPr>
        <w:ind w:firstLine="360"/>
        <w:rPr>
          <w:rFonts w:ascii="Times New Roman" w:hAnsi="Times New Roman" w:cs="Times New Roman"/>
          <w:sz w:val="24"/>
          <w:szCs w:val="24"/>
        </w:rPr>
      </w:pPr>
      <w:r w:rsidRPr="00D51002">
        <w:rPr>
          <w:rFonts w:ascii="Times New Roman" w:hAnsi="Times New Roman" w:cs="Times New Roman"/>
          <w:sz w:val="24"/>
          <w:szCs w:val="24"/>
        </w:rPr>
        <w:t xml:space="preserve">Maturity lengths will be very relevant for the interest </w:t>
      </w:r>
      <w:r w:rsidR="00D51002" w:rsidRPr="00D51002">
        <w:rPr>
          <w:rFonts w:ascii="Times New Roman" w:hAnsi="Times New Roman" w:cs="Times New Roman"/>
          <w:sz w:val="24"/>
          <w:szCs w:val="24"/>
        </w:rPr>
        <w:t>rate-based</w:t>
      </w:r>
      <w:r w:rsidRPr="00D51002">
        <w:rPr>
          <w:rFonts w:ascii="Times New Roman" w:hAnsi="Times New Roman" w:cs="Times New Roman"/>
          <w:sz w:val="24"/>
          <w:szCs w:val="24"/>
        </w:rPr>
        <w:t xml:space="preserve"> metrics.</w:t>
      </w:r>
      <w:r w:rsidR="00545951" w:rsidRPr="00D51002">
        <w:rPr>
          <w:rFonts w:ascii="Times New Roman" w:hAnsi="Times New Roman" w:cs="Times New Roman"/>
          <w:sz w:val="24"/>
          <w:szCs w:val="24"/>
        </w:rPr>
        <w:t xml:space="preserve"> Short term maturities are generally </w:t>
      </w:r>
      <w:r w:rsidR="00D51002" w:rsidRPr="00D51002">
        <w:rPr>
          <w:rFonts w:ascii="Times New Roman" w:hAnsi="Times New Roman" w:cs="Times New Roman"/>
          <w:sz w:val="24"/>
          <w:szCs w:val="24"/>
        </w:rPr>
        <w:t>available,</w:t>
      </w:r>
      <w:r w:rsidR="00545951" w:rsidRPr="00D51002">
        <w:rPr>
          <w:rFonts w:ascii="Times New Roman" w:hAnsi="Times New Roman" w:cs="Times New Roman"/>
          <w:sz w:val="24"/>
          <w:szCs w:val="24"/>
        </w:rPr>
        <w:t xml:space="preserve"> but I am very interested in longer term maturities as well. Their behavior is likely important during zero interest rate policy periods. </w:t>
      </w:r>
    </w:p>
    <w:p w14:paraId="61A245D0" w14:textId="3EC140EB" w:rsidR="00545951" w:rsidRDefault="00545951" w:rsidP="009F58B6">
      <w:pPr>
        <w:ind w:firstLine="720"/>
        <w:rPr>
          <w:rFonts w:ascii="Times New Roman" w:hAnsi="Times New Roman" w:cs="Times New Roman"/>
          <w:sz w:val="24"/>
          <w:szCs w:val="24"/>
        </w:rPr>
      </w:pPr>
      <w:r w:rsidRPr="00D51002">
        <w:rPr>
          <w:rFonts w:ascii="Times New Roman" w:hAnsi="Times New Roman" w:cs="Times New Roman"/>
          <w:sz w:val="24"/>
          <w:szCs w:val="24"/>
        </w:rPr>
        <w:t xml:space="preserve">Finally, the quality of the data will be important as well. More liquid markets are better. The Eurodollar futures market is the most liquid in entire world. </w:t>
      </w:r>
    </w:p>
    <w:p w14:paraId="5D84F0B7" w14:textId="35622838" w:rsidR="009F58B6" w:rsidRDefault="00D51002" w:rsidP="009F58B6">
      <w:pPr>
        <w:ind w:firstLine="720"/>
        <w:rPr>
          <w:rFonts w:ascii="Times New Roman" w:hAnsi="Times New Roman" w:cs="Times New Roman"/>
          <w:sz w:val="24"/>
          <w:szCs w:val="24"/>
        </w:rPr>
      </w:pPr>
      <w:r>
        <w:rPr>
          <w:rFonts w:ascii="Times New Roman" w:hAnsi="Times New Roman" w:cs="Times New Roman"/>
          <w:sz w:val="24"/>
          <w:szCs w:val="24"/>
        </w:rPr>
        <w:t>The</w:t>
      </w:r>
      <w:r w:rsidR="000D11D6">
        <w:rPr>
          <w:rFonts w:ascii="Times New Roman" w:hAnsi="Times New Roman" w:cs="Times New Roman"/>
          <w:sz w:val="24"/>
          <w:szCs w:val="24"/>
        </w:rPr>
        <w:t xml:space="preserve">re is a large literature base on </w:t>
      </w:r>
      <w:r w:rsidR="00675682">
        <w:rPr>
          <w:rFonts w:ascii="Times New Roman" w:hAnsi="Times New Roman" w:cs="Times New Roman"/>
          <w:sz w:val="24"/>
          <w:szCs w:val="24"/>
        </w:rPr>
        <w:t>market-based</w:t>
      </w:r>
      <w:r w:rsidR="000D11D6">
        <w:rPr>
          <w:rFonts w:ascii="Times New Roman" w:hAnsi="Times New Roman" w:cs="Times New Roman"/>
          <w:sz w:val="24"/>
          <w:szCs w:val="24"/>
        </w:rPr>
        <w:t xml:space="preserve"> indicators of monetary policy. </w:t>
      </w:r>
      <w:r w:rsidR="00675682">
        <w:rPr>
          <w:rFonts w:ascii="Times New Roman" w:hAnsi="Times New Roman" w:cs="Times New Roman"/>
          <w:sz w:val="24"/>
          <w:szCs w:val="24"/>
        </w:rPr>
        <w:t xml:space="preserve">Nakamura and </w:t>
      </w:r>
      <w:proofErr w:type="spellStart"/>
      <w:r w:rsidR="00675682">
        <w:rPr>
          <w:rFonts w:ascii="Times New Roman" w:hAnsi="Times New Roman" w:cs="Times New Roman"/>
          <w:sz w:val="24"/>
          <w:szCs w:val="24"/>
        </w:rPr>
        <w:t>Steinsson</w:t>
      </w:r>
      <w:proofErr w:type="spellEnd"/>
      <w:r w:rsidR="00675682">
        <w:rPr>
          <w:rFonts w:ascii="Times New Roman" w:hAnsi="Times New Roman" w:cs="Times New Roman"/>
          <w:sz w:val="24"/>
          <w:szCs w:val="24"/>
        </w:rPr>
        <w:t xml:space="preserve"> investigate the response of Fed Funds futures and Eurodollar futures on the TIPS spread. They argue for a “Fed information effect.” When the FOMC announces an unexpected rate cut, sometimes the TIPS spread will forecast a decrease in inflation which is the opposite of what we would expect. </w:t>
      </w:r>
      <w:r w:rsidR="009F58B6">
        <w:rPr>
          <w:rFonts w:ascii="Times New Roman" w:hAnsi="Times New Roman" w:cs="Times New Roman"/>
          <w:sz w:val="24"/>
          <w:szCs w:val="24"/>
        </w:rPr>
        <w:t xml:space="preserve">They argue that FOMC press releases also reveal information about the state of the economy. This is information could be non-public. If markets had no reason to expect a recession, but the Fed does, then the press release would also update market forecasts of inflation as well as interest rates </w:t>
      </w:r>
      <w:r w:rsidR="009F58B6">
        <w:rPr>
          <w:rFonts w:ascii="Times New Roman" w:hAnsi="Times New Roman" w:cs="Times New Roman"/>
          <w:sz w:val="24"/>
          <w:szCs w:val="24"/>
        </w:rPr>
        <w:fldChar w:fldCharType="begin" w:fldLock="1"/>
      </w:r>
      <w:r w:rsidR="009F58B6">
        <w:rPr>
          <w:rFonts w:ascii="Times New Roman" w:hAnsi="Times New Roman" w:cs="Times New Roman"/>
          <w:sz w:val="24"/>
          <w:szCs w:val="24"/>
        </w:rPr>
        <w:instrText>ADDIN CSL_CITATION {"citationItems":[{"id":"ITEM-1","itemData":{"DOI":"10.1093/QJE/QJY004","ISSN":"15314650","abstract":"We present estimates of monetary non-neutrality based on evidence from highfrequency responses of real interest rates, expected inflation, and expected output growth. Our identifying assumption is that unexpected changes in interest rates in a 30-minute window surrounding scheduled Federal Reserve announcements arise from news about monetary policy. In response to an interest rate hike, nominal and real interest rates increase roughly one-for-one, several years out into the term structure, while the response of expected inflation is small. At the same time, forecasts about output growth also increase-the opposite of what standard models imply about a monetary tightening. To explain these facts, we build a model in which Fed announcements affect beliefs not only about monetary policy but also about other economic fundamentals. Our model implies that these information effects play an important role in the overall causal effect of monetary policy shocks on output.","author":[{"dropping-particle":"","family":"Nakamura","given":"Emi","non-dropping-particle":"","parse-names":false,"suffix":""},{"dropping-particle":"","family":"Steinsson","given":"Jón","non-dropping-particle":"","parse-names":false,"suffix":""}],"container-title":"Quarterly Journal of Economics","id":"ITEM-1","issue":"3","issued":{"date-parts":[["2018"]]},"title":"High-frequency identification of monetary non-neutrality: The information effect","type":"article-journal","volume":"133"},"uris":["http://www.mendeley.com/documents/?uuid=0437c7c2-6e2e-372f-930d-b753a76cf661"]}],"mendeley":{"formattedCitation":"(Nakamura and Steinsson)","plainTextFormattedCitation":"(Nakamura and Steinsson)","previouslyFormattedCitation":"(Nakamura and Steinsson)"},"properties":{"noteIndex":0},"schema":"https://github.com/citation-style-language/schema/raw/master/csl-citation.json"}</w:instrText>
      </w:r>
      <w:r w:rsidR="009F58B6">
        <w:rPr>
          <w:rFonts w:ascii="Times New Roman" w:hAnsi="Times New Roman" w:cs="Times New Roman"/>
          <w:sz w:val="24"/>
          <w:szCs w:val="24"/>
        </w:rPr>
        <w:fldChar w:fldCharType="separate"/>
      </w:r>
      <w:r w:rsidR="009F58B6" w:rsidRPr="009F58B6">
        <w:rPr>
          <w:rFonts w:ascii="Times New Roman" w:hAnsi="Times New Roman" w:cs="Times New Roman"/>
          <w:noProof/>
          <w:sz w:val="24"/>
          <w:szCs w:val="24"/>
        </w:rPr>
        <w:t>(Nakamura and Steinsson)</w:t>
      </w:r>
      <w:r w:rsidR="009F58B6">
        <w:rPr>
          <w:rFonts w:ascii="Times New Roman" w:hAnsi="Times New Roman" w:cs="Times New Roman"/>
          <w:sz w:val="24"/>
          <w:szCs w:val="24"/>
        </w:rPr>
        <w:fldChar w:fldCharType="end"/>
      </w:r>
      <w:r w:rsidR="009F58B6">
        <w:rPr>
          <w:rFonts w:ascii="Times New Roman" w:hAnsi="Times New Roman" w:cs="Times New Roman"/>
          <w:sz w:val="24"/>
          <w:szCs w:val="24"/>
        </w:rPr>
        <w:t xml:space="preserve">. This has potential policy implications. It could be evidence that the Fed’s forecasts of inflation and real output are functionally policy instruments </w:t>
      </w:r>
      <w:r w:rsidR="009F58B6">
        <w:rPr>
          <w:rFonts w:ascii="Times New Roman" w:hAnsi="Times New Roman" w:cs="Times New Roman"/>
          <w:sz w:val="24"/>
          <w:szCs w:val="24"/>
        </w:rPr>
        <w:fldChar w:fldCharType="begin" w:fldLock="1"/>
      </w:r>
      <w:r w:rsidR="008937B9">
        <w:rPr>
          <w:rFonts w:ascii="Times New Roman" w:hAnsi="Times New Roman" w:cs="Times New Roman"/>
          <w:sz w:val="24"/>
          <w:szCs w:val="24"/>
        </w:rPr>
        <w:instrText>ADDIN CSL_CITATION {"citationItems":[{"id":"ITEM-1","itemData":{"DOI":"10.1016/S0014-2921(96)00055-4","ISSN":"00142921","abstract":"Inflation targeting is shown to imply inflation forecast targeting: the central bank's inflation forecast becomes an explicit intermediate target. Inflation forecast targeting simplifies both implementation and monitoring of monetary policy. The weight on output stabilization determines how quickly the inflation forecast is adjusted towards the inflation target. Money growth or exchange rate targeting is generally inferior than inflation targeting and leads to higher inflation variability. Commitment to 'target rules' may be better than commitment to 'instrument rules'. © 1997 Elsevier Science B.V.","author":[{"dropping-particle":"","family":"Svensson","given":"Lars E.O.","non-dropping-particle":"","parse-names":false,"suffix":""}],"container-title":"European Economic Review","id":"ITEM-1","issue":"6","issued":{"date-parts":[["1997"]]},"title":"Inflation forecast targeting: Implementing and monitoring inflation targets","type":"article-journal","volume":"41"},"uris":["http://www.mendeley.com/documents/?uuid=4ff62a11-aa94-39ac-a6d5-d716d0b77b6b"]}],"mendeley":{"formattedCitation":"(Svensson)","plainTextFormattedCitation":"(Svensson)","previouslyFormattedCitation":"(Svensson)"},"properties":{"noteIndex":0},"schema":"https://github.com/citation-style-language/schema/raw/master/csl-citation.json"}</w:instrText>
      </w:r>
      <w:r w:rsidR="009F58B6">
        <w:rPr>
          <w:rFonts w:ascii="Times New Roman" w:hAnsi="Times New Roman" w:cs="Times New Roman"/>
          <w:sz w:val="24"/>
          <w:szCs w:val="24"/>
        </w:rPr>
        <w:fldChar w:fldCharType="separate"/>
      </w:r>
      <w:r w:rsidR="009F58B6" w:rsidRPr="009F58B6">
        <w:rPr>
          <w:rFonts w:ascii="Times New Roman" w:hAnsi="Times New Roman" w:cs="Times New Roman"/>
          <w:noProof/>
          <w:sz w:val="24"/>
          <w:szCs w:val="24"/>
        </w:rPr>
        <w:t>(Svensson)</w:t>
      </w:r>
      <w:r w:rsidR="009F58B6">
        <w:rPr>
          <w:rFonts w:ascii="Times New Roman" w:hAnsi="Times New Roman" w:cs="Times New Roman"/>
          <w:sz w:val="24"/>
          <w:szCs w:val="24"/>
        </w:rPr>
        <w:fldChar w:fldCharType="end"/>
      </w:r>
      <w:r w:rsidR="009F58B6">
        <w:rPr>
          <w:rFonts w:ascii="Times New Roman" w:hAnsi="Times New Roman" w:cs="Times New Roman"/>
          <w:sz w:val="24"/>
          <w:szCs w:val="24"/>
        </w:rPr>
        <w:t xml:space="preserve">. Or even more directly, their paper could be an argument for </w:t>
      </w:r>
      <w:r w:rsidR="008937B9">
        <w:rPr>
          <w:rFonts w:ascii="Times New Roman" w:hAnsi="Times New Roman" w:cs="Times New Roman"/>
          <w:sz w:val="24"/>
          <w:szCs w:val="24"/>
        </w:rPr>
        <w:t xml:space="preserve">the TIPS spread directly being the policy instrument </w:t>
      </w:r>
      <w:r w:rsidR="008937B9">
        <w:rPr>
          <w:rFonts w:ascii="Times New Roman" w:hAnsi="Times New Roman" w:cs="Times New Roman"/>
          <w:sz w:val="24"/>
          <w:szCs w:val="24"/>
        </w:rPr>
        <w:fldChar w:fldCharType="begin" w:fldLock="1"/>
      </w:r>
      <w:r w:rsidR="008937B9">
        <w:rPr>
          <w:rFonts w:ascii="Times New Roman" w:hAnsi="Times New Roman" w:cs="Times New Roman"/>
          <w:sz w:val="24"/>
          <w:szCs w:val="24"/>
        </w:rPr>
        <w:instrText>ADDIN CSL_CITATION {"citationItems":[{"id":"ITEM-1","itemData":{"DOI":"10.1016/j.jfs.2014.10.001","ISSN":"15723089","abstract":"Central banks have recently done a poor job of stabilizing the path of nominal expenditures. The adverse demand shock of 2008-2009 led to a severe recession in the United States and Europe. Monetary policy could be greatly improved with a regime of \"targeting the forecast,\" or setting policy so that the expected growth in nominal GDP is equal to the central bank's target growth rate. This goal could be accomplished by setting up a nominal GDP prediction market and then adjusting the monetary base to stabilize nominal GDP futures prices. The market, not central banks, would set the level of the monetary base and short-term interest rates under this sort of policy regime. Modest adjustments in such a regime could address many previous criticisms of futures targeting.","author":[{"dropping-particle":"","family":"Sumner","given":"Scott","non-dropping-particle":"","parse-names":false,"suffix":""}],"container-title":"Journal of Financial Stability","id":"ITEM-1","issued":{"date-parts":[["2015"]]},"title":"Nominal GDP futures targeting","type":"article-journal","volume":"17"},"uris":["http://www.mendeley.com/documents/?uuid=6cdec33a-d704-34d2-a34f-ac6f096db1e4"]}],"mendeley":{"formattedCitation":"(Sumner)","plainTextFormattedCitation":"(Sumner)"},"properties":{"noteIndex":0},"schema":"https://github.com/citation-style-language/schema/raw/master/csl-citation.json"}</w:instrText>
      </w:r>
      <w:r w:rsidR="008937B9">
        <w:rPr>
          <w:rFonts w:ascii="Times New Roman" w:hAnsi="Times New Roman" w:cs="Times New Roman"/>
          <w:sz w:val="24"/>
          <w:szCs w:val="24"/>
        </w:rPr>
        <w:fldChar w:fldCharType="separate"/>
      </w:r>
      <w:r w:rsidR="008937B9" w:rsidRPr="008937B9">
        <w:rPr>
          <w:rFonts w:ascii="Times New Roman" w:hAnsi="Times New Roman" w:cs="Times New Roman"/>
          <w:noProof/>
          <w:sz w:val="24"/>
          <w:szCs w:val="24"/>
        </w:rPr>
        <w:t>(Sumner)</w:t>
      </w:r>
      <w:r w:rsidR="008937B9">
        <w:rPr>
          <w:rFonts w:ascii="Times New Roman" w:hAnsi="Times New Roman" w:cs="Times New Roman"/>
          <w:sz w:val="24"/>
          <w:szCs w:val="24"/>
        </w:rPr>
        <w:fldChar w:fldCharType="end"/>
      </w:r>
      <w:r w:rsidR="008937B9">
        <w:rPr>
          <w:rFonts w:ascii="Times New Roman" w:hAnsi="Times New Roman" w:cs="Times New Roman"/>
          <w:sz w:val="24"/>
          <w:szCs w:val="24"/>
        </w:rPr>
        <w:t xml:space="preserve">. </w:t>
      </w:r>
    </w:p>
    <w:p w14:paraId="33403C95" w14:textId="652CF960" w:rsidR="009F58B6" w:rsidRDefault="009F58B6" w:rsidP="009F58B6">
      <w:pPr>
        <w:ind w:firstLine="720"/>
        <w:rPr>
          <w:rFonts w:ascii="Times New Roman" w:hAnsi="Times New Roman" w:cs="Times New Roman"/>
          <w:sz w:val="24"/>
          <w:szCs w:val="24"/>
        </w:rPr>
      </w:pPr>
    </w:p>
    <w:p w14:paraId="1D0F1485" w14:textId="77777777" w:rsidR="009F58B6" w:rsidRDefault="009F58B6" w:rsidP="009F58B6">
      <w:pPr>
        <w:ind w:firstLine="720"/>
        <w:rPr>
          <w:rFonts w:ascii="Times New Roman" w:hAnsi="Times New Roman" w:cs="Times New Roman"/>
          <w:sz w:val="24"/>
          <w:szCs w:val="24"/>
        </w:rPr>
      </w:pPr>
    </w:p>
    <w:p w14:paraId="5FE998AB" w14:textId="77777777" w:rsidR="009F58B6" w:rsidRDefault="009F58B6" w:rsidP="002214BF">
      <w:pPr>
        <w:rPr>
          <w:rFonts w:ascii="Times New Roman" w:hAnsi="Times New Roman" w:cs="Times New Roman"/>
          <w:sz w:val="24"/>
          <w:szCs w:val="24"/>
        </w:rPr>
      </w:pPr>
    </w:p>
    <w:p w14:paraId="73C0FC21" w14:textId="77777777" w:rsidR="009F58B6" w:rsidRPr="00D51002" w:rsidRDefault="009F58B6" w:rsidP="002214BF">
      <w:pPr>
        <w:rPr>
          <w:rFonts w:ascii="Times New Roman" w:hAnsi="Times New Roman" w:cs="Times New Roman"/>
          <w:sz w:val="24"/>
          <w:szCs w:val="24"/>
        </w:rPr>
      </w:pPr>
    </w:p>
    <w:p w14:paraId="547568EE" w14:textId="159E763A" w:rsidR="00D51002" w:rsidRPr="00D51002" w:rsidRDefault="00D51002">
      <w:pPr>
        <w:rPr>
          <w:rFonts w:ascii="Times New Roman" w:hAnsi="Times New Roman" w:cs="Times New Roman"/>
          <w:sz w:val="24"/>
          <w:szCs w:val="24"/>
        </w:rPr>
      </w:pPr>
      <w:r w:rsidRPr="00D51002">
        <w:rPr>
          <w:rFonts w:ascii="Times New Roman" w:hAnsi="Times New Roman" w:cs="Times New Roman"/>
          <w:sz w:val="24"/>
          <w:szCs w:val="24"/>
        </w:rPr>
        <w:br w:type="page"/>
      </w:r>
    </w:p>
    <w:p w14:paraId="7B2A4D8F" w14:textId="0A07FA92" w:rsidR="00D51002" w:rsidRPr="00D51002" w:rsidRDefault="00D51002" w:rsidP="00D51002">
      <w:pPr>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491255CE" w14:textId="5821ADE9" w:rsidR="008937B9" w:rsidRPr="008937B9" w:rsidRDefault="00D51002" w:rsidP="008937B9">
      <w:pPr>
        <w:widowControl w:val="0"/>
        <w:autoSpaceDE w:val="0"/>
        <w:autoSpaceDN w:val="0"/>
        <w:adjustRightInd w:val="0"/>
        <w:spacing w:line="240" w:lineRule="auto"/>
        <w:ind w:left="480" w:hanging="480"/>
        <w:rPr>
          <w:rFonts w:ascii="Times New Roman" w:hAnsi="Times New Roman" w:cs="Times New Roman"/>
          <w:noProof/>
          <w:sz w:val="24"/>
          <w:szCs w:val="24"/>
        </w:rPr>
      </w:pPr>
      <w:r w:rsidRPr="00D51002">
        <w:rPr>
          <w:rFonts w:ascii="Times New Roman" w:hAnsi="Times New Roman" w:cs="Times New Roman"/>
          <w:sz w:val="24"/>
          <w:szCs w:val="24"/>
        </w:rPr>
        <w:fldChar w:fldCharType="begin" w:fldLock="1"/>
      </w:r>
      <w:r w:rsidRPr="00D51002">
        <w:rPr>
          <w:rFonts w:ascii="Times New Roman" w:hAnsi="Times New Roman" w:cs="Times New Roman"/>
          <w:sz w:val="24"/>
          <w:szCs w:val="24"/>
        </w:rPr>
        <w:instrText xml:space="preserve">ADDIN Mendeley Bibliography CSL_BIBLIOGRAPHY </w:instrText>
      </w:r>
      <w:r w:rsidRPr="00D51002">
        <w:rPr>
          <w:rFonts w:ascii="Times New Roman" w:hAnsi="Times New Roman" w:cs="Times New Roman"/>
          <w:sz w:val="24"/>
          <w:szCs w:val="24"/>
        </w:rPr>
        <w:fldChar w:fldCharType="separate"/>
      </w:r>
      <w:r w:rsidR="008937B9" w:rsidRPr="008937B9">
        <w:rPr>
          <w:rFonts w:ascii="Times New Roman" w:hAnsi="Times New Roman" w:cs="Times New Roman"/>
          <w:noProof/>
          <w:sz w:val="24"/>
          <w:szCs w:val="24"/>
        </w:rPr>
        <w:t xml:space="preserve">Gürkaynak, Refet S., et al. “Market-Based Measures of Monetary Policy Expectations.” </w:t>
      </w:r>
      <w:r w:rsidR="008937B9" w:rsidRPr="008937B9">
        <w:rPr>
          <w:rFonts w:ascii="Times New Roman" w:hAnsi="Times New Roman" w:cs="Times New Roman"/>
          <w:i/>
          <w:iCs/>
          <w:noProof/>
          <w:sz w:val="24"/>
          <w:szCs w:val="24"/>
        </w:rPr>
        <w:t>Journal of Business and Economic Statistics</w:t>
      </w:r>
      <w:r w:rsidR="008937B9" w:rsidRPr="008937B9">
        <w:rPr>
          <w:rFonts w:ascii="Times New Roman" w:hAnsi="Times New Roman" w:cs="Times New Roman"/>
          <w:noProof/>
          <w:sz w:val="24"/>
          <w:szCs w:val="24"/>
        </w:rPr>
        <w:t>, vol. 25, no. 2, 2007, pp. 201–12, doi:10.1198/073500106000000387.</w:t>
      </w:r>
    </w:p>
    <w:p w14:paraId="5F72A344" w14:textId="77777777" w:rsidR="008937B9" w:rsidRPr="008937B9" w:rsidRDefault="008937B9" w:rsidP="008937B9">
      <w:pPr>
        <w:widowControl w:val="0"/>
        <w:autoSpaceDE w:val="0"/>
        <w:autoSpaceDN w:val="0"/>
        <w:adjustRightInd w:val="0"/>
        <w:spacing w:line="240" w:lineRule="auto"/>
        <w:ind w:left="480" w:hanging="480"/>
        <w:rPr>
          <w:rFonts w:ascii="Times New Roman" w:hAnsi="Times New Roman" w:cs="Times New Roman"/>
          <w:noProof/>
          <w:sz w:val="24"/>
          <w:szCs w:val="24"/>
        </w:rPr>
      </w:pPr>
      <w:r w:rsidRPr="008937B9">
        <w:rPr>
          <w:rFonts w:ascii="Times New Roman" w:hAnsi="Times New Roman" w:cs="Times New Roman"/>
          <w:noProof/>
          <w:sz w:val="24"/>
          <w:szCs w:val="24"/>
        </w:rPr>
        <w:t xml:space="preserve">Jarociński, Marek, and Peter Karadi. “Deconstructing Monetary Policy Surprises-The Role of Information Shocks.” </w:t>
      </w:r>
      <w:r w:rsidRPr="008937B9">
        <w:rPr>
          <w:rFonts w:ascii="Times New Roman" w:hAnsi="Times New Roman" w:cs="Times New Roman"/>
          <w:i/>
          <w:iCs/>
          <w:noProof/>
          <w:sz w:val="24"/>
          <w:szCs w:val="24"/>
        </w:rPr>
        <w:t>American Economic Journal: Macroeconomics</w:t>
      </w:r>
      <w:r w:rsidRPr="008937B9">
        <w:rPr>
          <w:rFonts w:ascii="Times New Roman" w:hAnsi="Times New Roman" w:cs="Times New Roman"/>
          <w:noProof/>
          <w:sz w:val="24"/>
          <w:szCs w:val="24"/>
        </w:rPr>
        <w:t>, vol. 12, no. 2, 2020, pp. 1–43, doi:10.1257/mac.20180090.</w:t>
      </w:r>
    </w:p>
    <w:p w14:paraId="4BEE42F7" w14:textId="77777777" w:rsidR="008937B9" w:rsidRPr="008937B9" w:rsidRDefault="008937B9" w:rsidP="008937B9">
      <w:pPr>
        <w:widowControl w:val="0"/>
        <w:autoSpaceDE w:val="0"/>
        <w:autoSpaceDN w:val="0"/>
        <w:adjustRightInd w:val="0"/>
        <w:spacing w:line="240" w:lineRule="auto"/>
        <w:ind w:left="480" w:hanging="480"/>
        <w:rPr>
          <w:rFonts w:ascii="Times New Roman" w:hAnsi="Times New Roman" w:cs="Times New Roman"/>
          <w:noProof/>
          <w:sz w:val="24"/>
          <w:szCs w:val="24"/>
        </w:rPr>
      </w:pPr>
      <w:r w:rsidRPr="008937B9">
        <w:rPr>
          <w:rFonts w:ascii="Times New Roman" w:hAnsi="Times New Roman" w:cs="Times New Roman"/>
          <w:noProof/>
          <w:sz w:val="24"/>
          <w:szCs w:val="24"/>
        </w:rPr>
        <w:t xml:space="preserve">Nakamura, Emi, and Jón Steinsson. “High-Frequency Identification of Monetary Non-Neutrality: The Information Effect.” </w:t>
      </w:r>
      <w:r w:rsidRPr="008937B9">
        <w:rPr>
          <w:rFonts w:ascii="Times New Roman" w:hAnsi="Times New Roman" w:cs="Times New Roman"/>
          <w:i/>
          <w:iCs/>
          <w:noProof/>
          <w:sz w:val="24"/>
          <w:szCs w:val="24"/>
        </w:rPr>
        <w:t>Quarterly Journal of Economics</w:t>
      </w:r>
      <w:r w:rsidRPr="008937B9">
        <w:rPr>
          <w:rFonts w:ascii="Times New Roman" w:hAnsi="Times New Roman" w:cs="Times New Roman"/>
          <w:noProof/>
          <w:sz w:val="24"/>
          <w:szCs w:val="24"/>
        </w:rPr>
        <w:t>, vol. 133, no. 3, 2018, doi:10.1093/QJE/QJY004.</w:t>
      </w:r>
    </w:p>
    <w:p w14:paraId="0E8BE0B7" w14:textId="77777777" w:rsidR="008937B9" w:rsidRPr="008937B9" w:rsidRDefault="008937B9" w:rsidP="008937B9">
      <w:pPr>
        <w:widowControl w:val="0"/>
        <w:autoSpaceDE w:val="0"/>
        <w:autoSpaceDN w:val="0"/>
        <w:adjustRightInd w:val="0"/>
        <w:spacing w:line="240" w:lineRule="auto"/>
        <w:ind w:left="480" w:hanging="480"/>
        <w:rPr>
          <w:rFonts w:ascii="Times New Roman" w:hAnsi="Times New Roman" w:cs="Times New Roman"/>
          <w:noProof/>
          <w:sz w:val="24"/>
          <w:szCs w:val="24"/>
        </w:rPr>
      </w:pPr>
      <w:r w:rsidRPr="008937B9">
        <w:rPr>
          <w:rFonts w:ascii="Times New Roman" w:hAnsi="Times New Roman" w:cs="Times New Roman"/>
          <w:noProof/>
          <w:sz w:val="24"/>
          <w:szCs w:val="24"/>
        </w:rPr>
        <w:t xml:space="preserve">Sumner, Scott. “Nominal GDP Futures Targeting.” </w:t>
      </w:r>
      <w:r w:rsidRPr="008937B9">
        <w:rPr>
          <w:rFonts w:ascii="Times New Roman" w:hAnsi="Times New Roman" w:cs="Times New Roman"/>
          <w:i/>
          <w:iCs/>
          <w:noProof/>
          <w:sz w:val="24"/>
          <w:szCs w:val="24"/>
        </w:rPr>
        <w:t>Journal of Financial Stability</w:t>
      </w:r>
      <w:r w:rsidRPr="008937B9">
        <w:rPr>
          <w:rFonts w:ascii="Times New Roman" w:hAnsi="Times New Roman" w:cs="Times New Roman"/>
          <w:noProof/>
          <w:sz w:val="24"/>
          <w:szCs w:val="24"/>
        </w:rPr>
        <w:t>, vol. 17, 2015, doi:10.1016/j.jfs.2014.10.001.</w:t>
      </w:r>
    </w:p>
    <w:p w14:paraId="27387DEF" w14:textId="77777777" w:rsidR="008937B9" w:rsidRPr="008937B9" w:rsidRDefault="008937B9" w:rsidP="008937B9">
      <w:pPr>
        <w:widowControl w:val="0"/>
        <w:autoSpaceDE w:val="0"/>
        <w:autoSpaceDN w:val="0"/>
        <w:adjustRightInd w:val="0"/>
        <w:spacing w:line="240" w:lineRule="auto"/>
        <w:ind w:left="480" w:hanging="480"/>
        <w:rPr>
          <w:rFonts w:ascii="Times New Roman" w:hAnsi="Times New Roman" w:cs="Times New Roman"/>
          <w:noProof/>
          <w:sz w:val="24"/>
        </w:rPr>
      </w:pPr>
      <w:r w:rsidRPr="008937B9">
        <w:rPr>
          <w:rFonts w:ascii="Times New Roman" w:hAnsi="Times New Roman" w:cs="Times New Roman"/>
          <w:noProof/>
          <w:sz w:val="24"/>
          <w:szCs w:val="24"/>
        </w:rPr>
        <w:t xml:space="preserve">Svensson, Lars E. O. “Inflation Forecast Targeting: Implementing and Monitoring Inflation Targets.” </w:t>
      </w:r>
      <w:r w:rsidRPr="008937B9">
        <w:rPr>
          <w:rFonts w:ascii="Times New Roman" w:hAnsi="Times New Roman" w:cs="Times New Roman"/>
          <w:i/>
          <w:iCs/>
          <w:noProof/>
          <w:sz w:val="24"/>
          <w:szCs w:val="24"/>
        </w:rPr>
        <w:t>European Economic Review</w:t>
      </w:r>
      <w:r w:rsidRPr="008937B9">
        <w:rPr>
          <w:rFonts w:ascii="Times New Roman" w:hAnsi="Times New Roman" w:cs="Times New Roman"/>
          <w:noProof/>
          <w:sz w:val="24"/>
          <w:szCs w:val="24"/>
        </w:rPr>
        <w:t>, vol. 41, no. 6, 1997, doi:10.1016/S0014-2921(96)00055-4.</w:t>
      </w:r>
    </w:p>
    <w:p w14:paraId="48C4EF6D" w14:textId="091981B3" w:rsidR="00D51002" w:rsidRPr="00D51002" w:rsidRDefault="00D51002" w:rsidP="002214BF">
      <w:pPr>
        <w:rPr>
          <w:rFonts w:ascii="Times New Roman" w:hAnsi="Times New Roman" w:cs="Times New Roman"/>
          <w:sz w:val="24"/>
          <w:szCs w:val="24"/>
        </w:rPr>
      </w:pPr>
      <w:r w:rsidRPr="00D51002">
        <w:rPr>
          <w:rFonts w:ascii="Times New Roman" w:hAnsi="Times New Roman" w:cs="Times New Roman"/>
          <w:sz w:val="24"/>
          <w:szCs w:val="24"/>
        </w:rPr>
        <w:fldChar w:fldCharType="end"/>
      </w:r>
    </w:p>
    <w:sectPr w:rsidR="00D51002" w:rsidRPr="00D5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101"/>
    <w:multiLevelType w:val="hybridMultilevel"/>
    <w:tmpl w:val="5204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2E"/>
    <w:rsid w:val="000D11D6"/>
    <w:rsid w:val="002214BF"/>
    <w:rsid w:val="002777B9"/>
    <w:rsid w:val="00361C5C"/>
    <w:rsid w:val="0046512E"/>
    <w:rsid w:val="00470775"/>
    <w:rsid w:val="00545951"/>
    <w:rsid w:val="00602245"/>
    <w:rsid w:val="006675C4"/>
    <w:rsid w:val="00675682"/>
    <w:rsid w:val="006F78FA"/>
    <w:rsid w:val="008937B9"/>
    <w:rsid w:val="009F58B6"/>
    <w:rsid w:val="00D51002"/>
    <w:rsid w:val="00D66706"/>
    <w:rsid w:val="00F0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2EA4"/>
  <w15:chartTrackingRefBased/>
  <w15:docId w15:val="{8AA14F9F-F98C-4210-BC8D-8E689468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3F0D48D-8670-4EBA-8441-6AB9AADE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Rahman</dc:creator>
  <cp:keywords/>
  <dc:description/>
  <cp:lastModifiedBy>Ethan Rahman</cp:lastModifiedBy>
  <cp:revision>3</cp:revision>
  <dcterms:created xsi:type="dcterms:W3CDTF">2020-11-05T17:47:00Z</dcterms:created>
  <dcterms:modified xsi:type="dcterms:W3CDTF">2020-11-05T20:47:00Z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http://www.zotero.org/styles/modern-language-association</vt:lpwstr>
  </property>
  <property fmtid="{D5CDD505-2E9C-101B-9397-08002B2CF9AE}" pid="23" name="Mendeley Document_1">
    <vt:lpwstr>True</vt:lpwstr>
  </property>
  <property fmtid="{D5CDD505-2E9C-101B-9397-08002B2CF9AE}" pid="24" name="Mendeley Unique User Id_1">
    <vt:lpwstr>02f41e97-e21f-389b-89d6-0e8b22f0a513</vt:lpwstr>
  </property>
</Properties>
</file>