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3.png" ContentType="image/png"/>
  <Override PartName="/word/media/rId32.png" ContentType="image/png"/>
  <Override PartName="/word/media/rId35.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extensive-comparison-of-species-abundance-distribution-models"/>
      <w:bookmarkEnd w:id="21"/>
      <w:r>
        <w:t xml:space="preserve">An extensive comparison of species-abundance distribution models</w:t>
      </w:r>
    </w:p>
    <w:p>
      <w:pPr>
        <w:pStyle w:val="FirstParagraph"/>
      </w:pPr>
      <w:r>
        <w:t xml:space="preserve">Elita Baldridge</w:t>
      </w:r>
      <w:r>
        <w:rPr>
          <w:vertAlign w:val="superscript"/>
        </w:rPr>
        <w:t xml:space="preserve">1,2</w:t>
      </w:r>
      <w:r>
        <w:t xml:space="preserve">, David J. Harris</w:t>
      </w:r>
      <w:r>
        <w:rPr>
          <w:vertAlign w:val="superscript"/>
        </w:rPr>
        <w:t xml:space="preserve">3</w:t>
      </w:r>
      <w:r>
        <w:t xml:space="preserve">, Xiao Xiao</w:t>
      </w:r>
      <w:r>
        <w:rPr>
          <w:vertAlign w:val="superscript"/>
        </w:rPr>
        <w:t xml:space="preserve">1,2,4,5</w:t>
      </w:r>
      <w:r>
        <w:t xml:space="preserve">, Ethan P. White</w:t>
      </w:r>
      <w:r>
        <w:rPr>
          <w:vertAlign w:val="superscript"/>
        </w:rPr>
        <w:t xml:space="preserve">*,1,2,3,6</w:t>
      </w:r>
    </w:p>
    <w:p>
      <w:pPr>
        <w:pStyle w:val="BodyText"/>
      </w:pPr>
      <w:r>
        <w:rPr>
          <w:vertAlign w:val="superscript"/>
        </w:rPr>
        <w:t xml:space="preserve">1</w:t>
      </w:r>
      <w:r>
        <w:t xml:space="preserve"> </w:t>
      </w:r>
      <w:r>
        <w:t xml:space="preserve">Department of Biology, Utah State University, Logan, Utah, USA</w:t>
      </w:r>
    </w:p>
    <w:p>
      <w:pPr>
        <w:pStyle w:val="BodyText"/>
      </w:pPr>
      <w:r>
        <w:rPr>
          <w:vertAlign w:val="superscript"/>
        </w:rPr>
        <w:t xml:space="preserve">2</w:t>
      </w:r>
      <w:r>
        <w:t xml:space="preserve"> </w:t>
      </w:r>
      <w:r>
        <w:t xml:space="preserve">Ecology Center, Utah State University, Logan, Utah, USA</w:t>
      </w:r>
    </w:p>
    <w:p>
      <w:pPr>
        <w:pStyle w:val="BodyText"/>
      </w:pPr>
      <w:r>
        <w:rPr>
          <w:vertAlign w:val="superscript"/>
        </w:rPr>
        <w:t xml:space="preserve">3</w:t>
      </w:r>
      <w:r>
        <w:t xml:space="preserve"> </w:t>
      </w:r>
      <w:r>
        <w:t xml:space="preserve">Department of Wildlife Ecology &amp; Conservation, University of Florida, Gainesville, Florida, USA</w:t>
      </w:r>
    </w:p>
    <w:p>
      <w:pPr>
        <w:pStyle w:val="BodyText"/>
      </w:pPr>
      <w:r>
        <w:rPr>
          <w:vertAlign w:val="superscript"/>
        </w:rPr>
        <w:t xml:space="preserve">4</w:t>
      </w:r>
      <w:r>
        <w:t xml:space="preserve"> </w:t>
      </w:r>
      <w:r>
        <w:t xml:space="preserve">School of Biology and Ecology, University of Maine, Orono, Maine, USA</w:t>
      </w:r>
    </w:p>
    <w:p>
      <w:pPr>
        <w:pStyle w:val="BodyText"/>
      </w:pPr>
      <w:r>
        <w:rPr>
          <w:vertAlign w:val="superscript"/>
        </w:rPr>
        <w:t xml:space="preserve">5</w:t>
      </w:r>
      <w:r>
        <w:t xml:space="preserve"> </w:t>
      </w:r>
      <w:r>
        <w:t xml:space="preserve">Mitchell Center for Sustainability Solutions, University of Maine, Orono, Maine, USA</w:t>
      </w:r>
    </w:p>
    <w:p>
      <w:pPr>
        <w:pStyle w:val="BodyText"/>
      </w:pPr>
      <w:r>
        <w:rPr>
          <w:vertAlign w:val="superscript"/>
        </w:rPr>
        <w:t xml:space="preserve">6</w:t>
      </w:r>
      <w:r>
        <w:t xml:space="preserve"> </w:t>
      </w:r>
      <w:r>
        <w:t xml:space="preserve">Informatics Institute, University of Florida, Gainesville, Florida, USA</w:t>
      </w:r>
    </w:p>
    <w:p>
      <w:pPr>
        <w:pStyle w:val="Heading1"/>
      </w:pPr>
      <w:bookmarkStart w:id="22" w:name="abstract"/>
      <w:bookmarkEnd w:id="22"/>
      <w:r>
        <w:t xml:space="preserve">Abstract</w:t>
      </w:r>
    </w:p>
    <w:p>
      <w:pPr>
        <w:pStyle w:val="FirstParagraph"/>
      </w:pPr>
      <w:r>
        <w:t xml:space="preserve">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pPr>
      <w:bookmarkStart w:id="23" w:name="introduction"/>
      <w:bookmarkEnd w:id="23"/>
      <w:r>
        <w:t xml:space="preserve">Introduction</w:t>
      </w:r>
    </w:p>
    <w:p>
      <w:pPr>
        <w:pStyle w:val="FirstParagraph"/>
      </w:pPr>
      <w:r>
        <w:t xml:space="preserve">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w:t>
      </w:r>
      <w:r>
        <w:t xml:space="preserve"> </w:t>
      </w:r>
      <w:r>
        <w:t xml:space="preserve">(see McGill et al. 2007 for a recent review of SADs)</w:t>
      </w:r>
      <w:r>
        <w:t xml:space="preserve">. These models range from arbitrary distributions that are chosen based on providing a good fit to the data</w:t>
      </w:r>
      <w:r>
        <w:t xml:space="preserve"> </w:t>
      </w:r>
      <w:r>
        <w:t xml:space="preserve">(Fisher et al. 1943)</w:t>
      </w:r>
      <w:r>
        <w:t xml:space="preserve">, to distributions chosen based on the most likely states of generic random systems</w:t>
      </w:r>
      <w:r>
        <w:t xml:space="preserve"> </w:t>
      </w:r>
      <w:r>
        <w:t xml:space="preserve">(Frank 2011, Harte 2011, Locey and White 2013)</w:t>
      </w:r>
      <w:r>
        <w:t xml:space="preserve">, to models based more directly on ecological processes</w:t>
      </w:r>
      <w:r>
        <w:t xml:space="preserve"> </w:t>
      </w:r>
      <w:r>
        <w:t xml:space="preserve">(Tokeshi 1993, Hubbell 2001, Volkov et al. 2003, Alroy 2015)</w:t>
      </w:r>
      <w:r>
        <w:t xml:space="preserve">.</w:t>
      </w:r>
    </w:p>
    <w:p>
      <w:pPr>
        <w:pStyle w:val="BodyText"/>
      </w:pPr>
      <w:r>
        <w:t xml:space="preserve">Which model or models provide the best fit to the data, and the resulting implications for the processes structuring ecological systems, is an active area of research</w:t>
      </w:r>
      <w:r>
        <w:t xml:space="preserve"> </w:t>
      </w:r>
      <w:r>
        <w:t xml:space="preserve">(e.g., McGill 2003, Volkov et al. 2003, Ulrich et al. 2010, White et al. 2012, Connolly et al. 2014)</w:t>
      </w:r>
      <w:r>
        <w:t xml:space="preserve">. However, most comparisons of the different models: 1) use only a small subset of available models</w:t>
      </w:r>
      <w:r>
        <w:t xml:space="preserve"> </w:t>
      </w:r>
      <w:r>
        <w:t xml:space="preserve">(typically two; e.g., McGill 2003, Volkov et al. 2003, White et al. 2012, Connolly et al. 2014)</w:t>
      </w:r>
      <w:r>
        <w:t xml:space="preserve">; 2) focus on a single ecosystem or taxonomic group</w:t>
      </w:r>
      <w:r>
        <w:t xml:space="preserve"> </w:t>
      </w:r>
      <w:r>
        <w:t xml:space="preserve">(e.g., McGill 2003, Volkov et al. 2003)</w:t>
      </w:r>
      <w:r>
        <w:t xml:space="preserve">; or 3) fail to use the most appropriate statistical methods</w:t>
      </w:r>
      <w:r>
        <w:t xml:space="preserve"> </w:t>
      </w:r>
      <w:r>
        <w:t xml:space="preserve">(e.g., Ulrich et al. 2010, see Matthews and Whittaker 2014 for discussion of best statistical methods for fitting SADs)</w:t>
      </w:r>
      <w:r>
        <w:t xml:space="preserve">. This makes it difficult to draw general conclusions about which, if any, models provide the best empirical fit to species abundance distributions.</w:t>
      </w:r>
    </w:p>
    <w:p>
      <w:pPr>
        <w:pStyle w:val="BodyText"/>
      </w:pPr>
      <w:r>
        <w:t xml:space="preserve">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pPr>
      <w:bookmarkStart w:id="24" w:name="methods"/>
      <w:bookmarkEnd w:id="24"/>
      <w:r>
        <w:t xml:space="preserve">Methods</w:t>
      </w:r>
    </w:p>
    <w:p>
      <w:pPr>
        <w:pStyle w:val="Heading3"/>
      </w:pPr>
      <w:bookmarkStart w:id="25" w:name="data"/>
      <w:bookmarkEnd w:id="25"/>
      <w:r>
        <w:t xml:space="preserve">Data</w:t>
      </w:r>
    </w:p>
    <w:p>
      <w:pPr>
        <w:pStyle w:val="FirstParagraph"/>
      </w:pPr>
      <w:r>
        <w:t xml:space="preserve">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w:t>
      </w:r>
      <w:r>
        <w:t xml:space="preserve"> </w:t>
      </w:r>
      <w:r>
        <w:t xml:space="preserve">(2012)</w:t>
      </w:r>
      <w:r>
        <w:t xml:space="preserve"> </w:t>
      </w:r>
      <w:r>
        <w:t xml:space="preserve">from six data sources: the US Forest Service Forest Inventory and Analysis</w:t>
      </w:r>
      <w:r>
        <w:t xml:space="preserve"> </w:t>
      </w:r>
      <w:r>
        <w:t xml:space="preserve">(FIA; USDA Forest Service 2010)</w:t>
      </w:r>
      <w:r>
        <w:t xml:space="preserve">, the North American Butterfly Association's North American Butterfly Count</w:t>
      </w:r>
      <w:r>
        <w:t xml:space="preserve"> </w:t>
      </w:r>
      <w:r>
        <w:t xml:space="preserve">(NABC; North American Butterfly Assoc. 2009)</w:t>
      </w:r>
      <w:r>
        <w:t xml:space="preserve">, the Mammal Community Database</w:t>
      </w:r>
      <w:r>
        <w:t xml:space="preserve"> </w:t>
      </w:r>
      <w:r>
        <w:t xml:space="preserve">(MCDB; Thibault et al. 2011)</w:t>
      </w:r>
      <w:r>
        <w:t xml:space="preserve">, Alwyn Gentry's Forest Transect Data Set</w:t>
      </w:r>
      <w:r>
        <w:t xml:space="preserve"> </w:t>
      </w:r>
      <w:r>
        <w:t xml:space="preserve">(Gentry; Phillips and Miller 2002)</w:t>
      </w:r>
      <w:r>
        <w:t xml:space="preserve">, the Audubon Society Christmas Bird Count</w:t>
      </w:r>
      <w:r>
        <w:t xml:space="preserve"> </w:t>
      </w:r>
      <w:r>
        <w:t xml:space="preserve">(CBC; National Audubon Society 2002)</w:t>
      </w:r>
      <w:r>
        <w:t xml:space="preserve">, and the US Geological Survey's North American Breeding Bird Survey</w:t>
      </w:r>
      <w:r>
        <w:t xml:space="preserve"> </w:t>
      </w:r>
      <w:r>
        <w:t xml:space="preserve">(BBS; Pardieck et al. 2014)</w:t>
      </w:r>
      <w:r>
        <w:t xml:space="preserve"> </w:t>
      </w:r>
      <w:r>
        <w:t xml:space="preserve">(see Table 1 for details). The publicly available datasets (FIA, MCDB, Gentry, and BBS) were acquired using the EcoData Retriever</w:t>
      </w:r>
      <w:r>
        <w:t xml:space="preserve"> </w:t>
      </w:r>
      <w:r>
        <w:t xml:space="preserve">(http://ecodataretriever.org; Morris and White 2013)</w:t>
      </w:r>
      <w:r>
        <w:t xml:space="preserve">. Details of the treatment of these datasets can be found in Appendix A of White et al.</w:t>
      </w:r>
      <w:r>
        <w:t xml:space="preserve"> </w:t>
      </w:r>
      <w:r>
        <w:t xml:space="preserve">(2012)</w:t>
      </w:r>
      <w:r>
        <w:t xml:space="preserve">,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w:t>
      </w:r>
      <w:r>
        <w:t xml:space="preserve"> </w:t>
      </w:r>
      <w:r>
        <w:t xml:space="preserve">(Baldridge 2013)</w:t>
      </w:r>
      <w:r>
        <w:t xml:space="preserve"> </w:t>
      </w:r>
      <w:r>
        <w:t xml:space="preserve">(see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BodyText"/>
      </w:pPr>
      <w:r>
        <w:t xml:space="preserve">Table 1: Details of datasets used to evaluate the form of the species abundance distribution. Datasets marked as Private were obtained through data requests to the providers.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Dataset code</w:t>
            </w:r>
          </w:p>
        </w:tc>
        <w:tc>
          <w:tcPr>
            <w:tcBorders>
              <w:bottom w:val="single"/>
            </w:tcBorders>
            <w:vAlign w:val="bottom"/>
          </w:tcPr>
          <w:p>
            <w:pPr>
              <w:pStyle w:val="Compact"/>
              <w:jc w:val="left"/>
            </w:pPr>
            <w:r>
              <w:t xml:space="preserve">Availability</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Citation</w:t>
            </w:r>
          </w:p>
        </w:tc>
      </w:tr>
      <w:tr>
        <w:tc>
          <w:p>
            <w:pPr>
              <w:pStyle w:val="Compact"/>
              <w:jc w:val="left"/>
            </w:pPr>
            <w:r>
              <w:t xml:space="preserve">Breeding Bird Survey</w:t>
            </w:r>
          </w:p>
        </w:tc>
        <w:tc>
          <w:p>
            <w:pPr>
              <w:pStyle w:val="Compact"/>
              <w:jc w:val="left"/>
            </w:pPr>
            <w:r>
              <w:t xml:space="preserve">BBS</w:t>
            </w:r>
          </w:p>
        </w:tc>
        <w:tc>
          <w:p>
            <w:pPr>
              <w:pStyle w:val="Compact"/>
              <w:jc w:val="left"/>
            </w:pPr>
            <w:r>
              <w:t xml:space="preserve">Public</w:t>
            </w:r>
          </w:p>
        </w:tc>
        <w:tc>
          <w:p>
            <w:pPr>
              <w:pStyle w:val="Compact"/>
              <w:jc w:val="left"/>
            </w:pPr>
            <w:r>
              <w:t xml:space="preserve">2769</w:t>
            </w:r>
          </w:p>
        </w:tc>
        <w:tc>
          <w:p>
            <w:pPr>
              <w:pStyle w:val="Compact"/>
              <w:jc w:val="left"/>
            </w:pPr>
            <w:r>
              <w:t xml:space="preserve">Pardieck et al. (2014)</w:t>
            </w:r>
          </w:p>
        </w:tc>
      </w:tr>
      <w:tr>
        <w:tc>
          <w:p>
            <w:pPr>
              <w:pStyle w:val="Compact"/>
              <w:jc w:val="left"/>
            </w:pPr>
            <w:r>
              <w:t xml:space="preserve">Christmas Bird Count</w:t>
            </w:r>
          </w:p>
        </w:tc>
        <w:tc>
          <w:p>
            <w:pPr>
              <w:pStyle w:val="Compact"/>
              <w:jc w:val="left"/>
            </w:pPr>
            <w:r>
              <w:t xml:space="preserve">CBC</w:t>
            </w:r>
          </w:p>
        </w:tc>
        <w:tc>
          <w:p>
            <w:pPr>
              <w:pStyle w:val="Compact"/>
              <w:jc w:val="left"/>
            </w:pPr>
            <w:r>
              <w:t xml:space="preserve">Private</w:t>
            </w:r>
          </w:p>
        </w:tc>
        <w:tc>
          <w:p>
            <w:pPr>
              <w:pStyle w:val="Compact"/>
              <w:jc w:val="left"/>
            </w:pPr>
            <w:r>
              <w:t xml:space="preserve">1999</w:t>
            </w:r>
          </w:p>
        </w:tc>
        <w:tc>
          <w:p>
            <w:pPr>
              <w:pStyle w:val="Compact"/>
              <w:jc w:val="left"/>
            </w:pPr>
            <w:r>
              <w:t xml:space="preserve">National Audubon</w:t>
            </w:r>
            <w:r>
              <w:t xml:space="preserve"> </w:t>
            </w:r>
            <w:r>
              <w:t xml:space="preserve">Society (2002)</w:t>
            </w:r>
          </w:p>
        </w:tc>
      </w:tr>
      <w:tr>
        <w:tc>
          <w:p>
            <w:pPr>
              <w:pStyle w:val="Compact"/>
              <w:jc w:val="left"/>
            </w:pPr>
            <w:r>
              <w:t xml:space="preserve">Gentry's Forest Transects</w:t>
            </w:r>
          </w:p>
        </w:tc>
        <w:tc>
          <w:p>
            <w:pPr>
              <w:pStyle w:val="Compact"/>
              <w:jc w:val="left"/>
            </w:pPr>
            <w:r>
              <w:t xml:space="preserve">Gentry</w:t>
            </w:r>
          </w:p>
        </w:tc>
        <w:tc>
          <w:p>
            <w:pPr>
              <w:pStyle w:val="Compact"/>
              <w:jc w:val="left"/>
            </w:pPr>
            <w:r>
              <w:t xml:space="preserve">Public</w:t>
            </w:r>
          </w:p>
        </w:tc>
        <w:tc>
          <w:p>
            <w:pPr>
              <w:pStyle w:val="Compact"/>
              <w:jc w:val="left"/>
            </w:pPr>
            <w:r>
              <w:t xml:space="preserve">220</w:t>
            </w:r>
          </w:p>
        </w:tc>
        <w:tc>
          <w:p>
            <w:pPr>
              <w:pStyle w:val="Compact"/>
              <w:jc w:val="left"/>
            </w:pPr>
            <w:r>
              <w:t xml:space="preserve">Phillips and Miller (2002)</w:t>
            </w:r>
          </w:p>
        </w:tc>
      </w:tr>
      <w:tr>
        <w:tc>
          <w:p>
            <w:pPr>
              <w:pStyle w:val="Compact"/>
              <w:jc w:val="left"/>
            </w:pPr>
            <w:r>
              <w:t xml:space="preserve">Forest Inventory Analysis</w:t>
            </w:r>
          </w:p>
        </w:tc>
        <w:tc>
          <w:p>
            <w:pPr>
              <w:pStyle w:val="Compact"/>
              <w:jc w:val="left"/>
            </w:pPr>
            <w:r>
              <w:t xml:space="preserve">FIA</w:t>
            </w:r>
          </w:p>
        </w:tc>
        <w:tc>
          <w:p>
            <w:pPr>
              <w:pStyle w:val="Compact"/>
              <w:jc w:val="left"/>
            </w:pPr>
            <w:r>
              <w:t xml:space="preserve">Public</w:t>
            </w:r>
          </w:p>
        </w:tc>
        <w:tc>
          <w:p>
            <w:pPr>
              <w:pStyle w:val="Compact"/>
              <w:jc w:val="left"/>
            </w:pPr>
            <w:r>
              <w:t xml:space="preserve">10355</w:t>
            </w:r>
          </w:p>
        </w:tc>
        <w:tc>
          <w:p>
            <w:pPr>
              <w:pStyle w:val="Compact"/>
              <w:jc w:val="left"/>
            </w:pPr>
            <w:r>
              <w:t xml:space="preserve">USDA Forest Service (2010)</w:t>
            </w:r>
          </w:p>
        </w:tc>
      </w:tr>
      <w:tr>
        <w:tc>
          <w:p>
            <w:pPr>
              <w:pStyle w:val="Compact"/>
              <w:jc w:val="left"/>
            </w:pPr>
            <w:r>
              <w:t xml:space="preserve">Mammal Community DB</w:t>
            </w:r>
          </w:p>
        </w:tc>
        <w:tc>
          <w:p>
            <w:pPr>
              <w:pStyle w:val="Compact"/>
              <w:jc w:val="left"/>
            </w:pPr>
            <w:r>
              <w:t xml:space="preserve">MCDB</w:t>
            </w:r>
          </w:p>
        </w:tc>
        <w:tc>
          <w:p>
            <w:pPr>
              <w:pStyle w:val="Compact"/>
              <w:jc w:val="left"/>
            </w:pPr>
            <w:r>
              <w:t xml:space="preserve">Public</w:t>
            </w:r>
          </w:p>
        </w:tc>
        <w:tc>
          <w:p>
            <w:pPr>
              <w:pStyle w:val="Compact"/>
              <w:jc w:val="left"/>
            </w:pPr>
            <w:r>
              <w:t xml:space="preserve">103</w:t>
            </w:r>
          </w:p>
        </w:tc>
        <w:tc>
          <w:p>
            <w:pPr>
              <w:pStyle w:val="Compact"/>
              <w:jc w:val="left"/>
            </w:pPr>
            <w:r>
              <w:t xml:space="preserve">Thibault et al. (2011)</w:t>
            </w:r>
          </w:p>
        </w:tc>
      </w:tr>
      <w:tr>
        <w:tc>
          <w:p>
            <w:pPr>
              <w:pStyle w:val="Compact"/>
              <w:jc w:val="left"/>
            </w:pPr>
            <w:r>
              <w:t xml:space="preserve">NA Butterfly Count</w:t>
            </w:r>
          </w:p>
        </w:tc>
        <w:tc>
          <w:p>
            <w:pPr>
              <w:pStyle w:val="Compact"/>
              <w:jc w:val="left"/>
            </w:pPr>
            <w:r>
              <w:t xml:space="preserve">NABA</w:t>
            </w:r>
          </w:p>
        </w:tc>
        <w:tc>
          <w:p>
            <w:pPr>
              <w:pStyle w:val="Compact"/>
              <w:jc w:val="left"/>
            </w:pPr>
            <w:r>
              <w:t xml:space="preserve">Private</w:t>
            </w:r>
          </w:p>
        </w:tc>
        <w:tc>
          <w:p>
            <w:pPr>
              <w:pStyle w:val="Compact"/>
              <w:jc w:val="left"/>
            </w:pPr>
            <w:r>
              <w:t xml:space="preserve">400</w:t>
            </w:r>
          </w:p>
        </w:tc>
        <w:tc>
          <w:p>
            <w:pPr>
              <w:pStyle w:val="Compact"/>
              <w:jc w:val="left"/>
            </w:pPr>
            <w:r>
              <w:t xml:space="preserve">North American Butterfly Assoc. (2009)</w:t>
            </w:r>
          </w:p>
        </w:tc>
      </w:tr>
      <w:tr>
        <w:tc>
          <w:p>
            <w:pPr>
              <w:pStyle w:val="Compact"/>
              <w:jc w:val="left"/>
            </w:pPr>
            <w:r>
              <w:t xml:space="preserve">Actinopterygii</w:t>
            </w:r>
          </w:p>
        </w:tc>
        <w:tc>
          <w:p>
            <w:pPr>
              <w:pStyle w:val="Compact"/>
              <w:jc w:val="left"/>
            </w:pPr>
            <w:r>
              <w:t xml:space="preserve">Actinopterygii</w:t>
            </w:r>
          </w:p>
        </w:tc>
        <w:tc>
          <w:p>
            <w:pPr>
              <w:pStyle w:val="Compact"/>
              <w:jc w:val="left"/>
            </w:pPr>
            <w:r>
              <w:t xml:space="preserve">Public</w:t>
            </w:r>
          </w:p>
        </w:tc>
        <w:tc>
          <w:p>
            <w:pPr>
              <w:pStyle w:val="Compact"/>
              <w:jc w:val="left"/>
            </w:pPr>
            <w:r>
              <w:t xml:space="preserve">161</w:t>
            </w:r>
          </w:p>
        </w:tc>
        <w:tc>
          <w:p>
            <w:pPr>
              <w:pStyle w:val="Compact"/>
              <w:jc w:val="left"/>
            </w:pPr>
            <w:r>
              <w:t xml:space="preserve">Baldridge (2013)</w:t>
            </w:r>
          </w:p>
        </w:tc>
      </w:tr>
      <w:tr>
        <w:tc>
          <w:p>
            <w:pPr>
              <w:pStyle w:val="Compact"/>
              <w:jc w:val="left"/>
            </w:pPr>
            <w:r>
              <w:t xml:space="preserve">Reptilia</w:t>
            </w:r>
          </w:p>
        </w:tc>
        <w:tc>
          <w:p>
            <w:pPr>
              <w:pStyle w:val="Compact"/>
              <w:jc w:val="left"/>
            </w:pPr>
            <w:r>
              <w:t xml:space="preserve">Reptilia</w:t>
            </w:r>
          </w:p>
        </w:tc>
        <w:tc>
          <w:p>
            <w:pPr>
              <w:pStyle w:val="Compact"/>
              <w:jc w:val="left"/>
            </w:pPr>
            <w:r>
              <w:t xml:space="preserve">Public</w:t>
            </w:r>
          </w:p>
        </w:tc>
        <w:tc>
          <w:p>
            <w:pPr>
              <w:pStyle w:val="Compact"/>
              <w:jc w:val="left"/>
            </w:pPr>
            <w:r>
              <w:t xml:space="preserve">129</w:t>
            </w:r>
          </w:p>
        </w:tc>
        <w:tc>
          <w:p>
            <w:pPr>
              <w:pStyle w:val="Compact"/>
              <w:jc w:val="left"/>
            </w:pPr>
            <w:r>
              <w:t xml:space="preserve">Baldridge (2013)</w:t>
            </w:r>
          </w:p>
        </w:tc>
      </w:tr>
      <w:tr>
        <w:tc>
          <w:p>
            <w:pPr>
              <w:pStyle w:val="Compact"/>
              <w:jc w:val="left"/>
            </w:pPr>
            <w:r>
              <w:t xml:space="preserve">Amphibia</w:t>
            </w:r>
          </w:p>
        </w:tc>
        <w:tc>
          <w:p>
            <w:pPr>
              <w:pStyle w:val="Compact"/>
              <w:jc w:val="left"/>
            </w:pPr>
            <w:r>
              <w:t xml:space="preserve">Amphibia</w:t>
            </w:r>
          </w:p>
        </w:tc>
        <w:tc>
          <w:p>
            <w:pPr>
              <w:pStyle w:val="Compact"/>
              <w:jc w:val="left"/>
            </w:pPr>
            <w:r>
              <w:t xml:space="preserve">Public</w:t>
            </w:r>
          </w:p>
        </w:tc>
        <w:tc>
          <w:p>
            <w:pPr>
              <w:pStyle w:val="Compact"/>
              <w:jc w:val="left"/>
            </w:pPr>
            <w:r>
              <w:t xml:space="preserve">43</w:t>
            </w:r>
          </w:p>
        </w:tc>
        <w:tc>
          <w:p>
            <w:pPr>
              <w:pStyle w:val="Compact"/>
              <w:jc w:val="left"/>
            </w:pPr>
            <w:r>
              <w:t xml:space="preserve">Baldridge (2013)</w:t>
            </w:r>
          </w:p>
        </w:tc>
      </w:tr>
      <w:tr>
        <w:tc>
          <w:p>
            <w:pPr>
              <w:pStyle w:val="Compact"/>
              <w:jc w:val="left"/>
            </w:pPr>
            <w:r>
              <w:t xml:space="preserve">Coleoptera</w:t>
            </w:r>
          </w:p>
        </w:tc>
        <w:tc>
          <w:p>
            <w:pPr>
              <w:pStyle w:val="Compact"/>
              <w:jc w:val="left"/>
            </w:pPr>
            <w:r>
              <w:t xml:space="preserve">Coleoptera</w:t>
            </w:r>
          </w:p>
        </w:tc>
        <w:tc>
          <w:p>
            <w:pPr>
              <w:pStyle w:val="Compact"/>
              <w:jc w:val="left"/>
            </w:pPr>
            <w:r>
              <w:t xml:space="preserve">Public</w:t>
            </w:r>
          </w:p>
        </w:tc>
        <w:tc>
          <w:p>
            <w:pPr>
              <w:pStyle w:val="Compact"/>
              <w:jc w:val="left"/>
            </w:pPr>
            <w:r>
              <w:t xml:space="preserve">5</w:t>
            </w:r>
          </w:p>
        </w:tc>
        <w:tc>
          <w:p>
            <w:pPr>
              <w:pStyle w:val="Compact"/>
              <w:jc w:val="left"/>
            </w:pPr>
            <w:r>
              <w:t xml:space="preserve">Baldridge (2013)</w:t>
            </w:r>
          </w:p>
        </w:tc>
      </w:tr>
      <w:tr>
        <w:tc>
          <w:p>
            <w:pPr>
              <w:pStyle w:val="Compact"/>
              <w:jc w:val="left"/>
            </w:pPr>
            <w:r>
              <w:t xml:space="preserve">Arachnida</w:t>
            </w:r>
          </w:p>
        </w:tc>
        <w:tc>
          <w:p>
            <w:pPr>
              <w:pStyle w:val="Compact"/>
              <w:jc w:val="left"/>
            </w:pPr>
            <w:r>
              <w:t xml:space="preserve">Arachnida</w:t>
            </w:r>
          </w:p>
        </w:tc>
        <w:tc>
          <w:p>
            <w:pPr>
              <w:pStyle w:val="Compact"/>
              <w:jc w:val="left"/>
            </w:pPr>
            <w:r>
              <w:t xml:space="preserve">Public</w:t>
            </w:r>
          </w:p>
        </w:tc>
        <w:tc>
          <w:p>
            <w:pPr>
              <w:pStyle w:val="Compact"/>
              <w:jc w:val="left"/>
            </w:pPr>
            <w:r>
              <w:t xml:space="preserve">25</w:t>
            </w:r>
          </w:p>
        </w:tc>
        <w:tc>
          <w:p>
            <w:pPr>
              <w:pStyle w:val="Compact"/>
              <w:jc w:val="left"/>
            </w:pPr>
            <w:r>
              <w:t xml:space="preserve">Baldridge (2013)</w:t>
            </w:r>
          </w:p>
        </w:tc>
      </w:tr>
    </w:tbl>
    <w:p>
      <w:pPr>
        <w:pStyle w:val="Heading3"/>
      </w:pPr>
      <w:bookmarkStart w:id="26" w:name="models"/>
      <w:bookmarkEnd w:id="26"/>
      <w:r>
        <w:t xml:space="preserve">Models</w:t>
      </w:r>
    </w:p>
    <w:p>
      <w:pPr>
        <w:pStyle w:val="FirstParagraph"/>
      </w:pPr>
      <w:r>
        <w:t xml:space="preserve">We selected models for analysis based on four criteria. First, since the majority of species abundance distributions (SADs) are constructed using counts of individuals</w:t>
      </w:r>
      <w:r>
        <w:t xml:space="preserve"> </w:t>
      </w:r>
      <w:r>
        <w:t xml:space="preserve">(for discussion of alternative approaches see McGill et al. 2007 and @morlon2009)</w:t>
      </w:r>
      <w:r>
        <w:t xml:space="preserve"> </w:t>
      </w:r>
      <w:r>
        <w:t xml:space="preserve">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w:t>
      </w:r>
      <w:r>
        <w:t xml:space="preserve"> </w:t>
      </w:r>
      <w:r>
        <w:t xml:space="preserve">(2007)</w:t>
      </w:r>
      <w:r>
        <w:t xml:space="preserve"> </w:t>
      </w:r>
      <w:r>
        <w:t xml:space="preserve">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BodyText"/>
      </w:pPr>
      <w:r>
        <w:t xml:space="preserve">The log-series is one of the first distributions used to describe the SAD, being derived as a purely statistical distribution by Fisher</w:t>
      </w:r>
      <w:r>
        <w:t xml:space="preserve"> </w:t>
      </w:r>
      <w:r>
        <w:t xml:space="preserve">(1943)</w:t>
      </w:r>
      <w:r>
        <w:t xml:space="preserve">. It has since been derived as the result of ecological processes, the metacommunity SAD for ecological neutral theory</w:t>
      </w:r>
      <w:r>
        <w:t xml:space="preserve"> </w:t>
      </w:r>
      <w:r>
        <w:t xml:space="preserve">(Hubbell 2001, Volkov et al. 2003)</w:t>
      </w:r>
      <w:r>
        <w:t xml:space="preserve">, and several different maximum entropy models</w:t>
      </w:r>
      <w:r>
        <w:t xml:space="preserve"> </w:t>
      </w:r>
      <w:r>
        <w:t xml:space="preserve">(Pueyo et al. 2007, Harte et al. 2008)</w:t>
      </w:r>
      <w:r>
        <w:t xml:space="preserve">.</w:t>
      </w:r>
    </w:p>
    <w:p>
      <w:pPr>
        <w:pStyle w:val="BodyText"/>
      </w:pPr>
      <w:r>
        <w:t xml:space="preserve">The lognormal is one of the most commonly used distributions for describing the SAD</w:t>
      </w:r>
      <w:r>
        <w:t xml:space="preserve"> </w:t>
      </w:r>
      <w:r>
        <w:t xml:space="preserve">(McGill 2003)</w:t>
      </w:r>
      <w:r>
        <w:t xml:space="preserve"> </w:t>
      </w:r>
      <w:r>
        <w:t xml:space="preserve">and has been derived as a null form of the distribution resulting from the central limit theorem</w:t>
      </w:r>
      <w:r>
        <w:t xml:space="preserve"> </w:t>
      </w:r>
      <w:r>
        <w:t xml:space="preserve">(May 1975)</w:t>
      </w:r>
      <w:r>
        <w:t xml:space="preserve">, population dynamics</w:t>
      </w:r>
      <w:r>
        <w:t xml:space="preserve"> </w:t>
      </w:r>
      <w:r>
        <w:t xml:space="preserve">(Engen and Lande 1996)</w:t>
      </w:r>
      <w:r>
        <w:t xml:space="preserve">, and niche partitioning</w:t>
      </w:r>
      <w:r>
        <w:t xml:space="preserve"> </w:t>
      </w:r>
      <w:r>
        <w:t xml:space="preserve">(Sugihara 1980)</w:t>
      </w:r>
      <w:r>
        <w:t xml:space="preserve">. We use the Poisson lognormal because it is a discrete form of the distribution appropriate for fitting discrete abundance data</w:t>
      </w:r>
      <w:r>
        <w:t xml:space="preserve"> </w:t>
      </w:r>
      <w:r>
        <w:t xml:space="preserve">(Bulmer 1974)</w:t>
      </w:r>
      <w:r>
        <w:t xml:space="preserve">.</w:t>
      </w:r>
    </w:p>
    <w:p>
      <w:pPr>
        <w:pStyle w:val="BodyText"/>
      </w:pPr>
      <w:r>
        <w:t xml:space="preserve">The negative binomial (which can be derived as a Gamma-distributed mixture of Poisson distributions) provides a good characterization of the SAD predictions for several different ecological neutral models for the purposes of model selection</w:t>
      </w:r>
      <w:r>
        <w:t xml:space="preserve"> </w:t>
      </w:r>
      <w:r>
        <w:t xml:space="preserve">(Connolly et al. 2014)</w:t>
      </w:r>
      <w:r>
        <w:t xml:space="preserve">. We use it to represent neutral models as a class.</w:t>
      </w:r>
    </w:p>
    <w:p>
      <w:pPr>
        <w:pStyle w:val="BodyText"/>
      </w:pPr>
      <w:r>
        <w:t xml:space="preserve">The Zipf (or power law) distribution was derived based on both branching processes and as the outcome of the McGill and Collin's</w:t>
      </w:r>
      <w:r>
        <w:t xml:space="preserve"> </w:t>
      </w:r>
      <w:r>
        <w:t xml:space="preserve">(2003)</w:t>
      </w:r>
      <w:r>
        <w:t xml:space="preserve"> </w:t>
      </w:r>
      <w:r>
        <w:t xml:space="preserve">spatial model. It was one of the best fitting distributions in a recent meta-analysis of SADs</w:t>
      </w:r>
      <w:r>
        <w:t xml:space="preserve"> </w:t>
      </w:r>
      <w:r>
        <w:t xml:space="preserve">(Ulrich et al. 2010)</w:t>
      </w:r>
      <w:r>
        <w:t xml:space="preserve">. We use the discrete form of the distribution which is appropriate for fitting discrete abundance data</w:t>
      </w:r>
      <w:r>
        <w:t xml:space="preserve"> </w:t>
      </w:r>
      <w:r>
        <w:t xml:space="preserve">(White et al. 2008)</w:t>
      </w:r>
      <w:r>
        <w:t xml:space="preserve">.</w:t>
      </w:r>
    </w:p>
    <w:p>
      <w:pPr>
        <w:pStyle w:val="BodyText"/>
      </w:pPr>
      <w:r>
        <w:t xml:space="preserve">Figure 1 shows three example sites with the empirical distribution and associated models fit to the data Zipf distributions tend to predict the most rare species followed by the log-series, the negative binomial, and Poisson lognormal.</w:t>
      </w:r>
    </w:p>
    <w:p>
      <w:pPr>
        <w:pStyle w:val="FigureWithCaption"/>
      </w:pPr>
      <w:r>
        <w:drawing>
          <wp:inline>
            <wp:extent cx="5334000" cy="1777999"/>
            <wp:effectExtent b="0" l="0" r="0" t="0"/>
            <wp:docPr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id="1" name="Picture"/>
            <a:graphic>
              <a:graphicData uri="http://schemas.openxmlformats.org/drawingml/2006/picture">
                <pic:pic>
                  <pic:nvPicPr>
                    <pic:cNvPr descr="./Fig1.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pPr>
      <w:bookmarkStart w:id="28" w:name="analysis"/>
      <w:bookmarkEnd w:id="28"/>
      <w:r>
        <w:t xml:space="preserve">Analysis</w:t>
      </w:r>
    </w:p>
    <w:p>
      <w:pPr>
        <w:pStyle w:val="FirstParagraph"/>
      </w:pPr>
      <w:r>
        <w:t xml:space="preserve">Following current best practices for fitting distributions to data and evaluating their fit, we used maximum likelihood estimation to fit models to the data</w:t>
      </w:r>
      <w:r>
        <w:t xml:space="preserve"> </w:t>
      </w:r>
      <w:r>
        <w:t xml:space="preserve">(Clark et al. 1999, Newman 2005, White et al. 2008)</w:t>
      </w:r>
      <w:r>
        <w:t xml:space="preserve"> </w:t>
      </w:r>
      <w:r>
        <w:t xml:space="preserve">and likelihood-based model selection to compare the fits of the different models</w:t>
      </w:r>
      <w:r>
        <w:t xml:space="preserve"> </w:t>
      </w:r>
      <w:r>
        <w:t xml:space="preserve">(Burnham and Anderson 2002, Edwards et al. 2007)</w:t>
      </w:r>
      <w:r>
        <w:t xml:space="preserve">. This approach has recently been affirmed as best practice for species abundance distributions</w:t>
      </w:r>
      <w:r>
        <w:t xml:space="preserve"> </w:t>
      </w:r>
      <w:r>
        <w:t xml:space="preserve">(Connolly et al. 2014, Matthews and Whittaker 2014)</w:t>
      </w:r>
      <w:r>
        <w:t xml:space="preserve">. This requires that likelihoods for the models can be solved for and therefore we excluded models that lack probability mass functions and associated likelihoods. While methods have been proposed for comparing models without probability mass functions in this context</w:t>
      </w:r>
      <w:r>
        <w:t xml:space="preserve"> </w:t>
      </w:r>
      <w:r>
        <w:t xml:space="preserve">(Alroy 2015)</w:t>
      </w:r>
      <w:r>
        <w:t xml:space="preserve">, these methods have not been evaluated to determine how well they perform compared to the widely accepted likelihood-based approaches.</w:t>
      </w:r>
    </w:p>
    <w:p>
      <w:pPr>
        <w:pStyle w:val="BodyText"/>
      </w:pPr>
      <w:r>
        <w:t xml:space="preserve">For model comparison we used corrected Akaike Information Criterion (AICc) weights to compare the fits of models while correcting for differences in the number of parameters and appropriately handling the small sample sizes (i.e., numbers of species) in some communities</w:t>
      </w:r>
      <w:r>
        <w:t xml:space="preserve"> </w:t>
      </w:r>
      <w:r>
        <w:t xml:space="preserve">(Burnham and Anderson 2002)</w:t>
      </w:r>
      <w:r>
        <w:t xml:space="preserve">.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BodyText"/>
      </w:pPr>
      <w:r>
        <w:t xml:space="preserve">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w:t>
      </w:r>
      <w:r>
        <w:t xml:space="preserve"> </w:t>
      </w:r>
      <w:r>
        <w:t xml:space="preserve">(i.e., Ulrich et al. 2010, Alroy 2015)</w:t>
      </w:r>
    </w:p>
    <w:p>
      <w:pPr>
        <w:pStyle w:val="BodyText"/>
      </w:pPr>
      <w:r>
        <w:t xml:space="preserve">Model fitting, log-likelihood, and AICc calculations were performed using Python</w:t>
      </w:r>
      <w:r>
        <w:t xml:space="preserve"> </w:t>
      </w:r>
      <w:r>
        <w:t xml:space="preserve">(Van Rossum and Drake 2011)</w:t>
      </w:r>
      <w:r>
        <w:t xml:space="preserve"> </w:t>
      </w:r>
      <w:r>
        <w:t xml:space="preserve">and R</w:t>
      </w:r>
      <w:r>
        <w:t xml:space="preserve"> </w:t>
      </w:r>
      <w:r>
        <w:t xml:space="preserve">(R Core Team 2015)</w:t>
      </w:r>
      <w:r>
        <w:t xml:space="preserve">. Python packages used for analysis include numpy</w:t>
      </w:r>
      <w:r>
        <w:t xml:space="preserve"> </w:t>
      </w:r>
      <w:r>
        <w:t xml:space="preserve">(Oliphant 2007, Van Der Walt et al. 2011)</w:t>
      </w:r>
      <w:r>
        <w:t xml:space="preserve">, matplotlib</w:t>
      </w:r>
      <w:r>
        <w:t xml:space="preserve"> </w:t>
      </w:r>
      <w:r>
        <w:t xml:space="preserve">(Hunter and others 2007)</w:t>
      </w:r>
      <w:r>
        <w:t xml:space="preserve">, sqlalchemy</w:t>
      </w:r>
      <w:r>
        <w:t xml:space="preserve"> </w:t>
      </w:r>
      <w:r>
        <w:t xml:space="preserve">(Bayer 2014)</w:t>
      </w:r>
      <w:r>
        <w:t xml:space="preserve">, pandas</w:t>
      </w:r>
      <w:r>
        <w:t xml:space="preserve"> </w:t>
      </w:r>
      <w:r>
        <w:t xml:space="preserve">(McKinney and others 2010)</w:t>
      </w:r>
      <w:r>
        <w:t xml:space="preserve">, macroecotools</w:t>
      </w:r>
      <w:r>
        <w:t xml:space="preserve"> </w:t>
      </w:r>
      <w:hyperlink r:id="rId29">
        <w:r>
          <w:rPr>
            <w:rStyle w:val="Hyperlink"/>
          </w:rPr>
          <w:t xml:space="preserve">https://github.com/weecology/macroecotools</w:t>
        </w:r>
      </w:hyperlink>
      <w:r>
        <w:t xml:space="preserve">, retriever</w:t>
      </w:r>
      <w:r>
        <w:t xml:space="preserve"> </w:t>
      </w:r>
      <w:r>
        <w:t xml:space="preserve">(Morris and White 2013)</w:t>
      </w:r>
      <w:r>
        <w:t xml:space="preserve">, R packages used for analysis include ggplot2</w:t>
      </w:r>
      <w:r>
        <w:t xml:space="preserve"> </w:t>
      </w:r>
      <w:r>
        <w:t xml:space="preserve">(Wickham 2009)</w:t>
      </w:r>
      <w:r>
        <w:t xml:space="preserve">, magrittr</w:t>
      </w:r>
      <w:r>
        <w:t xml:space="preserve">(Bache and Wickham 2014)</w:t>
      </w:r>
      <w:r>
        <w:t xml:space="preserve">, tidyr</w:t>
      </w:r>
      <w:r>
        <w:t xml:space="preserve"> </w:t>
      </w:r>
      <w:r>
        <w:t xml:space="preserve">(Wickham 2016)</w:t>
      </w:r>
      <w:r>
        <w:t xml:space="preserve">, dplyr</w:t>
      </w:r>
      <w:r>
        <w:t xml:space="preserve"> </w:t>
      </w:r>
      <w:r>
        <w:t xml:space="preserve">(Wickham and Francois 2016)</w:t>
      </w:r>
      <w:r>
        <w:t xml:space="preserve">. All of the code and all of the publicly available data necessary to replicate these analyses is available at</w:t>
      </w:r>
      <w:r>
        <w:t xml:space="preserve"> </w:t>
      </w:r>
      <w:hyperlink r:id="rId30">
        <w:r>
          <w:rPr>
            <w:rStyle w:val="Hyperlink"/>
          </w:rPr>
          <w:t xml:space="preserve">https://github.com/weecology/sad-comparison</w:t>
        </w:r>
      </w:hyperlink>
      <w:r>
        <w:t xml:space="preserve"> </w:t>
      </w:r>
      <w:r>
        <w:t xml:space="preserve">and archived on Zenodo</w:t>
      </w:r>
      <w:r>
        <w:t xml:space="preserve"> </w:t>
      </w:r>
      <w:r>
        <w:t xml:space="preserve">(Baldridge et al. 2016)</w:t>
      </w:r>
      <w:r>
        <w:t xml:space="preserve">. The CBC datasets and NABA datasets are not publicly available and therefore are not included.</w:t>
      </w:r>
    </w:p>
    <w:p>
      <w:pPr>
        <w:pStyle w:val="Heading1"/>
      </w:pPr>
      <w:bookmarkStart w:id="31" w:name="results"/>
      <w:bookmarkEnd w:id="31"/>
      <w:r>
        <w:t xml:space="preserve">Results</w:t>
      </w:r>
    </w:p>
    <w:p>
      <w:pPr>
        <w:pStyle w:val="FirstParagraph"/>
      </w:pPr>
      <w:r>
        <w:t xml:space="preserve">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pPr>
      <w:r>
        <w:drawing>
          <wp:inline>
            <wp:extent cx="5334000" cy="5334000"/>
            <wp:effectExtent b="0" l="0" r="0" t="0"/>
            <wp:docPr descr="Violin plots of the deviation from the mean log-likelihood for each site for all datasets combined. Positive values indicate that the model fits better than the average fit across the four models." id="1" name="Picture"/>
            <a:graphic>
              <a:graphicData uri="http://schemas.openxmlformats.org/drawingml/2006/picture">
                <pic:pic>
                  <pic:nvPicPr>
                    <pic:cNvPr descr="./violins/loglik.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deviation from the mean log-likelihood for each site for all datasets combined. Positive values indicate that the model fits better than the average fit across the four models.</w:t>
      </w:r>
    </w:p>
    <w:p>
      <w:pPr>
        <w:pStyle w:val="BodyText"/>
      </w:pPr>
      <w:r>
        <w:t xml:space="preserve">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pPr>
      <w:r>
        <w:drawing>
          <wp:inline>
            <wp:extent cx="5334000" cy="4267200"/>
            <wp:effectExtent b="0" l="0" r="0" t="0"/>
            <wp:docPr descr="Number of cases in which each model provided the best fit to the data based on AICc for all datasets combined." id="1" name="Picture"/>
            <a:graphic>
              <a:graphicData uri="http://schemas.openxmlformats.org/drawingml/2006/picture">
                <pic:pic>
                  <pic:nvPicPr>
                    <pic:cNvPr descr="./total_wins.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all datasets combined.</w:t>
      </w:r>
    </w:p>
    <w:p>
      <w:pPr>
        <w:pStyle w:val="BodyText"/>
      </w:pPr>
      <w:r>
        <w:t xml:space="preserve">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pPr>
      <w:r>
        <w:drawing>
          <wp:inline>
            <wp:extent cx="5334000" cy="2800350"/>
            <wp:effectExtent b="0" l="0" r="0" t="0"/>
            <wp:docPr descr="Number of cases in which each model provided the best fit to the data based on AICc for each dataset separately." id="1" name="Picture"/>
            <a:graphic>
              <a:graphicData uri="http://schemas.openxmlformats.org/drawingml/2006/picture">
                <pic:pic>
                  <pic:nvPicPr>
                    <pic:cNvPr descr="./wins-by-dataset.png" id="0" name="Picture"/>
                    <pic:cNvPicPr>
                      <a:picLocks noChangeArrowheads="1" noChangeAspect="1"/>
                    </pic:cNvPicPr>
                  </pic:nvPicPr>
                  <pic:blipFill>
                    <a:blip r:embed="rId34"/>
                    <a:stretch>
                      <a:fillRect/>
                    </a:stretch>
                  </pic:blipFill>
                  <pic:spPr bwMode="auto">
                    <a:xfrm>
                      <a:off x="0" y="0"/>
                      <a:ext cx="5334000" cy="280035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each dataset separately.</w:t>
      </w:r>
    </w:p>
    <w:p>
      <w:pPr>
        <w:pStyle w:val="BodyText"/>
      </w:pPr>
      <w:r>
        <w:t xml:space="preserve">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pPr>
      <w:r>
        <w:drawing>
          <wp:inline>
            <wp:extent cx="5334000" cy="5334000"/>
            <wp:effectExtent b="0" l="0" r="0" t="0"/>
            <wp:docPr descr="Violin plots of the AICc weights for each model. Weights indicate the probability that the model is the best model for the data" id="1" name="Picture"/>
            <a:graphic>
              <a:graphicData uri="http://schemas.openxmlformats.org/drawingml/2006/picture">
                <pic:pic>
                  <pic:nvPicPr>
                    <pic:cNvPr descr="./violins/weight.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AICc weights for each model. Weights indicate the probability that the model is the best model for the data</w:t>
      </w:r>
    </w:p>
    <w:p>
      <w:pPr>
        <w:pStyle w:val="Heading1"/>
      </w:pPr>
      <w:bookmarkStart w:id="36" w:name="discussion"/>
      <w:bookmarkEnd w:id="36"/>
      <w:r>
        <w:t xml:space="preserve">Discussion</w:t>
      </w:r>
    </w:p>
    <w:p>
      <w:pPr>
        <w:pStyle w:val="FirstParagraph"/>
      </w:pPr>
      <w:r>
        <w:t xml:space="preserve">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two-parameter model performing slightly better on average. Because the log-series has only a single parameter but fits the data almost as well as the two-parameter models, the log-series performed better in AICc-based model selection, which penalizes model complexity. These results differ from two other recent analyses of large numbers of species abundance distributions</w:t>
      </w:r>
      <w:r>
        <w:t xml:space="preserve"> </w:t>
      </w:r>
      <w:r>
        <w:t xml:space="preserve">(Ulrich et al. 2010, Connolly et al. 2014)</w:t>
      </w:r>
      <w:r>
        <w:t xml:space="preserve"> </w:t>
      </w:r>
      <w:r>
        <w:t xml:space="preserve">and are generally consistent with a third recent analysis</w:t>
      </w:r>
      <w:r>
        <w:t xml:space="preserve"> </w:t>
      </w:r>
      <w:r>
        <w:t xml:space="preserve">(Alroy 2015)</w:t>
      </w:r>
      <w:r>
        <w:t xml:space="preserve">.</w:t>
      </w:r>
    </w:p>
    <w:p>
      <w:pPr>
        <w:pStyle w:val="BodyText"/>
      </w:pPr>
      <w:r>
        <w:t xml:space="preserve">Ulrich et al.</w:t>
      </w:r>
      <w:r>
        <w:t xml:space="preserve"> </w:t>
      </w:r>
      <w:r>
        <w:t xml:space="preserve">(2010)</w:t>
      </w:r>
      <w:r>
        <w:t xml:space="preserve"> </w:t>
      </w:r>
      <w:r>
        <w:t xml:space="preserve">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w:t>
      </w:r>
      <w:r>
        <w:t xml:space="preserve"> </w:t>
      </w:r>
      <w:r>
        <w:t xml:space="preserve">(Ulrich et al. 2010)</w:t>
      </w:r>
      <w:r>
        <w:t xml:space="preserve">.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w:t>
      </w:r>
      <w:r>
        <w:t xml:space="preserve"> </w:t>
      </w:r>
      <w:r>
        <w:t xml:space="preserve">(Ulrich et al. 2010)</w:t>
      </w:r>
      <w:r>
        <w:t xml:space="preserve"> </w:t>
      </w:r>
      <w:r>
        <w:t xml:space="preserve">may be due to: 1) their use of binning and fitting curves to rank abundance plots, which deviates from the likelihood-based best practices</w:t>
      </w:r>
      <w:r>
        <w:t xml:space="preserve"> </w:t>
      </w:r>
      <w:r>
        <w:t xml:space="preserve">(Matthews and Whittaker 2014)</w:t>
      </w:r>
      <w:r>
        <w:t xml:space="preserve"> </w:t>
      </w:r>
      <w:r>
        <w:t xml:space="preserve">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BodyText"/>
      </w:pPr>
      <w:r>
        <w:t xml:space="preserve">Connolly et al.</w:t>
      </w:r>
      <w:r>
        <w:t xml:space="preserve"> </w:t>
      </w:r>
      <w:r>
        <w:t xml:space="preserve">(2014)</w:t>
      </w:r>
      <w:r>
        <w:t xml:space="preserve"> </w:t>
      </w:r>
      <w:r>
        <w:t xml:space="preserve">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w:t>
      </w:r>
      <w:r>
        <w:t xml:space="preserve"> </w:t>
      </w:r>
      <w:r>
        <w:t xml:space="preserve">(2014)</w:t>
      </w:r>
      <w:r>
        <w:t xml:space="preserve"> </w:t>
      </w:r>
      <w:r>
        <w:t xml:space="preserve">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w:t>
      </w:r>
      <w:r>
        <w:t xml:space="preserve"> </w:t>
      </w:r>
      <w:r>
        <w:t xml:space="preserve">(2014)</w:t>
      </w:r>
      <w:r>
        <w:t xml:space="preserve">. The explanation for these differences is being explored elsewhere (Connolly et al. unpublished data).</w:t>
      </w:r>
    </w:p>
    <w:p>
      <w:pPr>
        <w:pStyle w:val="BodyText"/>
      </w:pPr>
      <w:r>
        <w:t xml:space="preserve">Alroy</w:t>
      </w:r>
      <w:r>
        <w:t xml:space="preserve"> </w:t>
      </w:r>
      <w:r>
        <w:t xml:space="preserve">(2015)</w:t>
      </w:r>
      <w:r>
        <w:t xml:space="preserve"> </w:t>
      </w:r>
      <w:r>
        <w:t xml:space="preserve">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BodyText"/>
      </w:pPr>
      <w:r>
        <w:t xml:space="preserve">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w:t>
      </w:r>
      <w:r>
        <w:t xml:space="preserve"> </w:t>
      </w:r>
      <w:r>
        <w:t xml:space="preserve">(Ulrich et al. 2010, Alroy 2015)</w:t>
      </w:r>
      <w:r>
        <w:t xml:space="preserve"> </w:t>
      </w:r>
      <w:r>
        <w:t xml:space="preserve">make this correction and both show that it is still a reasonably competitive model even against those with more parameters.</w:t>
      </w:r>
    </w:p>
    <w:p>
      <w:pPr>
        <w:pStyle w:val="BodyText"/>
      </w:pPr>
      <w:r>
        <w:t xml:space="preserve">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w:t>
      </w:r>
      <w:r>
        <w:t xml:space="preserve"> </w:t>
      </w:r>
      <w:r>
        <w:t xml:space="preserve">(Cohen 1968, Boswell and Patil 1971, Pielou 1975, McGill et al. 2007)</w:t>
      </w:r>
      <w:r>
        <w:t xml:space="preserve">. To the extent that SADs are determined by random statistical processes, one might expect the observed distributions to be compatible with a wide variety of different process-based and process-free models</w:t>
      </w:r>
      <w:r>
        <w:t xml:space="preserve"> </w:t>
      </w:r>
      <w:r>
        <w:t xml:space="preserve">(Frank 2009, 2011, Locey and White 2013)</w:t>
      </w:r>
      <w:r>
        <w:t xml:space="preserve">. Regardless of the underlying reason that the models performed similarly, our results indicate that the SAD usually does not contain sufficient information to distinguish among the possible statistical processes---let alone biological processes---with any degree of certainty</w:t>
      </w:r>
      <w:r>
        <w:t xml:space="preserve"> </w:t>
      </w:r>
      <w:r>
        <w:t xml:space="preserve">(Volkov et al. 2005)</w:t>
      </w:r>
      <w:r>
        <w:t xml:space="preserve">, though it is possible that this result differs in marine systems</w:t>
      </w:r>
      <w:r>
        <w:t xml:space="preserve"> </w:t>
      </w:r>
      <w:r>
        <w:t xml:space="preserve">(see Connolly et al. 2014)</w:t>
      </w:r>
      <w:r>
        <w:t xml:space="preserve">. A more promising way to draw inferences about ecological processes is to evaluate each model's ability to simultaneously explain multiple macroecological patterns, rather than relying on a single pattern like the SAD</w:t>
      </w:r>
      <w:r>
        <w:t xml:space="preserve"> </w:t>
      </w:r>
      <w:r>
        <w:t xml:space="preserve">(McGill 2003, McGill et al. 2006, Newman et al. 2014, Xiao et al. 2015)</w:t>
      </w:r>
      <w:r>
        <w:t xml:space="preserve">. It has also been suggested that examining second-order effects, such as the scale-dependence of macroecological patterns</w:t>
      </w:r>
      <w:r>
        <w:t xml:space="preserve"> </w:t>
      </w:r>
      <w:r>
        <w:t xml:space="preserve">(Blonder et al. 2014)</w:t>
      </w:r>
      <w:r>
        <w:t xml:space="preserve"> </w:t>
      </w:r>
      <w:r>
        <w:t xml:space="preserve">or how the parameters of the distribution change across gradients</w:t>
      </w:r>
      <w:r>
        <w:t xml:space="preserve"> </w:t>
      </w:r>
      <w:r>
        <w:t xml:space="preserve">(Mac Nally et al. 2014)</w:t>
      </w:r>
      <w:r>
        <w:t xml:space="preserve">, can provide better inference about process from these kinds of pattern.</w:t>
      </w:r>
    </w:p>
    <w:p>
      <w:pPr>
        <w:pStyle w:val="Heading1"/>
      </w:pPr>
      <w:bookmarkStart w:id="37" w:name="acknowledgments"/>
      <w:bookmarkEnd w:id="37"/>
      <w:r>
        <w:t xml:space="preserve">Acknowledgments</w:t>
      </w:r>
    </w:p>
    <w:p>
      <w:pPr>
        <w:pStyle w:val="FirstParagraph"/>
      </w:pPr>
      <w:r>
        <w:t xml:space="preserve">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w:t>
      </w:r>
    </w:p>
    <w:p>
      <w:pPr>
        <w:pStyle w:val="Heading1"/>
      </w:pPr>
      <w:bookmarkStart w:id="38" w:name="references"/>
      <w:bookmarkEnd w:id="38"/>
      <w:r>
        <w:t xml:space="preserve">References</w:t>
      </w:r>
    </w:p>
    <w:p>
      <w:pPr>
        <w:pStyle w:val="Bibliography"/>
      </w:pPr>
      <w:r>
        <w:t xml:space="preserve">Alroy, J. 2015. The shape of terrestrial abundance distributions. Science advances 1:e1500082.</w:t>
      </w:r>
    </w:p>
    <w:p>
      <w:pPr>
        <w:pStyle w:val="Bibliography"/>
      </w:pPr>
      <w:r>
        <w:t xml:space="preserve">Bache, S. M., and H. Wickham. 2014. Magrittr: A forward-pipe operator for r.</w:t>
      </w:r>
    </w:p>
    <w:p>
      <w:pPr>
        <w:pStyle w:val="Bibliography"/>
      </w:pPr>
      <w:r>
        <w:t xml:space="preserve">Baldridge, E. 2013. Community abundance data.</w:t>
      </w:r>
    </w:p>
    <w:p>
      <w:pPr>
        <w:pStyle w:val="Bibliography"/>
      </w:pPr>
      <w:r>
        <w:t xml:space="preserve">Baldridge, E., D. J. Harris, X. Xiao, and E. P. White. 2016, November. weecology/sad-comparison: First submission to PeerJ.</w:t>
      </w:r>
    </w:p>
    <w:p>
      <w:pPr>
        <w:pStyle w:val="Bibliography"/>
      </w:pPr>
      <w:r>
        <w:t xml:space="preserve">Bayer, M. 2014. Sqlalchemy. The Architecture of Open Source Applications: Elegance, Evolution, and a Few More Fearless Hacks 2.</w:t>
      </w:r>
    </w:p>
    <w:p>
      <w:pPr>
        <w:pStyle w:val="Bibliography"/>
      </w:pPr>
      <w:r>
        <w:t xml:space="preserve">Blonder, B., L. Sloat, B. J. Enquist, and B. McGill. 2014. Separating macroecological pattern and process: Comparing ecological, economic, and geological systems. PloS one 9:e112850.</w:t>
      </w:r>
    </w:p>
    <w:p>
      <w:pPr>
        <w:pStyle w:val="Bibliography"/>
      </w:pPr>
      <w:r>
        <w:t xml:space="preserve">Boswell, M., and G. Patil. 1971. Chance mechanisms generating the logarithmic series distribution used in the analysis of number of species and individuals. Statistical ecology 1:99–130.</w:t>
      </w:r>
    </w:p>
    <w:p>
      <w:pPr>
        <w:pStyle w:val="Bibliography"/>
      </w:pPr>
      <w:r>
        <w:t xml:space="preserve">Bulmer, M. 1974. On fitting the poisson lognormal distribution to species-abundance data. Biometrics:101–110.</w:t>
      </w:r>
    </w:p>
    <w:p>
      <w:pPr>
        <w:pStyle w:val="Bibliography"/>
      </w:pPr>
      <w:r>
        <w:t xml:space="preserve">Burnham, K. P., and D. R. Anderson. 2002. Model selection and multimodel inference: A practical information-theoretic approach. Springer.</w:t>
      </w:r>
    </w:p>
    <w:p>
      <w:pPr>
        <w:pStyle w:val="Bibliography"/>
      </w:pPr>
      <w:r>
        <w:t xml:space="preserve">Clark, R., S. Cox, and G. Laslett. 1999. Generalizations of power-law distributions applicable to sampled fault-trace lengths: Model choice, parameter estimation and caveats. Geophysical Journal International 136:357–372.</w:t>
      </w:r>
    </w:p>
    <w:p>
      <w:pPr>
        <w:pStyle w:val="Bibliography"/>
      </w:pPr>
      <w:r>
        <w:t xml:space="preserve">Cohen, J. E. 1968. Alternate derivations of a species-abundance relation. American naturalist:165–172.</w:t>
      </w:r>
    </w:p>
    <w:p>
      <w:pPr>
        <w:pStyle w:val="Bibliography"/>
      </w:pPr>
      <w:r>
        <w:t xml:space="preserve">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pPr>
      <w:r>
        <w:t xml:space="preserve">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pPr>
      <w:r>
        <w:t xml:space="preserve">Engen, S., and R. Lande. 1996. Population dynamic models generating species abundance distributions of the gamma type. Journal of Theoretical Biology 178:325–331.</w:t>
      </w:r>
    </w:p>
    <w:p>
      <w:pPr>
        <w:pStyle w:val="Bibliography"/>
      </w:pPr>
      <w:r>
        <w:t xml:space="preserve">Fisher, R. A., A. S. Corbet, and C. B. Williams. 1943. The relation between the number of species and the number of individuals in a random sample of an animal population. The Journal of Animal Ecology:42–58.</w:t>
      </w:r>
    </w:p>
    <w:p>
      <w:pPr>
        <w:pStyle w:val="Bibliography"/>
      </w:pPr>
      <w:r>
        <w:t xml:space="preserve">Frank, S. A. 2009. The common patterns of nature. Journal of evolutionary biology 22:1563–1585.</w:t>
      </w:r>
    </w:p>
    <w:p>
      <w:pPr>
        <w:pStyle w:val="Bibliography"/>
      </w:pPr>
      <w:r>
        <w:t xml:space="preserve">Frank, S. A. 2011. Measurement scale in maximum entropy models of species abundance. Journal of evolutionary biology 24:485–496.</w:t>
      </w:r>
    </w:p>
    <w:p>
      <w:pPr>
        <w:pStyle w:val="Bibliography"/>
      </w:pPr>
      <w:r>
        <w:t xml:space="preserve">Harte, J. 2011. Maximum entropy and ecology: A theory of abundance, distribution, and energetics. Oxford University Press.</w:t>
      </w:r>
    </w:p>
    <w:p>
      <w:pPr>
        <w:pStyle w:val="Bibliography"/>
      </w:pPr>
      <w:r>
        <w:t xml:space="preserve">Harte, J., T. Zillio, E. Conlisk, and A. Smith. 2008. Maximum entropy and the state-variable approach to macroecology. Ecology 89:2700–2711.</w:t>
      </w:r>
    </w:p>
    <w:p>
      <w:pPr>
        <w:pStyle w:val="Bibliography"/>
      </w:pPr>
      <w:r>
        <w:t xml:space="preserve">Hubbell, S. P. 2001. The unified neutral theory of biodiversity and biogeography (mPB-32). Princeton University Press.</w:t>
      </w:r>
    </w:p>
    <w:p>
      <w:pPr>
        <w:pStyle w:val="Bibliography"/>
      </w:pPr>
      <w:r>
        <w:t xml:space="preserve">Hunter, J. D., and others. 2007. Matplotlib: A 2D graphics environment. Computing in science and engineering 9:90–95.</w:t>
      </w:r>
    </w:p>
    <w:p>
      <w:pPr>
        <w:pStyle w:val="Bibliography"/>
      </w:pPr>
      <w:r>
        <w:t xml:space="preserve">Locey, K. J., and E. P. White. 2013. How species richness and total abundance constrain the distribution of abundance. Ecology letters 16:1177–1185.</w:t>
      </w:r>
    </w:p>
    <w:p>
      <w:pPr>
        <w:pStyle w:val="Bibliography"/>
      </w:pPr>
      <w:r>
        <w:t xml:space="preserve">Mac Nally, R., C. A. McAlpine, H. P. Possingham, and M. Maron. 2014. The control of rank-abundance distributions by a competitive despotic species. Oecologia 176:849–857.</w:t>
      </w:r>
    </w:p>
    <w:p>
      <w:pPr>
        <w:pStyle w:val="Bibliography"/>
      </w:pPr>
      <w:r>
        <w:t xml:space="preserve">Matthews, T. J., and R. J. Whittaker. 2014. Fitting and comparing competing models of the species abundance distribution: Assessment and prospect. Frontiers of Biogeography 6.</w:t>
      </w:r>
    </w:p>
    <w:p>
      <w:pPr>
        <w:pStyle w:val="Bibliography"/>
      </w:pPr>
      <w:r>
        <w:t xml:space="preserve">May, R. M. 1975. Patterns of species abundance and diversity. Ecology and evolution of communities:81–120.</w:t>
      </w:r>
    </w:p>
    <w:p>
      <w:pPr>
        <w:pStyle w:val="Bibliography"/>
      </w:pPr>
      <w:r>
        <w:t xml:space="preserve">McGill, B. J. 2003. A test of the unified neutral theory of biodiversity. Nature 422:881–885.</w:t>
      </w:r>
    </w:p>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pPr>
      <w:r>
        <w:t xml:space="preserve">McGill, B. J., B. A. Maurer, and M. D. Weiser. 2006. Empirical evaluation of neutral theory. Ecology 87:1411–1423.</w:t>
      </w:r>
    </w:p>
    <w:p>
      <w:pPr>
        <w:pStyle w:val="Bibliography"/>
      </w:pPr>
      <w:r>
        <w:t xml:space="preserve">McGill, B., and C. Collins. 2003. A unified theory for macroecology based on spatial patterns of abundance. Evolutionary Ecology Research 5:469–492.</w:t>
      </w:r>
    </w:p>
    <w:p>
      <w:pPr>
        <w:pStyle w:val="Bibliography"/>
      </w:pPr>
      <w:r>
        <w:t xml:space="preserve">McKinney, W., and others. 2010. Data structures for statistical computing in python. Pages 51–56</w:t>
      </w:r>
      <w:r>
        <w:t xml:space="preserve"> </w:t>
      </w:r>
      <w:r>
        <w:rPr>
          <w:i/>
        </w:rPr>
        <w:t xml:space="preserve">in</w:t>
      </w:r>
      <w:r>
        <w:t xml:space="preserve"> </w:t>
      </w:r>
      <w:r>
        <w:t xml:space="preserve">Proceedings of the 9th python in science conference.</w:t>
      </w:r>
    </w:p>
    <w:p>
      <w:pPr>
        <w:pStyle w:val="Bibliography"/>
      </w:pPr>
      <w:r>
        <w:t xml:space="preserve">Morlon, H., E. P. White, R. S. Etienne, J. L. Green, A. Ostling, D. Alonso, B. J. Enquist, F. He, A. Hurlbert, A. E. Magurran, and others. 2009. Taking species abundance distributions beyond individuals. Ecology Letters 12:488–501.</w:t>
      </w:r>
    </w:p>
    <w:p>
      <w:pPr>
        <w:pStyle w:val="Bibliography"/>
      </w:pPr>
      <w:r>
        <w:t xml:space="preserve">Morris, B. D., and E. P. White. 2013. The ecoData retriever: Improving access to existing ecological data. PloS one 8:e65848.</w:t>
      </w:r>
    </w:p>
    <w:p>
      <w:pPr>
        <w:pStyle w:val="Bibliography"/>
      </w:pPr>
      <w:r>
        <w:t xml:space="preserve">Newman, E. A., M. E. Harte, N. Lowell, M. Wilber, and J. Harte. 2014. Empirical tests of within-and across-species energetics in a diverse plant community. Ecology 95:2815–2825.</w:t>
      </w:r>
    </w:p>
    <w:p>
      <w:pPr>
        <w:pStyle w:val="Bibliography"/>
      </w:pPr>
      <w:r>
        <w:t xml:space="preserve">Newman, M. E. 2005. Power laws, pareto distributions and zipf’s law. Contemporary physics 46:323–351.</w:t>
      </w:r>
    </w:p>
    <w:p>
      <w:pPr>
        <w:pStyle w:val="Bibliography"/>
      </w:pPr>
      <w:r>
        <w:t xml:space="preserve">North American Butterfly Assoc. 2009. NABA butterfly counts: 2009 report. NABA, Morristown, New Jersey, USA.</w:t>
      </w:r>
    </w:p>
    <w:p>
      <w:pPr>
        <w:pStyle w:val="Bibliography"/>
      </w:pPr>
      <w:r>
        <w:t xml:space="preserve">Oliphant, T. E. 2007. Python for scientific computing. Computing in Science &amp; Engineering 9:10–20.</w:t>
      </w:r>
    </w:p>
    <w:p>
      <w:pPr>
        <w:pStyle w:val="Bibliography"/>
      </w:pPr>
      <w:r>
        <w:t xml:space="preserve">Pardieck, K. L., D. J. Ziolkowski Jr, and M.-A. Hudson. 2014. North american breeding bird survey dataset 1966 - 2013, version 2013.0. U.S. Geological Survey, Patuxent Wildlife Research Center.</w:t>
      </w:r>
    </w:p>
    <w:p>
      <w:pPr>
        <w:pStyle w:val="Bibliography"/>
      </w:pPr>
      <w:r>
        <w:t xml:space="preserve">Phillips, O., and J. S. Miller. 2002. Global patterns of plant diversity: Alwyn h. gentry’s forest transect data set. Missouri Botanical Garden Press St., Louis, Missouri.</w:t>
      </w:r>
    </w:p>
    <w:p>
      <w:pPr>
        <w:pStyle w:val="Bibliography"/>
      </w:pPr>
      <w:r>
        <w:t xml:space="preserve">Pielou, E. 1975. Ecological diversity. Wiley, New York.</w:t>
      </w:r>
    </w:p>
    <w:p>
      <w:pPr>
        <w:pStyle w:val="Bibliography"/>
      </w:pPr>
      <w:r>
        <w:t xml:space="preserve">Pueyo, S., F. He, and T. Zillio. 2007. The maximum entropy formalism and the idiosyncratic theory of biodiversity. Ecology Letters 10:1017–1028.</w:t>
      </w:r>
    </w:p>
    <w:p>
      <w:pPr>
        <w:pStyle w:val="Bibliography"/>
      </w:pPr>
      <w:r>
        <w:t xml:space="preserve">R Core Team. 2015. R: A language and environment for statistical computing. R Foundation for Statistical Computing, Vienna, Austria.</w:t>
      </w:r>
    </w:p>
    <w:p>
      <w:pPr>
        <w:pStyle w:val="Bibliography"/>
      </w:pPr>
      <w:r>
        <w:t xml:space="preserve">Society, N. A. 2002. The christmas bird count historical results. National Audobon Society, New York, New York, USA.</w:t>
      </w:r>
    </w:p>
    <w:p>
      <w:pPr>
        <w:pStyle w:val="Bibliography"/>
      </w:pPr>
      <w:r>
        <w:t xml:space="preserve">Sugihara, G. 1980. Minimal community structure: An explanation of species abundance patterns. American naturalist:770–787.</w:t>
      </w:r>
    </w:p>
    <w:p>
      <w:pPr>
        <w:pStyle w:val="Bibliography"/>
      </w:pPr>
      <w:r>
        <w:t xml:space="preserve">Thibault, K. M., S. R. Supp, M. Giffin, E. P. White, and S. M. Ernest. 2011. Species composition and abundance of mammalian communities: Ecological archives e092-201. Ecology 92:2316–2316.</w:t>
      </w:r>
    </w:p>
    <w:p>
      <w:pPr>
        <w:pStyle w:val="Bibliography"/>
      </w:pPr>
      <w:r>
        <w:t xml:space="preserve">Tokeshi, M. 1993. Species abundance patterns and community structure. Advances in ecological research 24:111–186.</w:t>
      </w:r>
    </w:p>
    <w:p>
      <w:pPr>
        <w:pStyle w:val="Bibliography"/>
      </w:pPr>
      <w:r>
        <w:t xml:space="preserve">Ulrich, W., M. Ollik, and K. I. Ugland. 2010. A meta-analysis of species–abundance distributions. Oikos 119:1149–1155.</w:t>
      </w:r>
    </w:p>
    <w:p>
      <w:pPr>
        <w:pStyle w:val="Bibliography"/>
      </w:pPr>
      <w:r>
        <w:t xml:space="preserve">USDA Forest Service. 2010. Forest inventory and analysis national core field guide (phase 2 and 3). version 4.0. USDA Forest Service, Forest Inventory; Analysis.</w:t>
      </w:r>
    </w:p>
    <w:p>
      <w:pPr>
        <w:pStyle w:val="Bibliography"/>
      </w:pPr>
      <w:r>
        <w:t xml:space="preserve">Van Der Walt, S., S. C. Colbert, and G. Varoquaux. 2011. The numPy array: A structure for efficient numerical computation. Computing in Science &amp; Engineering 13:22–30.</w:t>
      </w:r>
    </w:p>
    <w:p>
      <w:pPr>
        <w:pStyle w:val="Bibliography"/>
      </w:pPr>
      <w:r>
        <w:t xml:space="preserve">Van Rossum, G., and F. L. Drake. 2011. The python language reference manual. Network Theory Ltd.</w:t>
      </w:r>
    </w:p>
    <w:p>
      <w:pPr>
        <w:pStyle w:val="Bibliography"/>
      </w:pPr>
      <w:r>
        <w:t xml:space="preserve">Volkov, I., J. R. Banavar, F. He, S. P. Hubbell, and A. Maritan. 2005. Density dependence explains tree species abundance and diversity in tropical forests. Nature 438:658–661.</w:t>
      </w:r>
    </w:p>
    <w:p>
      <w:pPr>
        <w:pStyle w:val="Bibliography"/>
      </w:pPr>
      <w:r>
        <w:t xml:space="preserve">Volkov, I., J. R. Banavar, S. P. Hubbell, and A. Maritan. 2003. Neutral theory and relative species abundance in ecology. Nature 424:1035–1037.</w:t>
      </w:r>
    </w:p>
    <w:p>
      <w:pPr>
        <w:pStyle w:val="Bibliography"/>
      </w:pPr>
      <w:r>
        <w:t xml:space="preserve">White, E. P., B. J. Enquist, and J. L. Green. 2008. On estimating the exponent of power-law frequency distributions. Ecology 89:905–912.</w:t>
      </w:r>
    </w:p>
    <w:p>
      <w:pPr>
        <w:pStyle w:val="Bibliography"/>
      </w:pPr>
      <w:r>
        <w:t xml:space="preserve">White, E. P., K. M. Thibault, and X. Xiao. 2012. Characterizing species abundance distributions across taxa and ecosystems using a simple maximum entropy model. Ecology 93:1772–1778.</w:t>
      </w:r>
    </w:p>
    <w:p>
      <w:pPr>
        <w:pStyle w:val="Bibliography"/>
      </w:pPr>
      <w:r>
        <w:t xml:space="preserve">Wickham, H. 2009. Ggplot2: Elegant graphics for data analysis. Springer-Verlag New York.</w:t>
      </w:r>
    </w:p>
    <w:p>
      <w:pPr>
        <w:pStyle w:val="Bibliography"/>
      </w:pPr>
      <w:r>
        <w:t xml:space="preserve">Wickham, H. 2016. Tidyr: Easily tidy data with ‘spread()‘ and ‘gather()‘ functions.</w:t>
      </w:r>
    </w:p>
    <w:p>
      <w:pPr>
        <w:pStyle w:val="Bibliography"/>
      </w:pPr>
      <w:r>
        <w:t xml:space="preserve">Wickham, H., and R. Francois. 2016. Dplyr: A grammar of data manipulation.</w:t>
      </w:r>
    </w:p>
    <w:p>
      <w:pPr>
        <w:pStyle w:val="Bibliography"/>
      </w:pPr>
      <w:r>
        <w:t xml:space="preserve">Xiao, X., D. J. McGlinn, and E. P. White. 2015. A strong test of the maximum entropy theory of ecology. American Naturalist.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94548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eecology/macroecotools" TargetMode="External" /><Relationship Type="http://schemas.openxmlformats.org/officeDocument/2006/relationships/hyperlink" Id="rId30" Target="https://github.com/weecology/sad-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