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F52BF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540" w:firstLineChars="200"/>
        <w:textAlignment w:val="baseline"/>
        <w:rPr>
          <w:rFonts w:hint="eastAsia" w:ascii="仿宋_GB2312" w:hAnsi="仿宋_GB2312" w:eastAsia="仿宋_GB2312" w:cs="仿宋_GB2312"/>
          <w:spacing w:val="-5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-5"/>
          <w:sz w:val="28"/>
          <w:szCs w:val="28"/>
        </w:rPr>
        <w:t>2018年，文化和旅游部组建，文旅融合进入系统推进阶段；全国教育大会强调落实立德树人根本任务，职业教育加快由规模扩张转向内涵提升。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  <w:lang w:val="en-US" w:eastAsia="zh-CN"/>
        </w:rPr>
        <w:t>由此，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</w:rPr>
        <w:t>旅游类人才培养既要提升红色文化传播与职业能力，又要适应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  <w:lang w:val="en-US" w:eastAsia="zh-CN"/>
        </w:rPr>
        <w:t>产业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</w:rPr>
        <w:t>对数字素养的新需求。实践中，仍存在</w:t>
      </w:r>
      <w:r>
        <w:rPr>
          <w:rFonts w:hint="eastAsia" w:ascii="仿宋_GB2312" w:hAnsi="仿宋_GB2312" w:eastAsia="仿宋_GB2312" w:cs="仿宋_GB2312"/>
          <w:b/>
          <w:bCs/>
          <w:spacing w:val="-5"/>
          <w:sz w:val="28"/>
          <w:szCs w:val="28"/>
        </w:rPr>
        <w:t>育人目标统合不够、红旅资源转化不深、实践场景贯通不足、知行转化评价不准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</w:rPr>
        <w:t>等问题。</w:t>
      </w:r>
    </w:p>
    <w:p w14:paraId="29AE829A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540" w:firstLineChars="200"/>
        <w:textAlignment w:val="baseline"/>
        <w:rPr>
          <w:rFonts w:hint="eastAsia" w:ascii="仿宋_GB2312" w:hAnsi="仿宋_GB2312" w:eastAsia="仿宋_GB2312" w:cs="仿宋_GB2312"/>
          <w:spacing w:val="-5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-5"/>
          <w:sz w:val="28"/>
          <w:szCs w:val="28"/>
        </w:rPr>
        <w:t>围绕上述问题，成果依托2018年山东省高等学校人文社会科学项目《“工匠精神”为内核的高职旅游专业人才职业素养培育研究》启动探索，2019年形成阶段性成果并进入实践检验，经过六年多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  <w:lang w:val="en-US" w:eastAsia="zh-CN"/>
        </w:rPr>
        <w:t>实践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</w:rPr>
        <w:t>，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  <w:lang w:val="en-US" w:eastAsia="zh-CN"/>
        </w:rPr>
        <w:t>构建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</w:rPr>
        <w:t>了“红智双融·场景贯通·知行转化”的大思政实践育人模式。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  <w:lang w:val="en-US" w:eastAsia="zh-CN"/>
        </w:rPr>
        <w:t>模式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</w:rPr>
        <w:t>以立德树人为根本遵循，吸收情境学习、知行合一和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  <w:lang w:val="en-US" w:eastAsia="zh-CN"/>
        </w:rPr>
        <w:t>具身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</w:rPr>
        <w:t>学习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  <w:lang w:val="en-US" w:eastAsia="zh-CN"/>
        </w:rPr>
        <w:t>理论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</w:rPr>
        <w:t>，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  <w:lang w:val="en-US" w:eastAsia="zh-CN"/>
        </w:rPr>
        <w:t>以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</w:rPr>
        <w:t>“红智双融”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  <w:lang w:val="en-US" w:eastAsia="zh-CN"/>
        </w:rPr>
        <w:t>为育人理念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</w:rPr>
        <w:t>，以“场景贯通”为实践路径，以“知行转化”为育人指向，构建“目标融通—课程转译—场景贯通—智能循证”四环联动运行机制，推动价值塑造、职业能力培养和数智素养提升统一于人才培养全过程。</w:t>
      </w:r>
    </w:p>
    <w:p w14:paraId="11B34422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540" w:firstLineChars="200"/>
        <w:textAlignment w:val="baseline"/>
        <w:rPr>
          <w:rFonts w:hint="eastAsia" w:ascii="仿宋_GB2312" w:hAnsi="仿宋_GB2312" w:eastAsia="仿宋_GB2312" w:cs="仿宋_GB2312"/>
          <w:spacing w:val="-5"/>
          <w:sz w:val="28"/>
          <w:szCs w:val="28"/>
        </w:rPr>
      </w:pPr>
      <w:r>
        <w:rPr>
          <w:rFonts w:hint="eastAsia" w:ascii="仿宋_GB2312" w:hAnsi="仿宋_GB2312" w:eastAsia="仿宋_GB2312" w:cs="仿宋_GB2312"/>
          <w:spacing w:val="-5"/>
          <w:sz w:val="28"/>
          <w:szCs w:val="28"/>
        </w:rPr>
        <w:t>按照“价值引领、情境实践、人机协同、循证改进”的理论转化路径，形成四项递进式改革举措。</w:t>
      </w:r>
      <w:r>
        <w:rPr>
          <w:rFonts w:hint="eastAsia" w:ascii="仿宋_GB2312" w:hAnsi="仿宋_GB2312" w:eastAsia="仿宋_GB2312" w:cs="仿宋_GB2312"/>
          <w:b/>
          <w:bCs/>
          <w:spacing w:val="-5"/>
          <w:sz w:val="28"/>
          <w:szCs w:val="28"/>
        </w:rPr>
        <w:t>目标融通，以“红智双融”重塑育人</w:t>
      </w:r>
      <w:r>
        <w:rPr>
          <w:rFonts w:hint="eastAsia" w:ascii="仿宋_GB2312" w:hAnsi="仿宋_GB2312" w:eastAsia="仿宋_GB2312" w:cs="仿宋_GB2312"/>
          <w:b/>
          <w:bCs/>
          <w:spacing w:val="-5"/>
          <w:sz w:val="28"/>
          <w:szCs w:val="28"/>
          <w:lang w:val="en-US" w:eastAsia="zh-CN"/>
        </w:rPr>
        <w:t>目标</w:t>
      </w:r>
      <w:r>
        <w:rPr>
          <w:rFonts w:hint="eastAsia" w:ascii="仿宋_GB2312" w:hAnsi="仿宋_GB2312" w:eastAsia="仿宋_GB2312" w:cs="仿宋_GB2312"/>
          <w:b/>
          <w:bCs/>
          <w:spacing w:val="-5"/>
          <w:sz w:val="28"/>
          <w:szCs w:val="28"/>
        </w:rPr>
        <w:t>，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</w:rPr>
        <w:t>将红色文化传播力、旅游职业胜任力、人工智能应用力和社会责任担当纳入人才培养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  <w:lang w:val="en-US" w:eastAsia="zh-CN"/>
        </w:rPr>
        <w:t>全过程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/>
          <w:bCs/>
          <w:spacing w:val="-5"/>
          <w:sz w:val="28"/>
          <w:szCs w:val="28"/>
        </w:rPr>
        <w:t>课程转译，以双线课程激活红旅资源，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</w:rPr>
        <w:t>通过习近平文化思想“三进”示范课、垂直大模型“白泽”，将红色资源转化为讲解词撰写、智慧导览服务等课程任务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/>
          <w:bCs/>
          <w:spacing w:val="-5"/>
          <w:sz w:val="28"/>
          <w:szCs w:val="28"/>
        </w:rPr>
        <w:t>场景贯通，以六景协同延展育人时空，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</w:rPr>
        <w:t>贯通专业课堂、虚拟课堂、行走课堂、景区课堂、项目课堂、竞赛课堂，形成从认知学习、模拟训练、实景实践到项目应用的连续育人链条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  <w:lang w:eastAsia="zh-CN"/>
        </w:rPr>
        <w:t>；</w:t>
      </w:r>
      <w:r>
        <w:rPr>
          <w:rFonts w:hint="eastAsia" w:ascii="仿宋_GB2312" w:hAnsi="仿宋_GB2312" w:eastAsia="仿宋_GB2312" w:cs="仿宋_GB2312"/>
          <w:b/>
          <w:bCs/>
          <w:spacing w:val="-5"/>
          <w:sz w:val="28"/>
          <w:szCs w:val="28"/>
        </w:rPr>
        <w:t>智能循证，以数智评价驱动知行转化，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</w:rPr>
        <w:t>依托“白泽”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  <w:lang w:val="en-US" w:eastAsia="zh-CN"/>
        </w:rPr>
        <w:t>进行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</w:rPr>
        <w:t>智能反馈和数字画像评价，建立价值认同、职业表达、数字传播、岗位服务四维评价闭环。</w:t>
      </w:r>
    </w:p>
    <w:p w14:paraId="7B11A1D8">
      <w:r>
        <w:rPr>
          <w:rFonts w:hint="eastAsia" w:ascii="仿宋_GB2312" w:hAnsi="仿宋_GB2312" w:eastAsia="仿宋_GB2312" w:cs="仿宋_GB2312"/>
          <w:spacing w:val="-5"/>
          <w:sz w:val="28"/>
          <w:szCs w:val="28"/>
        </w:rPr>
        <w:t>成果实施以来，学生完成红色短视频1200个，获省级以上技能竞赛奖项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  <w:lang w:val="en-US" w:eastAsia="zh-CN"/>
        </w:rPr>
        <w:t>39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</w:rPr>
        <w:t>项。旅游管理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  <w:lang w:val="en-US" w:eastAsia="zh-CN"/>
        </w:rPr>
        <w:t>等</w:t>
      </w:r>
      <w:r>
        <w:rPr>
          <w:rFonts w:hint="eastAsia" w:ascii="仿宋_GB2312" w:hAnsi="仿宋_GB2312" w:eastAsia="仿宋_GB2312" w:cs="仿宋_GB2312"/>
          <w:spacing w:val="-5"/>
          <w:sz w:val="28"/>
          <w:szCs w:val="28"/>
        </w:rPr>
        <w:t>3个专业群建成省级高水平专业群，5个专业通过联合国世界旅游组织教育质量认证，建成省级教学团队6个、黄大年式教师团队1个，出版国家规划教材7部。学校牵头制定旅行社经营与管理专业国家教学标准，牵头开发5个省级专业教学标准；“白泽”完成302门专业课智能化改造，获省级典型案例等5项认定。依托产教融合共同体辐射130余家单位，被《中国青年报》《中国文化报》、学习强国等主流媒体报道，为旅游类职业教育落实立德树人、推进教育数字化转型提供了可复制、可推广的实践方案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7F889A"/>
    <w:rsid w:val="FB7BA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Text"/>
    <w:basedOn w:val="1"/>
    <w:semiHidden/>
    <w:qFormat/>
    <w:uiPriority w:val="0"/>
    <w:rPr>
      <w:rFonts w:ascii="FangSong_GB2312" w:hAnsi="FangSong_GB2312" w:eastAsia="FangSong_GB2312" w:cs="FangSong_GB2312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2026-06-23T17:57:00Z</dcterms:created>
  <dc:creator>Data</dc:creator>
  <cp:lastModifiedBy>迪恒投影、融合器厂家～CR7</cp:lastModifiedBy>
  <dcterms:modified xsi:type="dcterms:W3CDTF">2026-06-23T10:47:04Z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394AFC3D57342C6027E8396A1C7B0C8F_42</vt:lpwstr>
  </property>
</Properties>
</file>