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3B76A">
      <w:pPr>
        <w:rPr>
          <w:rFonts w:ascii="宋体" w:hAnsi="宋体" w:eastAsia="宋体" w:cs="宋体"/>
          <w:sz w:val="24"/>
          <w:szCs w:val="24"/>
        </w:rPr>
      </w:pPr>
    </w:p>
    <w:p w14:paraId="6C78C170">
      <w:pPr>
        <w:rPr>
          <w:rFonts w:ascii="宋体" w:hAnsi="宋体" w:eastAsia="宋体" w:cs="宋体"/>
          <w:sz w:val="24"/>
          <w:szCs w:val="24"/>
        </w:rPr>
      </w:pPr>
    </w:p>
    <w:p w14:paraId="5B129F84">
      <w:pPr>
        <w:rPr>
          <w:rFonts w:hint="eastAsia" w:ascii="宋体" w:hAnsi="宋体" w:eastAsia="宋体" w:cs="宋体"/>
          <w:sz w:val="24"/>
          <w:szCs w:val="24"/>
          <w:lang w:val="en-US" w:eastAsia="zh-CN"/>
        </w:rPr>
      </w:pPr>
    </w:p>
    <w:p w14:paraId="21D1AA79">
      <w:pPr>
        <w:jc w:val="left"/>
        <w:rPr>
          <w:rFonts w:hint="eastAsia" w:ascii="方正大标宋简体" w:hAnsi="方正大标宋简体" w:eastAsia="方正大标宋简体" w:cs="方正大标宋简体"/>
          <w:sz w:val="32"/>
          <w:szCs w:val="32"/>
          <w:lang w:val="en-US" w:eastAsia="zh-CN"/>
        </w:rPr>
      </w:pPr>
      <w:r>
        <w:rPr>
          <w:rFonts w:hint="eastAsia" w:ascii="方正大标宋简体" w:hAnsi="方正大标宋简体" w:eastAsia="方正大标宋简体" w:cs="方正大标宋简体"/>
          <w:sz w:val="32"/>
          <w:szCs w:val="32"/>
          <w:lang w:val="en-US" w:eastAsia="zh-CN"/>
        </w:rPr>
        <w:t>2026年职业教育教学成果奖</w:t>
      </w:r>
    </w:p>
    <w:p w14:paraId="3DF3FD77">
      <w:pPr>
        <w:jc w:val="center"/>
        <w:rPr>
          <w:rFonts w:hint="eastAsia" w:ascii="方正大标宋简体" w:hAnsi="方正大标宋简体" w:eastAsia="方正大标宋简体" w:cs="方正大标宋简体"/>
          <w:sz w:val="44"/>
          <w:szCs w:val="44"/>
          <w:lang w:val="en-US" w:eastAsia="zh-CN"/>
        </w:rPr>
      </w:pPr>
    </w:p>
    <w:p w14:paraId="641E7146">
      <w:pPr>
        <w:jc w:val="center"/>
        <w:rPr>
          <w:rFonts w:hint="default" w:ascii="方正大标宋简体" w:hAnsi="方正大标宋简体" w:eastAsia="方正大标宋简体" w:cs="方正大标宋简体"/>
          <w:sz w:val="52"/>
          <w:szCs w:val="52"/>
          <w:lang w:val="en-US" w:eastAsia="zh-CN"/>
        </w:rPr>
      </w:pPr>
      <w:r>
        <w:rPr>
          <w:rFonts w:hint="eastAsia" w:ascii="方正大标宋简体" w:hAnsi="方正大标宋简体" w:eastAsia="方正大标宋简体" w:cs="方正大标宋简体"/>
          <w:sz w:val="52"/>
          <w:szCs w:val="52"/>
          <w:lang w:val="en-US" w:eastAsia="zh-CN"/>
        </w:rPr>
        <w:t>教学成果总结报告</w:t>
      </w:r>
    </w:p>
    <w:p w14:paraId="77777A5E">
      <w:pPr>
        <w:rPr>
          <w:rFonts w:ascii="宋体" w:hAnsi="宋体" w:eastAsia="宋体" w:cs="宋体"/>
          <w:sz w:val="24"/>
          <w:szCs w:val="24"/>
        </w:rPr>
      </w:pPr>
    </w:p>
    <w:p w14:paraId="7EE10BB3">
      <w:pPr>
        <w:rPr>
          <w:rFonts w:ascii="宋体" w:hAnsi="宋体" w:eastAsia="宋体" w:cs="宋体"/>
          <w:sz w:val="24"/>
          <w:szCs w:val="24"/>
        </w:rPr>
      </w:pPr>
    </w:p>
    <w:p w14:paraId="7778C0E8">
      <w:pPr>
        <w:jc w:val="center"/>
        <w:rPr>
          <w:rFonts w:hint="eastAsia" w:ascii="方正大标宋简体" w:hAnsi="方正大标宋简体" w:eastAsia="方正大标宋简体" w:cs="方正大标宋简体"/>
          <w:sz w:val="44"/>
          <w:szCs w:val="44"/>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2"/>
        <w:gridCol w:w="6150"/>
      </w:tblGrid>
      <w:tr w14:paraId="0E78A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72" w:type="dxa"/>
          </w:tcPr>
          <w:p w14:paraId="606B6129">
            <w:pPr>
              <w:jc w:val="center"/>
              <w:rPr>
                <w:rFonts w:hint="eastAsia" w:ascii="仿宋_GB2312" w:hAnsi="仿宋_GB2312" w:eastAsia="仿宋_GB2312" w:cs="仿宋_GB2312"/>
                <w:sz w:val="32"/>
                <w:szCs w:val="32"/>
                <w:vertAlign w:val="baseline"/>
              </w:rPr>
            </w:pPr>
            <w:r>
              <w:rPr>
                <w:rFonts w:hint="eastAsia" w:ascii="仿宋_GB2312" w:hAnsi="仿宋_GB2312" w:eastAsia="仿宋_GB2312" w:cs="仿宋_GB2312"/>
                <w:sz w:val="32"/>
                <w:szCs w:val="32"/>
                <w:lang w:val="en-US" w:eastAsia="zh-CN"/>
              </w:rPr>
              <w:t>成果名称</w:t>
            </w:r>
          </w:p>
        </w:tc>
        <w:tc>
          <w:tcPr>
            <w:tcW w:w="6150" w:type="dxa"/>
          </w:tcPr>
          <w:p w14:paraId="6B87A0E3">
            <w:pPr>
              <w:jc w:val="center"/>
              <w:rPr>
                <w:rFonts w:hint="eastAsia" w:ascii="仿宋_GB2312" w:hAnsi="仿宋_GB2312" w:eastAsia="仿宋_GB2312" w:cs="仿宋_GB2312"/>
                <w:sz w:val="32"/>
                <w:szCs w:val="32"/>
                <w:u w:val="single"/>
              </w:rPr>
            </w:pPr>
            <w:r>
              <w:rPr>
                <w:rFonts w:hint="eastAsia" w:ascii="仿宋_GB2312" w:hAnsi="Calibri" w:eastAsia="仿宋_GB2312" w:cs="Times New Roman"/>
                <w:sz w:val="32"/>
                <w:szCs w:val="29"/>
                <w:u w:val="single"/>
                <w:lang w:val="en-US" w:eastAsia="zh-CN"/>
              </w:rPr>
              <w:t>红旅铸魂·数智赋能：旅游类专业“红智双融·螺旋递进”育人模式创新与实践</w:t>
            </w:r>
          </w:p>
          <w:p w14:paraId="50521F41">
            <w:pPr>
              <w:jc w:val="center"/>
              <w:rPr>
                <w:rFonts w:hint="eastAsia" w:ascii="仿宋_GB2312" w:hAnsi="仿宋_GB2312" w:eastAsia="仿宋_GB2312" w:cs="仿宋_GB2312"/>
                <w:sz w:val="32"/>
                <w:szCs w:val="32"/>
                <w:vertAlign w:val="baseline"/>
              </w:rPr>
            </w:pPr>
          </w:p>
        </w:tc>
      </w:tr>
      <w:tr w14:paraId="6D2BF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72" w:type="dxa"/>
          </w:tcPr>
          <w:p w14:paraId="3208D775">
            <w:pPr>
              <w:jc w:val="cente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成果完成人</w:t>
            </w:r>
          </w:p>
        </w:tc>
        <w:tc>
          <w:tcPr>
            <w:tcW w:w="6150" w:type="dxa"/>
          </w:tcPr>
          <w:p w14:paraId="0E021B44">
            <w:pPr>
              <w:jc w:val="center"/>
              <w:rPr>
                <w:rFonts w:hint="default" w:ascii="仿宋_GB2312" w:hAnsi="仿宋_GB2312" w:eastAsia="仿宋_GB2312" w:cs="仿宋_GB2312"/>
                <w:sz w:val="32"/>
                <w:szCs w:val="32"/>
                <w:lang w:val="en-US" w:eastAsia="zh-CN"/>
              </w:rPr>
            </w:pPr>
            <w:r>
              <w:rPr>
                <w:rFonts w:hint="eastAsia" w:ascii="仿宋_GB2312" w:hAnsi="Calibri" w:eastAsia="仿宋_GB2312" w:cs="Times New Roman"/>
                <w:sz w:val="32"/>
                <w:szCs w:val="29"/>
                <w:u w:val="single"/>
                <w:lang w:val="en-US" w:eastAsia="zh-CN"/>
              </w:rPr>
              <w:t>韩爱霞、魏凯、刘正华、刘若轩、张晓国、张方蒙、王伟亚、龚芹、刘元甲</w:t>
            </w:r>
          </w:p>
        </w:tc>
      </w:tr>
      <w:tr w14:paraId="05A6C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72" w:type="dxa"/>
          </w:tcPr>
          <w:p w14:paraId="69A7900F">
            <w:pPr>
              <w:jc w:val="center"/>
              <w:rPr>
                <w:rFonts w:hint="eastAsia" w:ascii="仿宋_GB2312" w:hAnsi="仿宋_GB2312" w:eastAsia="仿宋_GB2312" w:cs="仿宋_GB2312"/>
                <w:sz w:val="32"/>
                <w:szCs w:val="32"/>
                <w:lang w:val="en-US" w:eastAsia="zh-CN"/>
              </w:rPr>
            </w:pPr>
          </w:p>
        </w:tc>
        <w:tc>
          <w:tcPr>
            <w:tcW w:w="6150" w:type="dxa"/>
          </w:tcPr>
          <w:p w14:paraId="071D32CC">
            <w:pPr>
              <w:jc w:val="center"/>
              <w:rPr>
                <w:rFonts w:hint="eastAsia" w:ascii="仿宋_GB2312" w:hAnsi="仿宋_GB2312" w:eastAsia="仿宋_GB2312" w:cs="仿宋_GB2312"/>
                <w:sz w:val="32"/>
                <w:szCs w:val="32"/>
                <w:lang w:val="en-US" w:eastAsia="zh-CN"/>
              </w:rPr>
            </w:pPr>
          </w:p>
        </w:tc>
      </w:tr>
    </w:tbl>
    <w:p w14:paraId="59ECBB5C">
      <w:pPr>
        <w:jc w:val="center"/>
        <w:rPr>
          <w:rFonts w:hint="eastAsia" w:ascii="方正大标宋简体" w:hAnsi="方正大标宋简体" w:eastAsia="方正大标宋简体" w:cs="方正大标宋简体"/>
          <w:sz w:val="44"/>
          <w:szCs w:val="44"/>
        </w:rPr>
      </w:pPr>
    </w:p>
    <w:p w14:paraId="585CA8FC">
      <w:pPr>
        <w:jc w:val="center"/>
        <w:rPr>
          <w:rFonts w:hint="eastAsia" w:ascii="方正大标宋简体" w:hAnsi="方正大标宋简体" w:eastAsia="方正大标宋简体" w:cs="方正大标宋简体"/>
          <w:sz w:val="44"/>
          <w:szCs w:val="44"/>
        </w:rPr>
      </w:pPr>
    </w:p>
    <w:p w14:paraId="07C52401">
      <w:pPr>
        <w:rPr>
          <w:rFonts w:ascii="宋体" w:hAnsi="宋体" w:eastAsia="宋体" w:cs="宋体"/>
          <w:sz w:val="24"/>
          <w:szCs w:val="24"/>
        </w:rPr>
      </w:pPr>
    </w:p>
    <w:p w14:paraId="63EEEC39">
      <w:pPr>
        <w:rPr>
          <w:rFonts w:ascii="宋体" w:hAnsi="宋体" w:eastAsia="宋体" w:cs="宋体"/>
          <w:sz w:val="24"/>
          <w:szCs w:val="24"/>
        </w:rPr>
      </w:pPr>
    </w:p>
    <w:p w14:paraId="72941E4B">
      <w:pPr>
        <w:rPr>
          <w:rFonts w:ascii="宋体" w:hAnsi="宋体" w:eastAsia="宋体" w:cs="宋体"/>
          <w:sz w:val="24"/>
          <w:szCs w:val="24"/>
        </w:rPr>
      </w:pPr>
    </w:p>
    <w:p w14:paraId="2D913DD4">
      <w:pPr>
        <w:rPr>
          <w:rFonts w:ascii="宋体" w:hAnsi="宋体" w:eastAsia="宋体" w:cs="宋体"/>
          <w:sz w:val="24"/>
          <w:szCs w:val="24"/>
        </w:rPr>
      </w:pPr>
    </w:p>
    <w:p w14:paraId="0D7BCF69">
      <w:pPr>
        <w:rPr>
          <w:rFonts w:ascii="宋体" w:hAnsi="宋体" w:eastAsia="宋体" w:cs="宋体"/>
          <w:sz w:val="24"/>
          <w:szCs w:val="24"/>
        </w:rPr>
      </w:pPr>
    </w:p>
    <w:p w14:paraId="5F352F01">
      <w:pPr>
        <w:rPr>
          <w:rFonts w:ascii="宋体" w:hAnsi="宋体" w:eastAsia="宋体" w:cs="宋体"/>
          <w:sz w:val="24"/>
          <w:szCs w:val="24"/>
        </w:rPr>
      </w:pPr>
    </w:p>
    <w:p w14:paraId="4FF94A44">
      <w:pPr>
        <w:rPr>
          <w:rFonts w:ascii="宋体" w:hAnsi="宋体" w:eastAsia="宋体" w:cs="宋体"/>
          <w:sz w:val="24"/>
          <w:szCs w:val="24"/>
        </w:rPr>
      </w:pPr>
    </w:p>
    <w:p w14:paraId="43E7A58B">
      <w:pPr>
        <w:rPr>
          <w:rFonts w:ascii="宋体" w:hAnsi="宋体" w:eastAsia="宋体" w:cs="宋体"/>
          <w:sz w:val="24"/>
          <w:szCs w:val="24"/>
        </w:rPr>
      </w:pPr>
    </w:p>
    <w:p w14:paraId="1BF61D9A">
      <w:pPr>
        <w:rPr>
          <w:rFonts w:ascii="宋体" w:hAnsi="宋体" w:eastAsia="宋体" w:cs="宋体"/>
          <w:sz w:val="24"/>
          <w:szCs w:val="24"/>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21"/>
          <w:szCs w:val="24"/>
          <w:lang w:val="en-US" w:eastAsia="zh-CN" w:bidi="ar-SA"/>
        </w:rPr>
        <w:id w:val="147456627"/>
        <w15:color w:val="DBDBDB"/>
        <w:docPartObj>
          <w:docPartGallery w:val="Table of Contents"/>
          <w:docPartUnique/>
        </w:docPartObj>
      </w:sdtPr>
      <w:sdtEndPr>
        <w:rPr>
          <w:rFonts w:ascii="宋体" w:hAnsi="宋体" w:eastAsia="宋体" w:cs="宋体"/>
          <w:kern w:val="2"/>
          <w:sz w:val="24"/>
          <w:szCs w:val="24"/>
          <w:lang w:val="en-US" w:eastAsia="zh-CN" w:bidi="ar-SA"/>
        </w:rPr>
      </w:sdtEndPr>
      <w:sdtContent>
        <w:p w14:paraId="59914B27">
          <w:pPr>
            <w:spacing w:before="0" w:beforeLines="0" w:after="0" w:afterLines="0" w:line="240" w:lineRule="auto"/>
            <w:ind w:left="0" w:leftChars="0" w:right="0" w:rightChars="0" w:firstLine="0" w:firstLineChars="0"/>
            <w:jc w:val="center"/>
            <w:rPr>
              <w:sz w:val="32"/>
              <w:szCs w:val="32"/>
            </w:rPr>
          </w:pPr>
          <w:r>
            <w:rPr>
              <w:rFonts w:ascii="宋体" w:hAnsi="宋体" w:eastAsia="宋体"/>
              <w:sz w:val="32"/>
              <w:szCs w:val="32"/>
            </w:rPr>
            <w:t>目录</w:t>
          </w:r>
        </w:p>
        <w:p w14:paraId="78BBE7BE">
          <w:pPr>
            <w:pStyle w:val="5"/>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TOC \o "1-3" \h \u </w:instrText>
          </w:r>
          <w:r>
            <w:rPr>
              <w:rFonts w:ascii="宋体" w:hAnsi="宋体" w:eastAsia="宋体" w:cs="宋体"/>
              <w:kern w:val="2"/>
              <w:sz w:val="24"/>
              <w:szCs w:val="24"/>
              <w:lang w:val="en-US" w:eastAsia="zh-CN" w:bidi="ar-SA"/>
            </w:rPr>
            <w:fldChar w:fldCharType="separate"/>
          </w: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_Toc15486 </w:instrText>
          </w:r>
          <w:r>
            <w:rPr>
              <w:rFonts w:ascii="宋体" w:hAnsi="宋体" w:eastAsia="宋体" w:cs="宋体"/>
              <w:kern w:val="2"/>
              <w:sz w:val="24"/>
              <w:szCs w:val="24"/>
              <w:lang w:val="en-US" w:eastAsia="zh-CN" w:bidi="ar-SA"/>
            </w:rPr>
            <w:fldChar w:fldCharType="separate"/>
          </w:r>
          <w:r>
            <w:rPr>
              <w:rFonts w:hint="eastAsia" w:ascii="黑体" w:hAnsi="黑体" w:eastAsia="黑体" w:cs="黑体"/>
              <w:sz w:val="24"/>
              <w:szCs w:val="24"/>
            </w:rPr>
            <w:t>一</w:t>
          </w:r>
          <w:r>
            <w:rPr>
              <w:rFonts w:hint="eastAsia" w:ascii="黑体" w:hAnsi="黑体" w:eastAsia="黑体" w:cs="黑体"/>
              <w:sz w:val="24"/>
              <w:szCs w:val="24"/>
              <w:lang w:eastAsia="zh-CN"/>
            </w:rPr>
            <w:t>、</w:t>
          </w:r>
          <w:r>
            <w:rPr>
              <w:rFonts w:hint="eastAsia" w:ascii="黑体" w:hAnsi="黑体" w:eastAsia="黑体" w:cs="黑体"/>
              <w:sz w:val="24"/>
              <w:szCs w:val="24"/>
            </w:rPr>
            <w:t>成果背景与问题</w:t>
          </w:r>
          <w:r>
            <w:rPr>
              <w:rFonts w:hint="eastAsia" w:ascii="黑体" w:hAnsi="黑体" w:eastAsia="黑体" w:cs="黑体"/>
              <w:sz w:val="24"/>
              <w:szCs w:val="24"/>
              <w:lang w:val="en-US" w:eastAsia="zh-CN"/>
            </w:rPr>
            <w:t>指向</w:t>
          </w:r>
          <w:r>
            <w:rPr>
              <w:sz w:val="24"/>
              <w:szCs w:val="24"/>
            </w:rPr>
            <w:tab/>
          </w:r>
          <w:r>
            <w:rPr>
              <w:sz w:val="24"/>
              <w:szCs w:val="24"/>
            </w:rPr>
            <w:fldChar w:fldCharType="begin"/>
          </w:r>
          <w:r>
            <w:rPr>
              <w:sz w:val="24"/>
              <w:szCs w:val="24"/>
            </w:rPr>
            <w:instrText xml:space="preserve"> PAGEREF _Toc15486 \h </w:instrText>
          </w:r>
          <w:r>
            <w:rPr>
              <w:sz w:val="24"/>
              <w:szCs w:val="24"/>
            </w:rPr>
            <w:fldChar w:fldCharType="separate"/>
          </w:r>
          <w:r>
            <w:rPr>
              <w:sz w:val="24"/>
              <w:szCs w:val="24"/>
            </w:rPr>
            <w:t>2</w:t>
          </w:r>
          <w:r>
            <w:rPr>
              <w:sz w:val="24"/>
              <w:szCs w:val="24"/>
            </w:rPr>
            <w:fldChar w:fldCharType="end"/>
          </w:r>
          <w:r>
            <w:rPr>
              <w:rFonts w:ascii="宋体" w:hAnsi="宋体" w:eastAsia="宋体" w:cs="宋体"/>
              <w:kern w:val="2"/>
              <w:sz w:val="24"/>
              <w:szCs w:val="24"/>
              <w:lang w:val="en-US" w:eastAsia="zh-CN" w:bidi="ar-SA"/>
            </w:rPr>
            <w:fldChar w:fldCharType="end"/>
          </w:r>
        </w:p>
        <w:p w14:paraId="365D5CF2">
          <w:pPr>
            <w:pStyle w:val="5"/>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_Toc25657 </w:instrText>
          </w:r>
          <w:r>
            <w:rPr>
              <w:rFonts w:ascii="宋体" w:hAnsi="宋体" w:eastAsia="宋体" w:cs="宋体"/>
              <w:kern w:val="2"/>
              <w:sz w:val="24"/>
              <w:szCs w:val="24"/>
              <w:lang w:val="en-US" w:eastAsia="zh-CN" w:bidi="ar-SA"/>
            </w:rPr>
            <w:fldChar w:fldCharType="separate"/>
          </w:r>
          <w:r>
            <w:rPr>
              <w:rFonts w:hint="eastAsia" w:ascii="黑体" w:hAnsi="黑体" w:eastAsia="黑体" w:cs="黑体"/>
              <w:sz w:val="24"/>
              <w:szCs w:val="24"/>
              <w:lang w:val="en-US" w:eastAsia="zh-CN"/>
            </w:rPr>
            <w:t>二、解决问题的方法与过程</w:t>
          </w:r>
          <w:r>
            <w:rPr>
              <w:sz w:val="24"/>
              <w:szCs w:val="24"/>
            </w:rPr>
            <w:tab/>
          </w:r>
          <w:r>
            <w:rPr>
              <w:sz w:val="24"/>
              <w:szCs w:val="24"/>
            </w:rPr>
            <w:fldChar w:fldCharType="begin"/>
          </w:r>
          <w:r>
            <w:rPr>
              <w:sz w:val="24"/>
              <w:szCs w:val="24"/>
            </w:rPr>
            <w:instrText xml:space="preserve"> PAGEREF _Toc25657 \h </w:instrText>
          </w:r>
          <w:r>
            <w:rPr>
              <w:sz w:val="24"/>
              <w:szCs w:val="24"/>
            </w:rPr>
            <w:fldChar w:fldCharType="separate"/>
          </w:r>
          <w:r>
            <w:rPr>
              <w:sz w:val="24"/>
              <w:szCs w:val="24"/>
            </w:rPr>
            <w:t>3</w:t>
          </w:r>
          <w:r>
            <w:rPr>
              <w:sz w:val="24"/>
              <w:szCs w:val="24"/>
            </w:rPr>
            <w:fldChar w:fldCharType="end"/>
          </w:r>
          <w:r>
            <w:rPr>
              <w:rFonts w:ascii="宋体" w:hAnsi="宋体" w:eastAsia="宋体" w:cs="宋体"/>
              <w:kern w:val="2"/>
              <w:sz w:val="24"/>
              <w:szCs w:val="24"/>
              <w:lang w:val="en-US" w:eastAsia="zh-CN" w:bidi="ar-SA"/>
            </w:rPr>
            <w:fldChar w:fldCharType="end"/>
          </w:r>
        </w:p>
        <w:p w14:paraId="4BDBF643">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_Toc23903 </w:instrText>
          </w:r>
          <w:r>
            <w:rPr>
              <w:rFonts w:ascii="宋体" w:hAnsi="宋体" w:eastAsia="宋体" w:cs="宋体"/>
              <w:kern w:val="2"/>
              <w:sz w:val="24"/>
              <w:szCs w:val="24"/>
              <w:lang w:val="en-US" w:eastAsia="zh-CN" w:bidi="ar-SA"/>
            </w:rPr>
            <w:fldChar w:fldCharType="separate"/>
          </w:r>
          <w:r>
            <w:rPr>
              <w:rFonts w:hint="eastAsia" w:ascii="仿宋_GB2312" w:hAnsi="仿宋_GB2312" w:eastAsia="仿宋_GB2312" w:cs="仿宋_GB2312"/>
              <w:bCs/>
              <w:sz w:val="24"/>
              <w:szCs w:val="24"/>
              <w:lang w:val="en-US" w:eastAsia="zh-CN"/>
            </w:rPr>
            <w:t>（一）构建“红智双融·螺旋递进”人才培养模式</w:t>
          </w:r>
          <w:r>
            <w:rPr>
              <w:sz w:val="24"/>
              <w:szCs w:val="24"/>
            </w:rPr>
            <w:tab/>
          </w:r>
          <w:r>
            <w:rPr>
              <w:sz w:val="24"/>
              <w:szCs w:val="24"/>
            </w:rPr>
            <w:fldChar w:fldCharType="begin"/>
          </w:r>
          <w:r>
            <w:rPr>
              <w:sz w:val="24"/>
              <w:szCs w:val="24"/>
            </w:rPr>
            <w:instrText xml:space="preserve"> PAGEREF _Toc23903 \h </w:instrText>
          </w:r>
          <w:r>
            <w:rPr>
              <w:sz w:val="24"/>
              <w:szCs w:val="24"/>
            </w:rPr>
            <w:fldChar w:fldCharType="separate"/>
          </w:r>
          <w:r>
            <w:rPr>
              <w:sz w:val="24"/>
              <w:szCs w:val="24"/>
            </w:rPr>
            <w:t>3</w:t>
          </w:r>
          <w:r>
            <w:rPr>
              <w:sz w:val="24"/>
              <w:szCs w:val="24"/>
            </w:rPr>
            <w:fldChar w:fldCharType="end"/>
          </w:r>
          <w:r>
            <w:rPr>
              <w:rFonts w:ascii="宋体" w:hAnsi="宋体" w:eastAsia="宋体" w:cs="宋体"/>
              <w:kern w:val="2"/>
              <w:sz w:val="24"/>
              <w:szCs w:val="24"/>
              <w:lang w:val="en-US" w:eastAsia="zh-CN" w:bidi="ar-SA"/>
            </w:rPr>
            <w:fldChar w:fldCharType="end"/>
          </w:r>
        </w:p>
        <w:p w14:paraId="3F0853E6">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_Toc10905 </w:instrText>
          </w:r>
          <w:r>
            <w:rPr>
              <w:rFonts w:ascii="宋体" w:hAnsi="宋体" w:eastAsia="宋体" w:cs="宋体"/>
              <w:kern w:val="2"/>
              <w:sz w:val="24"/>
              <w:szCs w:val="24"/>
              <w:lang w:val="en-US" w:eastAsia="zh-CN" w:bidi="ar-SA"/>
            </w:rPr>
            <w:fldChar w:fldCharType="separate"/>
          </w:r>
          <w:r>
            <w:rPr>
              <w:rFonts w:hint="eastAsia" w:ascii="仿宋_GB2312" w:hAnsi="仿宋_GB2312" w:eastAsia="仿宋_GB2312" w:cs="仿宋_GB2312"/>
              <w:bCs/>
              <w:sz w:val="24"/>
              <w:szCs w:val="24"/>
              <w:lang w:val="en-US" w:eastAsia="zh-CN"/>
            </w:rPr>
            <w:t>（二）红色铸魂，创设“红旅实景育人”范式</w:t>
          </w:r>
          <w:r>
            <w:rPr>
              <w:sz w:val="24"/>
              <w:szCs w:val="24"/>
            </w:rPr>
            <w:tab/>
          </w:r>
          <w:r>
            <w:rPr>
              <w:sz w:val="24"/>
              <w:szCs w:val="24"/>
            </w:rPr>
            <w:fldChar w:fldCharType="begin"/>
          </w:r>
          <w:r>
            <w:rPr>
              <w:sz w:val="24"/>
              <w:szCs w:val="24"/>
            </w:rPr>
            <w:instrText xml:space="preserve"> PAGEREF _Toc10905 \h </w:instrText>
          </w:r>
          <w:r>
            <w:rPr>
              <w:sz w:val="24"/>
              <w:szCs w:val="24"/>
            </w:rPr>
            <w:fldChar w:fldCharType="separate"/>
          </w:r>
          <w:r>
            <w:rPr>
              <w:sz w:val="24"/>
              <w:szCs w:val="24"/>
            </w:rPr>
            <w:t>4</w:t>
          </w:r>
          <w:r>
            <w:rPr>
              <w:sz w:val="24"/>
              <w:szCs w:val="24"/>
            </w:rPr>
            <w:fldChar w:fldCharType="end"/>
          </w:r>
          <w:r>
            <w:rPr>
              <w:rFonts w:ascii="宋体" w:hAnsi="宋体" w:eastAsia="宋体" w:cs="宋体"/>
              <w:kern w:val="2"/>
              <w:sz w:val="24"/>
              <w:szCs w:val="24"/>
              <w:lang w:val="en-US" w:eastAsia="zh-CN" w:bidi="ar-SA"/>
            </w:rPr>
            <w:fldChar w:fldCharType="end"/>
          </w:r>
        </w:p>
        <w:p w14:paraId="0A90123D">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_Toc15319 </w:instrText>
          </w:r>
          <w:r>
            <w:rPr>
              <w:rFonts w:ascii="宋体" w:hAnsi="宋体" w:eastAsia="宋体" w:cs="宋体"/>
              <w:kern w:val="2"/>
              <w:sz w:val="24"/>
              <w:szCs w:val="24"/>
              <w:lang w:val="en-US" w:eastAsia="zh-CN" w:bidi="ar-SA"/>
            </w:rPr>
            <w:fldChar w:fldCharType="separate"/>
          </w:r>
          <w:r>
            <w:rPr>
              <w:rFonts w:hint="eastAsia" w:ascii="仿宋_GB2312" w:hAnsi="仿宋_GB2312" w:eastAsia="仿宋_GB2312" w:cs="仿宋_GB2312"/>
              <w:bCs/>
              <w:sz w:val="24"/>
              <w:szCs w:val="24"/>
              <w:lang w:val="en-US" w:eastAsia="zh-CN"/>
            </w:rPr>
            <w:t>（三）数智赋能，自主研发“白泽”旅游职业教育大模型</w:t>
          </w:r>
          <w:r>
            <w:rPr>
              <w:sz w:val="24"/>
              <w:szCs w:val="24"/>
            </w:rPr>
            <w:tab/>
          </w:r>
          <w:r>
            <w:rPr>
              <w:sz w:val="24"/>
              <w:szCs w:val="24"/>
            </w:rPr>
            <w:fldChar w:fldCharType="begin"/>
          </w:r>
          <w:r>
            <w:rPr>
              <w:sz w:val="24"/>
              <w:szCs w:val="24"/>
            </w:rPr>
            <w:instrText xml:space="preserve"> PAGEREF _Toc15319 \h </w:instrText>
          </w:r>
          <w:r>
            <w:rPr>
              <w:sz w:val="24"/>
              <w:szCs w:val="24"/>
            </w:rPr>
            <w:fldChar w:fldCharType="separate"/>
          </w:r>
          <w:r>
            <w:rPr>
              <w:sz w:val="24"/>
              <w:szCs w:val="24"/>
            </w:rPr>
            <w:t>5</w:t>
          </w:r>
          <w:r>
            <w:rPr>
              <w:sz w:val="24"/>
              <w:szCs w:val="24"/>
            </w:rPr>
            <w:fldChar w:fldCharType="end"/>
          </w:r>
          <w:r>
            <w:rPr>
              <w:rFonts w:ascii="宋体" w:hAnsi="宋体" w:eastAsia="宋体" w:cs="宋体"/>
              <w:kern w:val="2"/>
              <w:sz w:val="24"/>
              <w:szCs w:val="24"/>
              <w:lang w:val="en-US" w:eastAsia="zh-CN" w:bidi="ar-SA"/>
            </w:rPr>
            <w:fldChar w:fldCharType="end"/>
          </w:r>
        </w:p>
        <w:p w14:paraId="7549795A">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_Toc29835 </w:instrText>
          </w:r>
          <w:r>
            <w:rPr>
              <w:rFonts w:ascii="宋体" w:hAnsi="宋体" w:eastAsia="宋体" w:cs="宋体"/>
              <w:kern w:val="2"/>
              <w:sz w:val="24"/>
              <w:szCs w:val="24"/>
              <w:lang w:val="en-US" w:eastAsia="zh-CN" w:bidi="ar-SA"/>
            </w:rPr>
            <w:fldChar w:fldCharType="separate"/>
          </w:r>
          <w:r>
            <w:rPr>
              <w:rFonts w:hint="eastAsia" w:ascii="仿宋_GB2312" w:hAnsi="仿宋_GB2312" w:eastAsia="仿宋_GB2312" w:cs="仿宋_GB2312"/>
              <w:bCs/>
              <w:sz w:val="24"/>
              <w:szCs w:val="24"/>
              <w:lang w:val="en-US" w:eastAsia="zh-CN"/>
            </w:rPr>
            <w:t>（四）四堂协同，构建多场域联动的立体化育人空间</w:t>
          </w:r>
          <w:r>
            <w:rPr>
              <w:sz w:val="24"/>
              <w:szCs w:val="24"/>
            </w:rPr>
            <w:tab/>
          </w:r>
          <w:r>
            <w:rPr>
              <w:sz w:val="24"/>
              <w:szCs w:val="24"/>
            </w:rPr>
            <w:fldChar w:fldCharType="begin"/>
          </w:r>
          <w:r>
            <w:rPr>
              <w:sz w:val="24"/>
              <w:szCs w:val="24"/>
            </w:rPr>
            <w:instrText xml:space="preserve"> PAGEREF _Toc29835 \h </w:instrText>
          </w:r>
          <w:r>
            <w:rPr>
              <w:sz w:val="24"/>
              <w:szCs w:val="24"/>
            </w:rPr>
            <w:fldChar w:fldCharType="separate"/>
          </w:r>
          <w:r>
            <w:rPr>
              <w:sz w:val="24"/>
              <w:szCs w:val="24"/>
            </w:rPr>
            <w:t>6</w:t>
          </w:r>
          <w:r>
            <w:rPr>
              <w:sz w:val="24"/>
              <w:szCs w:val="24"/>
            </w:rPr>
            <w:fldChar w:fldCharType="end"/>
          </w:r>
          <w:r>
            <w:rPr>
              <w:rFonts w:ascii="宋体" w:hAnsi="宋体" w:eastAsia="宋体" w:cs="宋体"/>
              <w:kern w:val="2"/>
              <w:sz w:val="24"/>
              <w:szCs w:val="24"/>
              <w:lang w:val="en-US" w:eastAsia="zh-CN" w:bidi="ar-SA"/>
            </w:rPr>
            <w:fldChar w:fldCharType="end"/>
          </w:r>
        </w:p>
        <w:p w14:paraId="2D16AF3F">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_Toc16282 </w:instrText>
          </w:r>
          <w:r>
            <w:rPr>
              <w:rFonts w:ascii="宋体" w:hAnsi="宋体" w:eastAsia="宋体" w:cs="宋体"/>
              <w:kern w:val="2"/>
              <w:sz w:val="24"/>
              <w:szCs w:val="24"/>
              <w:lang w:val="en-US" w:eastAsia="zh-CN" w:bidi="ar-SA"/>
            </w:rPr>
            <w:fldChar w:fldCharType="separate"/>
          </w:r>
          <w:r>
            <w:rPr>
              <w:rFonts w:hint="eastAsia" w:ascii="仿宋_GB2312" w:hAnsi="仿宋_GB2312" w:eastAsia="仿宋_GB2312" w:cs="仿宋_GB2312"/>
              <w:bCs/>
              <w:sz w:val="24"/>
              <w:szCs w:val="24"/>
              <w:lang w:val="en-US" w:eastAsia="zh-CN"/>
            </w:rPr>
            <w:t>（五）体系重构，构建“一核双线·三阶四融”课程体系与保障机制</w:t>
          </w:r>
          <w:r>
            <w:rPr>
              <w:sz w:val="24"/>
              <w:szCs w:val="24"/>
            </w:rPr>
            <w:tab/>
          </w:r>
          <w:r>
            <w:rPr>
              <w:sz w:val="24"/>
              <w:szCs w:val="24"/>
            </w:rPr>
            <w:fldChar w:fldCharType="begin"/>
          </w:r>
          <w:r>
            <w:rPr>
              <w:sz w:val="24"/>
              <w:szCs w:val="24"/>
            </w:rPr>
            <w:instrText xml:space="preserve"> PAGEREF _Toc16282 \h </w:instrText>
          </w:r>
          <w:r>
            <w:rPr>
              <w:sz w:val="24"/>
              <w:szCs w:val="24"/>
            </w:rPr>
            <w:fldChar w:fldCharType="separate"/>
          </w:r>
          <w:r>
            <w:rPr>
              <w:sz w:val="24"/>
              <w:szCs w:val="24"/>
            </w:rPr>
            <w:t>7</w:t>
          </w:r>
          <w:r>
            <w:rPr>
              <w:sz w:val="24"/>
              <w:szCs w:val="24"/>
            </w:rPr>
            <w:fldChar w:fldCharType="end"/>
          </w:r>
          <w:r>
            <w:rPr>
              <w:rFonts w:ascii="宋体" w:hAnsi="宋体" w:eastAsia="宋体" w:cs="宋体"/>
              <w:kern w:val="2"/>
              <w:sz w:val="24"/>
              <w:szCs w:val="24"/>
              <w:lang w:val="en-US" w:eastAsia="zh-CN" w:bidi="ar-SA"/>
            </w:rPr>
            <w:fldChar w:fldCharType="end"/>
          </w:r>
        </w:p>
        <w:p w14:paraId="201FD0FC">
          <w:pPr>
            <w:pStyle w:val="5"/>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_Toc3993 </w:instrText>
          </w:r>
          <w:r>
            <w:rPr>
              <w:rFonts w:ascii="宋体" w:hAnsi="宋体" w:eastAsia="宋体" w:cs="宋体"/>
              <w:kern w:val="2"/>
              <w:sz w:val="24"/>
              <w:szCs w:val="24"/>
              <w:lang w:val="en-US" w:eastAsia="zh-CN" w:bidi="ar-SA"/>
            </w:rPr>
            <w:fldChar w:fldCharType="separate"/>
          </w:r>
          <w:r>
            <w:rPr>
              <w:rFonts w:hint="eastAsia" w:ascii="黑体" w:hAnsi="黑体" w:eastAsia="黑体" w:cs="黑体"/>
              <w:sz w:val="24"/>
              <w:szCs w:val="24"/>
              <w:lang w:val="en-US" w:eastAsia="zh-CN"/>
            </w:rPr>
            <w:t>三、成果创新点</w:t>
          </w:r>
          <w:r>
            <w:rPr>
              <w:sz w:val="24"/>
              <w:szCs w:val="24"/>
            </w:rPr>
            <w:tab/>
          </w:r>
          <w:r>
            <w:rPr>
              <w:sz w:val="24"/>
              <w:szCs w:val="24"/>
            </w:rPr>
            <w:fldChar w:fldCharType="begin"/>
          </w:r>
          <w:r>
            <w:rPr>
              <w:sz w:val="24"/>
              <w:szCs w:val="24"/>
            </w:rPr>
            <w:instrText xml:space="preserve"> PAGEREF _Toc3993 \h </w:instrText>
          </w:r>
          <w:r>
            <w:rPr>
              <w:sz w:val="24"/>
              <w:szCs w:val="24"/>
            </w:rPr>
            <w:fldChar w:fldCharType="separate"/>
          </w:r>
          <w:r>
            <w:rPr>
              <w:sz w:val="24"/>
              <w:szCs w:val="24"/>
            </w:rPr>
            <w:t>8</w:t>
          </w:r>
          <w:r>
            <w:rPr>
              <w:sz w:val="24"/>
              <w:szCs w:val="24"/>
            </w:rPr>
            <w:fldChar w:fldCharType="end"/>
          </w:r>
          <w:r>
            <w:rPr>
              <w:rFonts w:ascii="宋体" w:hAnsi="宋体" w:eastAsia="宋体" w:cs="宋体"/>
              <w:kern w:val="2"/>
              <w:sz w:val="24"/>
              <w:szCs w:val="24"/>
              <w:lang w:val="en-US" w:eastAsia="zh-CN" w:bidi="ar-SA"/>
            </w:rPr>
            <w:fldChar w:fldCharType="end"/>
          </w:r>
        </w:p>
        <w:p w14:paraId="34CD3995">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_Toc6667 </w:instrText>
          </w:r>
          <w:r>
            <w:rPr>
              <w:rFonts w:ascii="宋体" w:hAnsi="宋体" w:eastAsia="宋体" w:cs="宋体"/>
              <w:kern w:val="2"/>
              <w:sz w:val="24"/>
              <w:szCs w:val="24"/>
              <w:lang w:val="en-US" w:eastAsia="zh-CN" w:bidi="ar-SA"/>
            </w:rPr>
            <w:fldChar w:fldCharType="separate"/>
          </w:r>
          <w:r>
            <w:rPr>
              <w:rFonts w:hint="eastAsia" w:ascii="仿宋_GB2312" w:hAnsi="仿宋_GB2312" w:eastAsia="仿宋_GB2312" w:cs="仿宋_GB2312"/>
              <w:bCs/>
              <w:sz w:val="24"/>
              <w:szCs w:val="24"/>
              <w:lang w:val="en-US" w:eastAsia="zh-CN"/>
            </w:rPr>
            <w:t>（一）理念创新，提出“红色基因与职业能力同生共长”的育人理念，实现学生角色跃迁</w:t>
          </w:r>
          <w:r>
            <w:rPr>
              <w:sz w:val="24"/>
              <w:szCs w:val="24"/>
            </w:rPr>
            <w:tab/>
          </w:r>
          <w:r>
            <w:rPr>
              <w:sz w:val="24"/>
              <w:szCs w:val="24"/>
            </w:rPr>
            <w:fldChar w:fldCharType="begin"/>
          </w:r>
          <w:r>
            <w:rPr>
              <w:sz w:val="24"/>
              <w:szCs w:val="24"/>
            </w:rPr>
            <w:instrText xml:space="preserve"> PAGEREF _Toc6667 \h </w:instrText>
          </w:r>
          <w:r>
            <w:rPr>
              <w:sz w:val="24"/>
              <w:szCs w:val="24"/>
            </w:rPr>
            <w:fldChar w:fldCharType="separate"/>
          </w:r>
          <w:r>
            <w:rPr>
              <w:sz w:val="24"/>
              <w:szCs w:val="24"/>
            </w:rPr>
            <w:t>8</w:t>
          </w:r>
          <w:r>
            <w:rPr>
              <w:sz w:val="24"/>
              <w:szCs w:val="24"/>
            </w:rPr>
            <w:fldChar w:fldCharType="end"/>
          </w:r>
          <w:r>
            <w:rPr>
              <w:rFonts w:ascii="宋体" w:hAnsi="宋体" w:eastAsia="宋体" w:cs="宋体"/>
              <w:kern w:val="2"/>
              <w:sz w:val="24"/>
              <w:szCs w:val="24"/>
              <w:lang w:val="en-US" w:eastAsia="zh-CN" w:bidi="ar-SA"/>
            </w:rPr>
            <w:fldChar w:fldCharType="end"/>
          </w:r>
        </w:p>
        <w:p w14:paraId="41010D79">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_Toc8598 </w:instrText>
          </w:r>
          <w:r>
            <w:rPr>
              <w:rFonts w:ascii="宋体" w:hAnsi="宋体" w:eastAsia="宋体" w:cs="宋体"/>
              <w:kern w:val="2"/>
              <w:sz w:val="24"/>
              <w:szCs w:val="24"/>
              <w:lang w:val="en-US" w:eastAsia="zh-CN" w:bidi="ar-SA"/>
            </w:rPr>
            <w:fldChar w:fldCharType="separate"/>
          </w:r>
          <w:r>
            <w:rPr>
              <w:rFonts w:hint="eastAsia" w:ascii="仿宋_GB2312" w:hAnsi="仿宋_GB2312" w:eastAsia="仿宋_GB2312" w:cs="仿宋_GB2312"/>
              <w:bCs/>
              <w:sz w:val="24"/>
              <w:szCs w:val="24"/>
              <w:lang w:val="en-US" w:eastAsia="zh-CN"/>
            </w:rPr>
            <w:t>（二）模式创新，首创“白泽”大模型驱动的“双环联动”虚实融合教学新范式，打通技能转化通道</w:t>
          </w:r>
          <w:r>
            <w:rPr>
              <w:sz w:val="24"/>
              <w:szCs w:val="24"/>
            </w:rPr>
            <w:tab/>
          </w:r>
          <w:r>
            <w:rPr>
              <w:sz w:val="24"/>
              <w:szCs w:val="24"/>
            </w:rPr>
            <w:fldChar w:fldCharType="begin"/>
          </w:r>
          <w:r>
            <w:rPr>
              <w:sz w:val="24"/>
              <w:szCs w:val="24"/>
            </w:rPr>
            <w:instrText xml:space="preserve"> PAGEREF _Toc8598 \h </w:instrText>
          </w:r>
          <w:r>
            <w:rPr>
              <w:sz w:val="24"/>
              <w:szCs w:val="24"/>
            </w:rPr>
            <w:fldChar w:fldCharType="separate"/>
          </w:r>
          <w:r>
            <w:rPr>
              <w:sz w:val="24"/>
              <w:szCs w:val="24"/>
            </w:rPr>
            <w:t>8</w:t>
          </w:r>
          <w:r>
            <w:rPr>
              <w:sz w:val="24"/>
              <w:szCs w:val="24"/>
            </w:rPr>
            <w:fldChar w:fldCharType="end"/>
          </w:r>
          <w:r>
            <w:rPr>
              <w:rFonts w:ascii="宋体" w:hAnsi="宋体" w:eastAsia="宋体" w:cs="宋体"/>
              <w:kern w:val="2"/>
              <w:sz w:val="24"/>
              <w:szCs w:val="24"/>
              <w:lang w:val="en-US" w:eastAsia="zh-CN" w:bidi="ar-SA"/>
            </w:rPr>
            <w:fldChar w:fldCharType="end"/>
          </w:r>
        </w:p>
        <w:p w14:paraId="6C5ABEBF">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_Toc5058 </w:instrText>
          </w:r>
          <w:r>
            <w:rPr>
              <w:rFonts w:ascii="宋体" w:hAnsi="宋体" w:eastAsia="宋体" w:cs="宋体"/>
              <w:kern w:val="2"/>
              <w:sz w:val="24"/>
              <w:szCs w:val="24"/>
              <w:lang w:val="en-US" w:eastAsia="zh-CN" w:bidi="ar-SA"/>
            </w:rPr>
            <w:fldChar w:fldCharType="separate"/>
          </w:r>
          <w:r>
            <w:rPr>
              <w:rFonts w:hint="eastAsia" w:ascii="仿宋_GB2312" w:hAnsi="仿宋_GB2312" w:eastAsia="仿宋_GB2312" w:cs="仿宋_GB2312"/>
              <w:bCs/>
              <w:sz w:val="24"/>
              <w:szCs w:val="24"/>
              <w:lang w:val="en-US" w:eastAsia="zh-CN"/>
            </w:rPr>
            <w:t>（三）机制创新，创建需求牵引、闭环迭代的产教融合长效机制，实现人才供给与产业需求的动态精准适配</w:t>
          </w:r>
          <w:r>
            <w:rPr>
              <w:sz w:val="24"/>
              <w:szCs w:val="24"/>
            </w:rPr>
            <w:tab/>
          </w:r>
          <w:r>
            <w:rPr>
              <w:sz w:val="24"/>
              <w:szCs w:val="24"/>
            </w:rPr>
            <w:fldChar w:fldCharType="begin"/>
          </w:r>
          <w:r>
            <w:rPr>
              <w:sz w:val="24"/>
              <w:szCs w:val="24"/>
            </w:rPr>
            <w:instrText xml:space="preserve"> PAGEREF _Toc5058 \h </w:instrText>
          </w:r>
          <w:r>
            <w:rPr>
              <w:sz w:val="24"/>
              <w:szCs w:val="24"/>
            </w:rPr>
            <w:fldChar w:fldCharType="separate"/>
          </w:r>
          <w:r>
            <w:rPr>
              <w:sz w:val="24"/>
              <w:szCs w:val="24"/>
            </w:rPr>
            <w:t>9</w:t>
          </w:r>
          <w:r>
            <w:rPr>
              <w:sz w:val="24"/>
              <w:szCs w:val="24"/>
            </w:rPr>
            <w:fldChar w:fldCharType="end"/>
          </w:r>
          <w:r>
            <w:rPr>
              <w:rFonts w:ascii="宋体" w:hAnsi="宋体" w:eastAsia="宋体" w:cs="宋体"/>
              <w:kern w:val="2"/>
              <w:sz w:val="24"/>
              <w:szCs w:val="24"/>
              <w:lang w:val="en-US" w:eastAsia="zh-CN" w:bidi="ar-SA"/>
            </w:rPr>
            <w:fldChar w:fldCharType="end"/>
          </w:r>
        </w:p>
        <w:p w14:paraId="200F1BB7">
          <w:pPr>
            <w:pStyle w:val="5"/>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_Toc27269 </w:instrText>
          </w:r>
          <w:r>
            <w:rPr>
              <w:rFonts w:ascii="宋体" w:hAnsi="宋体" w:eastAsia="宋体" w:cs="宋体"/>
              <w:kern w:val="2"/>
              <w:sz w:val="24"/>
              <w:szCs w:val="24"/>
              <w:lang w:val="en-US" w:eastAsia="zh-CN" w:bidi="ar-SA"/>
            </w:rPr>
            <w:fldChar w:fldCharType="separate"/>
          </w:r>
          <w:r>
            <w:rPr>
              <w:rFonts w:hint="eastAsia" w:ascii="黑体" w:hAnsi="黑体" w:eastAsia="黑体" w:cs="黑体"/>
              <w:sz w:val="24"/>
              <w:szCs w:val="24"/>
              <w:lang w:val="en-US" w:eastAsia="zh-CN"/>
            </w:rPr>
            <w:t>四、成果的推广应用效果</w:t>
          </w:r>
          <w:r>
            <w:rPr>
              <w:sz w:val="24"/>
              <w:szCs w:val="24"/>
            </w:rPr>
            <w:tab/>
          </w:r>
          <w:r>
            <w:rPr>
              <w:sz w:val="24"/>
              <w:szCs w:val="24"/>
            </w:rPr>
            <w:fldChar w:fldCharType="begin"/>
          </w:r>
          <w:r>
            <w:rPr>
              <w:sz w:val="24"/>
              <w:szCs w:val="24"/>
            </w:rPr>
            <w:instrText xml:space="preserve"> PAGEREF _Toc27269 \h </w:instrText>
          </w:r>
          <w:r>
            <w:rPr>
              <w:sz w:val="24"/>
              <w:szCs w:val="24"/>
            </w:rPr>
            <w:fldChar w:fldCharType="separate"/>
          </w:r>
          <w:r>
            <w:rPr>
              <w:sz w:val="24"/>
              <w:szCs w:val="24"/>
            </w:rPr>
            <w:t>9</w:t>
          </w:r>
          <w:r>
            <w:rPr>
              <w:sz w:val="24"/>
              <w:szCs w:val="24"/>
            </w:rPr>
            <w:fldChar w:fldCharType="end"/>
          </w:r>
          <w:r>
            <w:rPr>
              <w:rFonts w:ascii="宋体" w:hAnsi="宋体" w:eastAsia="宋体" w:cs="宋体"/>
              <w:kern w:val="2"/>
              <w:sz w:val="24"/>
              <w:szCs w:val="24"/>
              <w:lang w:val="en-US" w:eastAsia="zh-CN" w:bidi="ar-SA"/>
            </w:rPr>
            <w:fldChar w:fldCharType="end"/>
          </w:r>
        </w:p>
        <w:p w14:paraId="45272F87">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_Toc18266 </w:instrText>
          </w:r>
          <w:r>
            <w:rPr>
              <w:rFonts w:ascii="宋体" w:hAnsi="宋体" w:eastAsia="宋体" w:cs="宋体"/>
              <w:kern w:val="2"/>
              <w:sz w:val="24"/>
              <w:szCs w:val="24"/>
              <w:lang w:val="en-US" w:eastAsia="zh-CN" w:bidi="ar-SA"/>
            </w:rPr>
            <w:fldChar w:fldCharType="separate"/>
          </w:r>
          <w:r>
            <w:rPr>
              <w:rFonts w:hint="eastAsia" w:ascii="仿宋_GB2312" w:hAnsi="仿宋_GB2312" w:eastAsia="仿宋_GB2312" w:cs="仿宋_GB2312"/>
              <w:bCs/>
              <w:kern w:val="2"/>
              <w:sz w:val="24"/>
              <w:szCs w:val="24"/>
              <w:lang w:val="en-US" w:eastAsia="zh-CN" w:bidi="ar-SA"/>
            </w:rPr>
            <w:t>(一)学生德技并修，成长质量显著提升</w:t>
          </w:r>
          <w:r>
            <w:rPr>
              <w:sz w:val="24"/>
              <w:szCs w:val="24"/>
            </w:rPr>
            <w:tab/>
          </w:r>
          <w:r>
            <w:rPr>
              <w:sz w:val="24"/>
              <w:szCs w:val="24"/>
            </w:rPr>
            <w:fldChar w:fldCharType="begin"/>
          </w:r>
          <w:r>
            <w:rPr>
              <w:sz w:val="24"/>
              <w:szCs w:val="24"/>
            </w:rPr>
            <w:instrText xml:space="preserve"> PAGEREF _Toc18266 \h </w:instrText>
          </w:r>
          <w:r>
            <w:rPr>
              <w:sz w:val="24"/>
              <w:szCs w:val="24"/>
            </w:rPr>
            <w:fldChar w:fldCharType="separate"/>
          </w:r>
          <w:r>
            <w:rPr>
              <w:sz w:val="24"/>
              <w:szCs w:val="24"/>
            </w:rPr>
            <w:t>9</w:t>
          </w:r>
          <w:r>
            <w:rPr>
              <w:sz w:val="24"/>
              <w:szCs w:val="24"/>
            </w:rPr>
            <w:fldChar w:fldCharType="end"/>
          </w:r>
          <w:r>
            <w:rPr>
              <w:rFonts w:ascii="宋体" w:hAnsi="宋体" w:eastAsia="宋体" w:cs="宋体"/>
              <w:kern w:val="2"/>
              <w:sz w:val="24"/>
              <w:szCs w:val="24"/>
              <w:lang w:val="en-US" w:eastAsia="zh-CN" w:bidi="ar-SA"/>
            </w:rPr>
            <w:fldChar w:fldCharType="end"/>
          </w:r>
        </w:p>
        <w:p w14:paraId="0E7AAABC">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_Toc4782 </w:instrText>
          </w:r>
          <w:r>
            <w:rPr>
              <w:rFonts w:ascii="宋体" w:hAnsi="宋体" w:eastAsia="宋体" w:cs="宋体"/>
              <w:kern w:val="2"/>
              <w:sz w:val="24"/>
              <w:szCs w:val="24"/>
              <w:lang w:val="en-US" w:eastAsia="zh-CN" w:bidi="ar-SA"/>
            </w:rPr>
            <w:fldChar w:fldCharType="separate"/>
          </w:r>
          <w:r>
            <w:rPr>
              <w:rFonts w:hint="eastAsia" w:ascii="仿宋_GB2312" w:hAnsi="仿宋_GB2312" w:eastAsia="仿宋_GB2312" w:cs="仿宋_GB2312"/>
              <w:bCs/>
              <w:kern w:val="2"/>
              <w:sz w:val="24"/>
              <w:szCs w:val="24"/>
              <w:lang w:val="en-US" w:eastAsia="zh-CN" w:bidi="ar-SA"/>
            </w:rPr>
            <w:t>(二)专业建设成果丰硕，品牌影响力持续扩大。</w:t>
          </w:r>
          <w:r>
            <w:rPr>
              <w:sz w:val="24"/>
              <w:szCs w:val="24"/>
            </w:rPr>
            <w:tab/>
          </w:r>
          <w:r>
            <w:rPr>
              <w:sz w:val="24"/>
              <w:szCs w:val="24"/>
            </w:rPr>
            <w:fldChar w:fldCharType="begin"/>
          </w:r>
          <w:r>
            <w:rPr>
              <w:sz w:val="24"/>
              <w:szCs w:val="24"/>
            </w:rPr>
            <w:instrText xml:space="preserve"> PAGEREF _Toc4782 \h </w:instrText>
          </w:r>
          <w:r>
            <w:rPr>
              <w:sz w:val="24"/>
              <w:szCs w:val="24"/>
            </w:rPr>
            <w:fldChar w:fldCharType="separate"/>
          </w:r>
          <w:r>
            <w:rPr>
              <w:sz w:val="24"/>
              <w:szCs w:val="24"/>
            </w:rPr>
            <w:t>10</w:t>
          </w:r>
          <w:r>
            <w:rPr>
              <w:sz w:val="24"/>
              <w:szCs w:val="24"/>
            </w:rPr>
            <w:fldChar w:fldCharType="end"/>
          </w:r>
          <w:r>
            <w:rPr>
              <w:rFonts w:ascii="宋体" w:hAnsi="宋体" w:eastAsia="宋体" w:cs="宋体"/>
              <w:kern w:val="2"/>
              <w:sz w:val="24"/>
              <w:szCs w:val="24"/>
              <w:lang w:val="en-US" w:eastAsia="zh-CN" w:bidi="ar-SA"/>
            </w:rPr>
            <w:fldChar w:fldCharType="end"/>
          </w:r>
        </w:p>
        <w:p w14:paraId="4B83CDD6">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_Toc15276 </w:instrText>
          </w:r>
          <w:r>
            <w:rPr>
              <w:rFonts w:ascii="宋体" w:hAnsi="宋体" w:eastAsia="宋体" w:cs="宋体"/>
              <w:kern w:val="2"/>
              <w:sz w:val="24"/>
              <w:szCs w:val="24"/>
              <w:lang w:val="en-US" w:eastAsia="zh-CN" w:bidi="ar-SA"/>
            </w:rPr>
            <w:fldChar w:fldCharType="separate"/>
          </w:r>
          <w:r>
            <w:rPr>
              <w:rFonts w:hint="eastAsia" w:ascii="仿宋_GB2312" w:hAnsi="仿宋_GB2312" w:eastAsia="仿宋_GB2312" w:cs="仿宋_GB2312"/>
              <w:bCs/>
              <w:kern w:val="2"/>
              <w:sz w:val="24"/>
              <w:szCs w:val="24"/>
              <w:lang w:val="en-US" w:eastAsia="zh-CN" w:bidi="ar-SA"/>
            </w:rPr>
            <w:t>(三)校内外推广深入，产教融合走深走实</w:t>
          </w:r>
          <w:r>
            <w:rPr>
              <w:sz w:val="24"/>
              <w:szCs w:val="24"/>
            </w:rPr>
            <w:tab/>
          </w:r>
          <w:r>
            <w:rPr>
              <w:sz w:val="24"/>
              <w:szCs w:val="24"/>
            </w:rPr>
            <w:fldChar w:fldCharType="begin"/>
          </w:r>
          <w:r>
            <w:rPr>
              <w:sz w:val="24"/>
              <w:szCs w:val="24"/>
            </w:rPr>
            <w:instrText xml:space="preserve"> PAGEREF _Toc15276 \h </w:instrText>
          </w:r>
          <w:r>
            <w:rPr>
              <w:sz w:val="24"/>
              <w:szCs w:val="24"/>
            </w:rPr>
            <w:fldChar w:fldCharType="separate"/>
          </w:r>
          <w:r>
            <w:rPr>
              <w:sz w:val="24"/>
              <w:szCs w:val="24"/>
            </w:rPr>
            <w:t>11</w:t>
          </w:r>
          <w:r>
            <w:rPr>
              <w:sz w:val="24"/>
              <w:szCs w:val="24"/>
            </w:rPr>
            <w:fldChar w:fldCharType="end"/>
          </w:r>
          <w:r>
            <w:rPr>
              <w:rFonts w:ascii="宋体" w:hAnsi="宋体" w:eastAsia="宋体" w:cs="宋体"/>
              <w:kern w:val="2"/>
              <w:sz w:val="24"/>
              <w:szCs w:val="24"/>
              <w:lang w:val="en-US" w:eastAsia="zh-CN" w:bidi="ar-SA"/>
            </w:rPr>
            <w:fldChar w:fldCharType="end"/>
          </w:r>
        </w:p>
        <w:p w14:paraId="1310BEAB">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kern w:val="2"/>
              <w:sz w:val="24"/>
              <w:szCs w:val="24"/>
              <w:lang w:val="en-US" w:eastAsia="zh-CN" w:bidi="ar-SA"/>
            </w:rPr>
            <w:fldChar w:fldCharType="begin"/>
          </w:r>
          <w:r>
            <w:rPr>
              <w:rFonts w:ascii="宋体" w:hAnsi="宋体" w:eastAsia="宋体" w:cs="宋体"/>
              <w:kern w:val="2"/>
              <w:sz w:val="24"/>
              <w:szCs w:val="24"/>
              <w:lang w:val="en-US" w:eastAsia="zh-CN" w:bidi="ar-SA"/>
            </w:rPr>
            <w:instrText xml:space="preserve"> HYPERLINK \l _Toc20080 </w:instrText>
          </w:r>
          <w:r>
            <w:rPr>
              <w:rFonts w:ascii="宋体" w:hAnsi="宋体" w:eastAsia="宋体" w:cs="宋体"/>
              <w:kern w:val="2"/>
              <w:sz w:val="24"/>
              <w:szCs w:val="24"/>
              <w:lang w:val="en-US" w:eastAsia="zh-CN" w:bidi="ar-SA"/>
            </w:rPr>
            <w:fldChar w:fldCharType="separate"/>
          </w:r>
          <w:r>
            <w:rPr>
              <w:rFonts w:hint="eastAsia" w:ascii="仿宋_GB2312" w:hAnsi="仿宋_GB2312" w:eastAsia="仿宋_GB2312" w:cs="仿宋_GB2312"/>
              <w:bCs/>
              <w:kern w:val="2"/>
              <w:sz w:val="24"/>
              <w:szCs w:val="24"/>
              <w:lang w:val="en-US" w:eastAsia="zh-CN" w:bidi="ar-SA"/>
            </w:rPr>
            <w:t>(四)主流媒体聚焦，社会公信力持续提升</w:t>
          </w:r>
          <w:r>
            <w:rPr>
              <w:sz w:val="24"/>
              <w:szCs w:val="24"/>
            </w:rPr>
            <w:tab/>
          </w:r>
          <w:r>
            <w:rPr>
              <w:sz w:val="24"/>
              <w:szCs w:val="24"/>
            </w:rPr>
            <w:fldChar w:fldCharType="begin"/>
          </w:r>
          <w:r>
            <w:rPr>
              <w:sz w:val="24"/>
              <w:szCs w:val="24"/>
            </w:rPr>
            <w:instrText xml:space="preserve"> PAGEREF _Toc20080 \h </w:instrText>
          </w:r>
          <w:r>
            <w:rPr>
              <w:sz w:val="24"/>
              <w:szCs w:val="24"/>
            </w:rPr>
            <w:fldChar w:fldCharType="separate"/>
          </w:r>
          <w:r>
            <w:rPr>
              <w:sz w:val="24"/>
              <w:szCs w:val="24"/>
            </w:rPr>
            <w:t>12</w:t>
          </w:r>
          <w:r>
            <w:rPr>
              <w:sz w:val="24"/>
              <w:szCs w:val="24"/>
            </w:rPr>
            <w:fldChar w:fldCharType="end"/>
          </w:r>
          <w:r>
            <w:rPr>
              <w:rFonts w:ascii="宋体" w:hAnsi="宋体" w:eastAsia="宋体" w:cs="宋体"/>
              <w:kern w:val="2"/>
              <w:sz w:val="24"/>
              <w:szCs w:val="24"/>
              <w:lang w:val="en-US" w:eastAsia="zh-CN" w:bidi="ar-SA"/>
            </w:rPr>
            <w:fldChar w:fldCharType="end"/>
          </w:r>
        </w:p>
        <w:p w14:paraId="612488F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fldChar w:fldCharType="end"/>
          </w:r>
        </w:p>
      </w:sdtContent>
    </w:sdt>
    <w:p w14:paraId="41DBC57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kern w:val="2"/>
          <w:sz w:val="21"/>
          <w:szCs w:val="24"/>
          <w:lang w:val="en-US" w:eastAsia="zh-CN" w:bidi="ar-SA"/>
        </w:rPr>
      </w:pPr>
    </w:p>
    <w:p w14:paraId="49FAF850">
      <w:pPr>
        <w:rPr>
          <w:rFonts w:ascii="宋体" w:hAnsi="宋体" w:eastAsia="宋体" w:cs="宋体"/>
          <w:sz w:val="24"/>
          <w:szCs w:val="24"/>
        </w:rPr>
      </w:pPr>
    </w:p>
    <w:p w14:paraId="46D21159">
      <w:pPr>
        <w:rPr>
          <w:rFonts w:ascii="宋体" w:hAnsi="宋体" w:eastAsia="宋体" w:cs="宋体"/>
          <w:sz w:val="24"/>
          <w:szCs w:val="24"/>
        </w:rPr>
      </w:pPr>
    </w:p>
    <w:p w14:paraId="347F0883">
      <w:pPr>
        <w:rPr>
          <w:rFonts w:ascii="宋体" w:hAnsi="宋体" w:eastAsia="宋体" w:cs="宋体"/>
          <w:sz w:val="24"/>
          <w:szCs w:val="24"/>
        </w:rPr>
      </w:pPr>
    </w:p>
    <w:p w14:paraId="1F4471C5">
      <w:pPr>
        <w:rPr>
          <w:rFonts w:ascii="宋体" w:hAnsi="宋体" w:eastAsia="宋体" w:cs="宋体"/>
          <w:sz w:val="24"/>
          <w:szCs w:val="24"/>
        </w:rPr>
      </w:pPr>
    </w:p>
    <w:p w14:paraId="08CB6B0C">
      <w:pPr>
        <w:rPr>
          <w:rFonts w:ascii="宋体" w:hAnsi="宋体" w:eastAsia="宋体" w:cs="宋体"/>
          <w:sz w:val="24"/>
          <w:szCs w:val="24"/>
        </w:rPr>
      </w:pPr>
    </w:p>
    <w:p w14:paraId="31ED9C27">
      <w:pPr>
        <w:rPr>
          <w:rFonts w:ascii="宋体" w:hAnsi="宋体" w:eastAsia="宋体" w:cs="宋体"/>
          <w:sz w:val="24"/>
          <w:szCs w:val="24"/>
        </w:rPr>
      </w:pPr>
    </w:p>
    <w:p w14:paraId="73DD8D87">
      <w:pPr>
        <w:rPr>
          <w:rFonts w:ascii="宋体" w:hAnsi="宋体" w:eastAsia="宋体" w:cs="宋体"/>
          <w:sz w:val="24"/>
          <w:szCs w:val="24"/>
        </w:rPr>
      </w:pPr>
    </w:p>
    <w:p w14:paraId="5DA41956">
      <w:pPr>
        <w:rPr>
          <w:rFonts w:ascii="宋体" w:hAnsi="宋体" w:eastAsia="宋体" w:cs="宋体"/>
          <w:sz w:val="24"/>
          <w:szCs w:val="24"/>
        </w:rPr>
      </w:pPr>
    </w:p>
    <w:p w14:paraId="21097C1B">
      <w:pPr>
        <w:rPr>
          <w:rFonts w:ascii="宋体" w:hAnsi="宋体" w:eastAsia="宋体" w:cs="宋体"/>
          <w:sz w:val="24"/>
          <w:szCs w:val="24"/>
        </w:rPr>
      </w:pPr>
    </w:p>
    <w:p w14:paraId="649D9F12">
      <w:pPr>
        <w:rPr>
          <w:rFonts w:ascii="宋体" w:hAnsi="宋体" w:eastAsia="宋体" w:cs="宋体"/>
          <w:sz w:val="24"/>
          <w:szCs w:val="24"/>
        </w:rPr>
      </w:pPr>
    </w:p>
    <w:p w14:paraId="49369BC2">
      <w:pPr>
        <w:rPr>
          <w:rFonts w:ascii="宋体" w:hAnsi="宋体" w:eastAsia="宋体" w:cs="宋体"/>
          <w:sz w:val="24"/>
          <w:szCs w:val="24"/>
        </w:rPr>
      </w:pPr>
    </w:p>
    <w:p w14:paraId="19B788D5">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0"/>
        <w:rPr>
          <w:rFonts w:hint="eastAsia" w:ascii="楷体_GB2312" w:hAnsi="楷体_GB2312" w:eastAsia="楷体_GB2312" w:cs="楷体_GB2312"/>
          <w:sz w:val="32"/>
          <w:szCs w:val="32"/>
        </w:rPr>
      </w:pPr>
      <w:bookmarkStart w:id="0" w:name="_Toc2139"/>
      <w:bookmarkStart w:id="1" w:name="_Toc15486"/>
      <w:r>
        <w:rPr>
          <w:rFonts w:hint="eastAsia" w:ascii="黑体" w:hAnsi="黑体" w:eastAsia="黑体" w:cs="黑体"/>
          <w:sz w:val="32"/>
          <w:szCs w:val="32"/>
        </w:rPr>
        <w:t>一</w:t>
      </w:r>
      <w:r>
        <w:rPr>
          <w:rFonts w:hint="eastAsia" w:ascii="黑体" w:hAnsi="黑体" w:eastAsia="黑体" w:cs="黑体"/>
          <w:sz w:val="32"/>
          <w:szCs w:val="32"/>
          <w:lang w:eastAsia="zh-CN"/>
        </w:rPr>
        <w:t>、</w:t>
      </w:r>
      <w:r>
        <w:rPr>
          <w:rFonts w:hint="eastAsia" w:ascii="黑体" w:hAnsi="黑体" w:eastAsia="黑体" w:cs="黑体"/>
          <w:sz w:val="32"/>
          <w:szCs w:val="32"/>
        </w:rPr>
        <w:t>成果背景与问题</w:t>
      </w:r>
      <w:r>
        <w:rPr>
          <w:rFonts w:hint="eastAsia" w:ascii="黑体" w:hAnsi="黑体" w:eastAsia="黑体" w:cs="黑体"/>
          <w:sz w:val="32"/>
          <w:szCs w:val="32"/>
          <w:lang w:val="en-US" w:eastAsia="zh-CN"/>
        </w:rPr>
        <w:t>指向</w:t>
      </w:r>
      <w:bookmarkEnd w:id="0"/>
      <w:bookmarkEnd w:id="1"/>
    </w:p>
    <w:p w14:paraId="780DF66C">
      <w:pPr>
        <w:ind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进入新时代，文旅融合与数字化转型加速推进，红色旅游成为传承红色基因、培育时代新人的重要载体。山东省精品旅游产业被列为“十强产业”，产业数字化转型加速推进。《职业院校人工智能应用指引》明确要求推进人工智能与职业教育教学深度融合。高职旅游类高技能人才培养面临“政治素质过硬、专业能力扎实、数字素养适配”的时代新要求。</w:t>
      </w:r>
    </w:p>
    <w:p w14:paraId="4AE96301">
      <w:pPr>
        <w:ind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然而，长期实践存在三重结构性困境：</w:t>
      </w:r>
    </w:p>
    <w:p w14:paraId="1602F477">
      <w:pPr>
        <w:ind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一是红色文化育人“悬浮”。红色文化在专业教育中停留于零散的内容嵌入，未能转化为贯穿人才培养全过程的价值统领。学生以“参观者”身份被动接受，缺乏沉浸式实景体验和主动传播实践，红色旅游资源育人潜能未充分释放，学生“会技能而缺情怀”。</w:t>
      </w:r>
    </w:p>
    <w:p w14:paraId="574FA20A">
      <w:pPr>
        <w:ind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二是思政教育与专业教学“两张皮”。课程思政与专业课程目标分离，价值塑造与能力培养不同步。学生掌握的红色资源知识难以有效转化到导游讲解、线路设计、研学策划等专业任务中，思政教育与专业教学各自为战，“知”与“行”之间存在显著断裂。</w:t>
      </w:r>
    </w:p>
    <w:p w14:paraId="1E3EB118">
      <w:pPr>
        <w:ind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三是人工智能等新技术应用“滞后”。旅游行业数字化转型加速推进，但教学手段更新严重滞后。学生对AI工具、智能</w:t>
      </w:r>
      <w:r>
        <w:rPr>
          <w:rFonts w:hint="eastAsia" w:ascii="仿宋_GB2312" w:hAnsi="仿宋_GB2312" w:eastAsia="仿宋_GB2312" w:cs="仿宋_GB2312"/>
          <w:sz w:val="28"/>
          <w:szCs w:val="28"/>
          <w:lang w:val="en-US" w:eastAsia="zh-CN"/>
        </w:rPr>
        <w:t>导览</w:t>
      </w:r>
      <w:r>
        <w:rPr>
          <w:rFonts w:hint="default" w:ascii="仿宋_GB2312" w:hAnsi="仿宋_GB2312" w:eastAsia="仿宋_GB2312" w:cs="仿宋_GB2312"/>
          <w:sz w:val="28"/>
          <w:szCs w:val="28"/>
          <w:lang w:val="en-US" w:eastAsia="zh-CN"/>
        </w:rPr>
        <w:t>系统、旅游数据分析等岗位必备技能掌握不足，教学手段与行业实际需求之间存在明显的“技术代差”，学生数字素养培养缺位。</w:t>
      </w:r>
    </w:p>
    <w:p w14:paraId="74F398D6">
      <w:pPr>
        <w:ind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针对上述问题，成果综合运用情境学习理论与具身认知理论，自2018年起依托山东省旅游管理高水平专业群和山东丰富的红色旅游资源，持续开展理论探索与实践创新，</w:t>
      </w:r>
      <w:r>
        <w:rPr>
          <w:rFonts w:hint="eastAsia" w:ascii="仿宋_GB2312" w:hAnsi="仿宋_GB2312" w:eastAsia="仿宋_GB2312" w:cs="仿宋_GB2312"/>
          <w:sz w:val="28"/>
          <w:szCs w:val="28"/>
          <w:lang w:val="en-US" w:eastAsia="zh-CN"/>
        </w:rPr>
        <w:t>2022年形成省级教学成果：</w:t>
      </w:r>
      <w:r>
        <w:rPr>
          <w:rFonts w:hint="default" w:ascii="仿宋_GB2312" w:hAnsi="仿宋_GB2312" w:eastAsia="仿宋_GB2312" w:cs="仿宋_GB2312"/>
          <w:sz w:val="28"/>
          <w:szCs w:val="28"/>
          <w:lang w:val="en-US" w:eastAsia="zh-CN"/>
        </w:rPr>
        <w:t>“工匠精神”为内核的高职旅游类专业学生职业素养培育研究与实践</w:t>
      </w:r>
      <w:r>
        <w:rPr>
          <w:rFonts w:hint="eastAsia" w:ascii="仿宋_GB2312" w:hAnsi="仿宋_GB2312" w:eastAsia="仿宋_GB2312" w:cs="仿宋_GB2312"/>
          <w:sz w:val="28"/>
          <w:szCs w:val="28"/>
          <w:lang w:val="en-US" w:eastAsia="zh-CN"/>
        </w:rPr>
        <w:t>。后经4年的检验和修正，</w:t>
      </w:r>
      <w:r>
        <w:rPr>
          <w:rFonts w:hint="default" w:ascii="仿宋_GB2312" w:hAnsi="仿宋_GB2312" w:eastAsia="仿宋_GB2312" w:cs="仿宋_GB2312"/>
          <w:sz w:val="28"/>
          <w:szCs w:val="28"/>
          <w:lang w:val="en-US" w:eastAsia="zh-CN"/>
        </w:rPr>
        <w:t>逐步形成“红旅铸魂·数智赋能”双轮驱动的旅游类高技能人才培养新模式。</w:t>
      </w:r>
    </w:p>
    <w:p w14:paraId="29D8E24B">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0"/>
        <w:rPr>
          <w:rFonts w:hint="eastAsia" w:ascii="黑体" w:hAnsi="黑体" w:eastAsia="黑体" w:cs="黑体"/>
          <w:sz w:val="32"/>
          <w:szCs w:val="32"/>
          <w:lang w:val="en-US" w:eastAsia="zh-CN"/>
        </w:rPr>
      </w:pPr>
      <w:bookmarkStart w:id="2" w:name="_Toc19809"/>
      <w:bookmarkStart w:id="3" w:name="_Toc25657"/>
      <w:r>
        <w:rPr>
          <w:rFonts w:hint="eastAsia" w:ascii="黑体" w:hAnsi="黑体" w:eastAsia="黑体" w:cs="黑体"/>
          <w:sz w:val="32"/>
          <w:szCs w:val="32"/>
          <w:lang w:val="en-US" w:eastAsia="zh-CN"/>
        </w:rPr>
        <w:t>二、解决问题的方法与过程</w:t>
      </w:r>
      <w:bookmarkEnd w:id="2"/>
      <w:bookmarkEnd w:id="3"/>
    </w:p>
    <w:p w14:paraId="4763625B">
      <w:pPr>
        <w:ind w:firstLine="562" w:firstLineChars="200"/>
        <w:outlineLvl w:val="1"/>
        <w:rPr>
          <w:rFonts w:hint="default" w:ascii="仿宋_GB2312" w:hAnsi="仿宋_GB2312" w:eastAsia="仿宋_GB2312" w:cs="仿宋_GB2312"/>
          <w:b/>
          <w:bCs/>
          <w:sz w:val="28"/>
          <w:szCs w:val="28"/>
          <w:lang w:val="en-US" w:eastAsia="zh-CN"/>
        </w:rPr>
      </w:pPr>
      <w:bookmarkStart w:id="4" w:name="_Toc23903"/>
      <w:r>
        <w:rPr>
          <w:rFonts w:hint="eastAsia" w:ascii="仿宋_GB2312" w:hAnsi="仿宋_GB2312" w:eastAsia="仿宋_GB2312" w:cs="仿宋_GB2312"/>
          <w:b/>
          <w:bCs/>
          <w:sz w:val="28"/>
          <w:szCs w:val="28"/>
          <w:lang w:val="en-US" w:eastAsia="zh-CN"/>
        </w:rPr>
        <w:t>（一）构建“红智双融·螺旋递进”人才培养模式</w:t>
      </w:r>
      <w:bookmarkEnd w:id="4"/>
    </w:p>
    <w:p w14:paraId="5E5E4B0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_GB2312" w:hAnsi="仿宋_GB2312" w:eastAsia="仿宋_GB2312" w:cs="仿宋_GB2312"/>
          <w:sz w:val="28"/>
          <w:szCs w:val="28"/>
          <w:lang w:val="en-US" w:eastAsia="zh-CN"/>
        </w:rPr>
      </w:pPr>
      <w:r>
        <w:drawing>
          <wp:inline distT="0" distB="0" distL="114300" distR="114300">
            <wp:extent cx="5273040" cy="2966085"/>
            <wp:effectExtent l="0" t="0" r="1016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040" cy="2966085"/>
                    </a:xfrm>
                    <a:prstGeom prst="rect">
                      <a:avLst/>
                    </a:prstGeom>
                    <a:noFill/>
                    <a:ln>
                      <a:noFill/>
                    </a:ln>
                  </pic:spPr>
                </pic:pic>
              </a:graphicData>
            </a:graphic>
          </wp:inline>
        </w:drawing>
      </w:r>
    </w:p>
    <w:p w14:paraId="20CEBDAE">
      <w:pPr>
        <w:ind w:firstLine="480" w:firstLineChars="200"/>
        <w:jc w:val="cente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   “红智双融·螺旋递进”人才培养模式</w:t>
      </w:r>
    </w:p>
    <w:p w14:paraId="209DE618">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成果提出了“红色文化与数智技术协同推进”的育人理念，构建了以红色文化为价值内核、数智技术为引擎的“红智双融·螺旋递进”人才培养模式。该模式以“红旅实景育人”为价值实现路径，将专业实践教学与红色文化教育深度融合，学生在完成专业任务中实现“做中学、讲中悟”；以“白泽”大模型为技术支撑引擎，构建虚实互嵌、人机协同的智能教学新样态。两大引擎相互赋能，红色场景为AI提供真实语料与训练数据，AI让红色教育实现个性化、沉浸式与可复制，形成“红色有根、技术有魂”的育人新生态。</w:t>
      </w:r>
    </w:p>
    <w:p w14:paraId="0DFE9B22">
      <w:pPr>
        <w:ind w:firstLine="562" w:firstLineChars="200"/>
        <w:outlineLvl w:val="1"/>
        <w:rPr>
          <w:rFonts w:hint="eastAsia" w:ascii="仿宋_GB2312" w:hAnsi="仿宋_GB2312" w:eastAsia="仿宋_GB2312" w:cs="仿宋_GB2312"/>
          <w:b/>
          <w:bCs/>
          <w:sz w:val="28"/>
          <w:szCs w:val="28"/>
          <w:lang w:val="en-US" w:eastAsia="zh-CN"/>
        </w:rPr>
      </w:pPr>
      <w:bookmarkStart w:id="5" w:name="_Toc10905"/>
      <w:r>
        <w:rPr>
          <w:rFonts w:hint="eastAsia" w:ascii="仿宋_GB2312" w:hAnsi="仿宋_GB2312" w:eastAsia="仿宋_GB2312" w:cs="仿宋_GB2312"/>
          <w:b/>
          <w:bCs/>
          <w:sz w:val="28"/>
          <w:szCs w:val="28"/>
          <w:lang w:val="en-US" w:eastAsia="zh-CN"/>
        </w:rPr>
        <w:t>（二）红色铸魂，创设“红旅实景育人”范式</w:t>
      </w:r>
      <w:bookmarkEnd w:id="5"/>
    </w:p>
    <w:p w14:paraId="6EB8B9A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lang w:val="en-US" w:eastAsia="zh-CN"/>
        </w:rPr>
      </w:pPr>
      <w:r>
        <w:drawing>
          <wp:inline distT="0" distB="0" distL="114300" distR="114300">
            <wp:extent cx="5273040" cy="2734945"/>
            <wp:effectExtent l="0" t="0" r="10160" b="825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6"/>
                    <a:stretch>
                      <a:fillRect/>
                    </a:stretch>
                  </pic:blipFill>
                  <pic:spPr>
                    <a:xfrm>
                      <a:off x="0" y="0"/>
                      <a:ext cx="5273040" cy="2734945"/>
                    </a:xfrm>
                    <a:prstGeom prst="rect">
                      <a:avLst/>
                    </a:prstGeom>
                    <a:noFill/>
                    <a:ln>
                      <a:noFill/>
                    </a:ln>
                  </pic:spPr>
                </pic:pic>
              </a:graphicData>
            </a:graphic>
          </wp:inline>
        </w:drawing>
      </w:r>
    </w:p>
    <w:p w14:paraId="07C265BE">
      <w:pPr>
        <w:ind w:firstLine="480" w:firstLineChars="200"/>
        <w:jc w:val="cente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图2 红旅实景育人范式</w:t>
      </w:r>
    </w:p>
    <w:p w14:paraId="33F29491">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依托山东丰富的红色文旅资源，成果创新打造“红色山东·行走课堂”品牌，构建“</w:t>
      </w:r>
      <w:r>
        <w:rPr>
          <w:rFonts w:hint="eastAsia" w:ascii="仿宋_GB2312" w:hAnsi="仿宋_GB2312" w:eastAsia="仿宋_GB2312" w:cs="仿宋_GB2312"/>
          <w:b/>
          <w:bCs/>
          <w:sz w:val="28"/>
          <w:szCs w:val="28"/>
          <w:lang w:val="en-US" w:eastAsia="zh-CN"/>
        </w:rPr>
        <w:t>场域转换—任务驱动—情感内化—价值引领</w:t>
      </w:r>
      <w:r>
        <w:rPr>
          <w:rFonts w:hint="eastAsia" w:ascii="仿宋_GB2312" w:hAnsi="仿宋_GB2312" w:eastAsia="仿宋_GB2312" w:cs="仿宋_GB2312"/>
          <w:sz w:val="28"/>
          <w:szCs w:val="28"/>
          <w:lang w:val="en-US" w:eastAsia="zh-CN"/>
        </w:rPr>
        <w:t>”的闭环育人机制。品牌活动整合全省16市红色旅游资源，聚焦141个爱国主义教育基地，通过定期举办红色主题教育活动、开发红色研学课程、制作红色短视频和编写讲解词等教育教学活动，将红色资源转化为生动的教学案例，形成“一馆四课堂”红色文化育人阵地。</w:t>
      </w:r>
    </w:p>
    <w:p w14:paraId="7DCB88B8">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在实施路径上，构建了“</w:t>
      </w:r>
      <w:r>
        <w:rPr>
          <w:rFonts w:hint="eastAsia" w:ascii="仿宋_GB2312" w:hAnsi="仿宋_GB2312" w:eastAsia="仿宋_GB2312" w:cs="仿宋_GB2312"/>
          <w:b/>
          <w:bCs/>
          <w:sz w:val="28"/>
          <w:szCs w:val="28"/>
          <w:lang w:val="en-US" w:eastAsia="zh-CN"/>
        </w:rPr>
        <w:t>价值筑基→能力跃升→使命担当</w:t>
      </w:r>
      <w:r>
        <w:rPr>
          <w:rFonts w:hint="eastAsia" w:ascii="仿宋_GB2312" w:hAnsi="仿宋_GB2312" w:eastAsia="仿宋_GB2312" w:cs="仿宋_GB2312"/>
          <w:sz w:val="28"/>
          <w:szCs w:val="28"/>
          <w:lang w:val="en-US" w:eastAsia="zh-CN"/>
        </w:rPr>
        <w:t>”三段递升路径。低年级侧重红色精神启蒙与职业认同，中年级通过真实任务驱动专业能力与职业精神协同生成，高年级在顶岗实习与社会实践中形成稳定使命意识，使学生从“技能习得者”转变为“价值传播者”。</w:t>
      </w:r>
    </w:p>
    <w:p w14:paraId="7A8E3731">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红色山东·行走课堂”自创办以来，始终坚持党建与业务深度融合、思政教育与专业实践有机衔接。学院连续举办三届课程思政暨习近平文化思想“三进”示范课比赛，覆盖全部课程和教师，深度挖掘文化遗产保护利用、优质旅游服务、文明旅游风尚等元素与旅游专业教学的融合点，推动课程思政与智慧教学改革。</w:t>
      </w:r>
    </w:p>
    <w:p w14:paraId="1BA736EE">
      <w:pPr>
        <w:ind w:firstLine="562" w:firstLineChars="200"/>
        <w:outlineLvl w:val="1"/>
        <w:rPr>
          <w:rFonts w:hint="eastAsia" w:ascii="仿宋_GB2312" w:hAnsi="仿宋_GB2312" w:eastAsia="仿宋_GB2312" w:cs="仿宋_GB2312"/>
          <w:b/>
          <w:bCs/>
          <w:sz w:val="28"/>
          <w:szCs w:val="28"/>
          <w:lang w:val="en-US" w:eastAsia="zh-CN"/>
        </w:rPr>
      </w:pPr>
      <w:bookmarkStart w:id="6" w:name="_Toc15319"/>
      <w:r>
        <w:rPr>
          <w:rFonts w:hint="eastAsia" w:ascii="仿宋_GB2312" w:hAnsi="仿宋_GB2312" w:eastAsia="仿宋_GB2312" w:cs="仿宋_GB2312"/>
          <w:b/>
          <w:bCs/>
          <w:sz w:val="28"/>
          <w:szCs w:val="28"/>
          <w:lang w:val="en-US" w:eastAsia="zh-CN"/>
        </w:rPr>
        <w:t>（三）数智赋能，自主研发“白泽”旅游职业教育大模型</w:t>
      </w:r>
      <w:bookmarkEnd w:id="6"/>
    </w:p>
    <w:p w14:paraId="21900613">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成果自主研发了国内首个面向旅游职业教育的专业级人工智能平台“白泽”大模型。构建了智能教学、产教融合、行业应用等8大功能矩阵，通过48个标准化接口实现与教学、产业场景无缝对接。</w:t>
      </w:r>
    </w:p>
    <w:p w14:paraId="6C029F2B">
      <w:pPr>
        <w:ind w:firstLine="420" w:firstLineChars="200"/>
        <w:rPr>
          <w:rFonts w:hint="eastAsia" w:ascii="仿宋_GB2312" w:hAnsi="仿宋_GB2312" w:eastAsia="仿宋_GB2312" w:cs="仿宋_GB2312"/>
          <w:sz w:val="28"/>
          <w:szCs w:val="28"/>
          <w:lang w:val="en-US" w:eastAsia="zh-CN"/>
        </w:rPr>
      </w:pPr>
      <w:r>
        <w:drawing>
          <wp:inline distT="0" distB="0" distL="114300" distR="114300">
            <wp:extent cx="5273675" cy="2249805"/>
            <wp:effectExtent l="0" t="0" r="9525" b="1079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7"/>
                    <a:stretch>
                      <a:fillRect/>
                    </a:stretch>
                  </pic:blipFill>
                  <pic:spPr>
                    <a:xfrm>
                      <a:off x="0" y="0"/>
                      <a:ext cx="5273675" cy="2249805"/>
                    </a:xfrm>
                    <a:prstGeom prst="rect">
                      <a:avLst/>
                    </a:prstGeom>
                    <a:noFill/>
                    <a:ln>
                      <a:noFill/>
                    </a:ln>
                  </pic:spPr>
                </pic:pic>
              </a:graphicData>
            </a:graphic>
          </wp:inline>
        </w:drawing>
      </w:r>
    </w:p>
    <w:p w14:paraId="68E7F945">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在技术应用层面，成果构建了“虚拟认知—真实实践—融合反思—能力迁移”的AI闭环教学流程。AI数字人引导模拟训练，学生进入红色景区真实场景实战，再返回虚拟环境复盘优化，实现能力螺旋提升。“白泽”大模型现已完成全校302门专业课程的100%智能化改造，教师备课效率提升40%，课程资源开发周期缩短60%，学生实训一次性通过率从70%提升至85%。</w:t>
      </w:r>
    </w:p>
    <w:p w14:paraId="49BF56A0">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在体系支撑层面，成果构建了“三台联动·立体支撑”的教学平台体系，资源供给台以“白泽”大模型为中枢，建成文旅教学数据库；场景承载台依托校内实训中心、141个红色基地及30余家头部企业，形成梯度化实践场景链；生态赋能台汇聚全国旅游信息传播产教融合共同体等5个省级以上行业平台，打通“行业需求→标准研制→教学实施→人才输出→产业反哺”的闭环链路。</w:t>
      </w:r>
    </w:p>
    <w:p w14:paraId="4DF3404B">
      <w:pPr>
        <w:ind w:firstLine="562" w:firstLineChars="200"/>
        <w:outlineLvl w:val="1"/>
        <w:rPr>
          <w:rFonts w:hint="eastAsia" w:ascii="仿宋_GB2312" w:hAnsi="仿宋_GB2312" w:eastAsia="仿宋_GB2312" w:cs="仿宋_GB2312"/>
          <w:b/>
          <w:bCs/>
          <w:sz w:val="28"/>
          <w:szCs w:val="28"/>
          <w:lang w:val="en-US" w:eastAsia="zh-CN"/>
        </w:rPr>
      </w:pPr>
      <w:bookmarkStart w:id="7" w:name="_Toc29835"/>
      <w:r>
        <w:rPr>
          <w:rFonts w:hint="eastAsia" w:ascii="仿宋_GB2312" w:hAnsi="仿宋_GB2312" w:eastAsia="仿宋_GB2312" w:cs="仿宋_GB2312"/>
          <w:b/>
          <w:bCs/>
          <w:sz w:val="28"/>
          <w:szCs w:val="28"/>
          <w:lang w:val="en-US" w:eastAsia="zh-CN"/>
        </w:rPr>
        <w:t>（四）四堂协同，构建多场域联动的立体化育人空间</w:t>
      </w:r>
      <w:bookmarkEnd w:id="7"/>
    </w:p>
    <w:p w14:paraId="2ABFFA4A">
      <w:pPr>
        <w:keepNext w:val="0"/>
        <w:keepLines w:val="0"/>
        <w:pageBreakBefore w:val="0"/>
        <w:widowControl w:val="0"/>
        <w:numPr>
          <w:ilvl w:val="0"/>
          <w:numId w:val="0"/>
        </w:numPr>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lang w:val="en-US" w:eastAsia="zh-CN"/>
        </w:rPr>
      </w:pPr>
      <w:r>
        <w:drawing>
          <wp:inline distT="0" distB="0" distL="114300" distR="114300">
            <wp:extent cx="5273040" cy="2919730"/>
            <wp:effectExtent l="0" t="0" r="10160" b="127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73040" cy="2919730"/>
                    </a:xfrm>
                    <a:prstGeom prst="rect">
                      <a:avLst/>
                    </a:prstGeom>
                    <a:noFill/>
                    <a:ln>
                      <a:noFill/>
                    </a:ln>
                  </pic:spPr>
                </pic:pic>
              </a:graphicData>
            </a:graphic>
          </wp:inline>
        </w:drawing>
      </w:r>
    </w:p>
    <w:p w14:paraId="3850D43D">
      <w:pPr>
        <w:numPr>
          <w:ilvl w:val="0"/>
          <w:numId w:val="0"/>
        </w:numPr>
        <w:ind w:firstLine="480" w:firstLineChars="200"/>
        <w:jc w:val="cente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图3  四堂协同立体化育人空间</w:t>
      </w:r>
    </w:p>
    <w:p w14:paraId="3E0EE6C6">
      <w:pPr>
        <w:numPr>
          <w:ilvl w:val="0"/>
          <w:numId w:val="0"/>
        </w:num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围绕旅游类专业实践性强、场景依赖度高的特点，模式系统构建了专业课堂、实践课堂、行走课堂和虚拟课堂协同运行的“四堂”育人体系。</w:t>
      </w:r>
    </w:p>
    <w:p w14:paraId="6CE0E891">
      <w:pPr>
        <w:numPr>
          <w:ilvl w:val="0"/>
          <w:numId w:val="0"/>
        </w:numPr>
        <w:ind w:firstLine="562"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专业课堂，</w:t>
      </w:r>
      <w:r>
        <w:rPr>
          <w:rFonts w:hint="eastAsia" w:ascii="仿宋_GB2312" w:hAnsi="仿宋_GB2312" w:eastAsia="仿宋_GB2312" w:cs="仿宋_GB2312"/>
          <w:sz w:val="28"/>
          <w:szCs w:val="28"/>
          <w:lang w:val="en-US" w:eastAsia="zh-CN"/>
        </w:rPr>
        <w:t>突出价值引领与技能培养同步设计，将红色文化转化为导游讲解、旅游服务、景区管理等真实教学任务，系统提高专业课堂的培养效果；</w:t>
      </w:r>
      <w:r>
        <w:rPr>
          <w:rFonts w:hint="eastAsia" w:ascii="仿宋_GB2312" w:hAnsi="仿宋_GB2312" w:eastAsia="仿宋_GB2312" w:cs="仿宋_GB2312"/>
          <w:b/>
          <w:bCs/>
          <w:sz w:val="28"/>
          <w:szCs w:val="28"/>
          <w:lang w:val="en-US" w:eastAsia="zh-CN"/>
        </w:rPr>
        <w:t>实践课堂，</w:t>
      </w:r>
      <w:r>
        <w:rPr>
          <w:rFonts w:hint="eastAsia" w:ascii="仿宋_GB2312" w:hAnsi="仿宋_GB2312" w:eastAsia="仿宋_GB2312" w:cs="仿宋_GB2312"/>
          <w:sz w:val="28"/>
          <w:szCs w:val="28"/>
          <w:lang w:val="en-US" w:eastAsia="zh-CN"/>
        </w:rPr>
        <w:t>依托校内实训基地和企业平台，强化学生职业技能训练，通过校内的校园红色讲解员大赛、红色山东行走课堂演绎、沂蒙红嫂家乡旅游区等红色景区三下乡等活动，提高学生的职业技能；</w:t>
      </w:r>
      <w:r>
        <w:rPr>
          <w:rFonts w:hint="eastAsia" w:ascii="仿宋_GB2312" w:hAnsi="仿宋_GB2312" w:eastAsia="仿宋_GB2312" w:cs="仿宋_GB2312"/>
          <w:b/>
          <w:bCs/>
          <w:sz w:val="28"/>
          <w:szCs w:val="28"/>
          <w:lang w:val="en-US" w:eastAsia="zh-CN"/>
        </w:rPr>
        <w:t>行走课堂，</w:t>
      </w:r>
      <w:r>
        <w:rPr>
          <w:rFonts w:hint="eastAsia" w:ascii="仿宋_GB2312" w:hAnsi="仿宋_GB2312" w:eastAsia="仿宋_GB2312" w:cs="仿宋_GB2312"/>
          <w:sz w:val="28"/>
          <w:szCs w:val="28"/>
          <w:lang w:val="en-US" w:eastAsia="zh-CN"/>
        </w:rPr>
        <w:t>依托全省的爱国主义教育基地，将真实职业场景转化为育人现场；</w:t>
      </w:r>
      <w:r>
        <w:rPr>
          <w:rFonts w:hint="eastAsia" w:ascii="仿宋_GB2312" w:hAnsi="仿宋_GB2312" w:eastAsia="仿宋_GB2312" w:cs="仿宋_GB2312"/>
          <w:b/>
          <w:bCs/>
          <w:sz w:val="28"/>
          <w:szCs w:val="28"/>
          <w:lang w:val="en-US" w:eastAsia="zh-CN"/>
        </w:rPr>
        <w:t>虚拟课堂，</w:t>
      </w:r>
      <w:r>
        <w:rPr>
          <w:rFonts w:hint="eastAsia" w:ascii="仿宋_GB2312" w:hAnsi="仿宋_GB2312" w:eastAsia="仿宋_GB2312" w:cs="仿宋_GB2312"/>
          <w:b w:val="0"/>
          <w:bCs w:val="0"/>
          <w:sz w:val="28"/>
          <w:szCs w:val="28"/>
          <w:lang w:val="en-US" w:eastAsia="zh-CN"/>
        </w:rPr>
        <w:t>依托自主大模型，通</w:t>
      </w:r>
      <w:r>
        <w:rPr>
          <w:rFonts w:hint="eastAsia" w:ascii="仿宋_GB2312" w:hAnsi="仿宋_GB2312" w:eastAsia="仿宋_GB2312" w:cs="仿宋_GB2312"/>
          <w:sz w:val="28"/>
          <w:szCs w:val="28"/>
          <w:lang w:val="en-US" w:eastAsia="zh-CN"/>
        </w:rPr>
        <w:t>过虚拟仿真和智能交互，突破时间和空间限制，增强学习的沉浸感和参与度。</w:t>
      </w:r>
    </w:p>
    <w:p w14:paraId="4F2C14C5">
      <w:pPr>
        <w:numPr>
          <w:ilvl w:val="0"/>
          <w:numId w:val="0"/>
        </w:num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以四堂协同为组织框架，构建“四阶·双环”实景融通实践教学体系。遵循“认知—模拟—实景—创新”四阶递进，以“白泽”构建虚拟仿真内环，以红色基地和企业为真实场景外环，形成“虚拟预演—真实验证—反思迁移”双环联动，贯通课内课外、校内校外、线上线下、虚实融合的全域实践育人空间。</w:t>
      </w:r>
    </w:p>
    <w:p w14:paraId="30C985E8">
      <w:pPr>
        <w:numPr>
          <w:ilvl w:val="0"/>
          <w:numId w:val="0"/>
        </w:numPr>
        <w:ind w:left="0" w:leftChars="0" w:firstLine="562" w:firstLineChars="200"/>
        <w:outlineLvl w:val="1"/>
        <w:rPr>
          <w:rFonts w:hint="eastAsia" w:ascii="仿宋_GB2312" w:hAnsi="仿宋_GB2312" w:eastAsia="仿宋_GB2312" w:cs="仿宋_GB2312"/>
          <w:b/>
          <w:bCs/>
          <w:sz w:val="28"/>
          <w:szCs w:val="28"/>
          <w:lang w:val="en-US" w:eastAsia="zh-CN"/>
        </w:rPr>
      </w:pPr>
      <w:bookmarkStart w:id="8" w:name="_Toc16282"/>
      <w:r>
        <w:rPr>
          <w:rFonts w:hint="eastAsia" w:ascii="仿宋_GB2312" w:hAnsi="仿宋_GB2312" w:eastAsia="仿宋_GB2312" w:cs="仿宋_GB2312"/>
          <w:b/>
          <w:bCs/>
          <w:sz w:val="28"/>
          <w:szCs w:val="28"/>
          <w:lang w:val="en-US" w:eastAsia="zh-CN"/>
        </w:rPr>
        <w:t>（五）体系重构，构建“一核双线·三阶四融”课程体系与保障机制</w:t>
      </w:r>
      <w:bookmarkEnd w:id="8"/>
    </w:p>
    <w:p w14:paraId="6DBA16B7">
      <w:pPr>
        <w:numPr>
          <w:ilvl w:val="0"/>
          <w:numId w:val="0"/>
        </w:num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课程体系上，以红色文化为价值统领、数智技术为驱动，构建“一核双线·三阶四融”的课程结构。“一核”即以红色文化为课程价值统领，将24个思政模块系统嵌入专业核心课程；“双线”即红色文化主线贯穿课程目标、内容与评价全过程，AI技术主线依托“白泽”大模型推动课程内容动态更新与教学方式智能重构；“三阶”即遵循学生认知与能力成长规律，构建“基础通识—专业核心—拓展创新”递进式课程结构；“四融”即推动思政元素与专业内容融通、产业技术标准与课程内容融通、理论与实践教学融通、课程学习与职业认证融通。通过这一体系，红色文化由“课程思政内容”上升为“专业育人主线”。</w:t>
      </w:r>
    </w:p>
    <w:p w14:paraId="13E90E0B">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保障机制上，构建“四维驱动·闭环运行”教学保障机制。一是价值导航，以立德树人为根本，将红色文化价值统领贯穿人才培养全过程。二是技术护航，以“白泽”大模型为技术底座，构建教学全流程智能化监控与支持系统。三是制度保障，出台系列文件，建立“校—系—专业”三级联动、“政行企校”四方协同的组织架构。四是评价反馈，依托“白泽”数字画像系统，构建“过程评价+结果评价+增值评价”三维评价模型，实现“目标—实施—评价—改进”的动态迭代闭环。</w:t>
      </w:r>
    </w:p>
    <w:p w14:paraId="0CED6C73">
      <w:pPr>
        <w:ind w:firstLine="560" w:firstLineChars="200"/>
        <w:outlineLvl w:val="0"/>
        <w:rPr>
          <w:rFonts w:hint="eastAsia" w:ascii="黑体" w:hAnsi="黑体" w:eastAsia="黑体" w:cs="黑体"/>
          <w:sz w:val="28"/>
          <w:szCs w:val="28"/>
          <w:lang w:val="en-US" w:eastAsia="zh-CN"/>
        </w:rPr>
      </w:pPr>
      <w:bookmarkStart w:id="9" w:name="_Toc1185"/>
      <w:bookmarkStart w:id="10" w:name="_Toc3993"/>
      <w:r>
        <w:rPr>
          <w:rFonts w:hint="eastAsia" w:ascii="黑体" w:hAnsi="黑体" w:eastAsia="黑体" w:cs="黑体"/>
          <w:sz w:val="28"/>
          <w:szCs w:val="28"/>
          <w:lang w:val="en-US" w:eastAsia="zh-CN"/>
        </w:rPr>
        <w:t>三、成果创新点</w:t>
      </w:r>
      <w:bookmarkEnd w:id="9"/>
      <w:bookmarkEnd w:id="10"/>
    </w:p>
    <w:p w14:paraId="26773F33">
      <w:pPr>
        <w:ind w:firstLine="562" w:firstLineChars="200"/>
        <w:outlineLvl w:val="1"/>
        <w:rPr>
          <w:rFonts w:hint="eastAsia" w:ascii="仿宋_GB2312" w:hAnsi="仿宋_GB2312" w:eastAsia="仿宋_GB2312" w:cs="仿宋_GB2312"/>
          <w:b/>
          <w:bCs/>
          <w:sz w:val="28"/>
          <w:szCs w:val="28"/>
          <w:lang w:val="en-US" w:eastAsia="zh-CN"/>
        </w:rPr>
      </w:pPr>
      <w:bookmarkStart w:id="11" w:name="_Toc6667"/>
      <w:bookmarkStart w:id="12" w:name="_Toc29150"/>
      <w:r>
        <w:rPr>
          <w:rFonts w:hint="eastAsia" w:ascii="仿宋_GB2312" w:hAnsi="仿宋_GB2312" w:eastAsia="仿宋_GB2312" w:cs="仿宋_GB2312"/>
          <w:b/>
          <w:bCs/>
          <w:sz w:val="28"/>
          <w:szCs w:val="28"/>
          <w:lang w:val="en-US" w:eastAsia="zh-CN"/>
        </w:rPr>
        <w:t>（一）理念创新，提出“红色基因与职业能力同生共长”的育人理念，实现学生角色跃迁</w:t>
      </w:r>
      <w:bookmarkEnd w:id="11"/>
    </w:p>
    <w:p w14:paraId="7D26A3F7">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成果突破了将红色文化仅作为“课程思政内容”嵌入教学的惯常做法，在理论层面首次提出“红色基因与职业能力同生共长”的育人新理念。其核心突破在于，将传统的“思政教育+专业教育”二元叠加结构，变革为“在真实职业场景中实现价值内生”的融合共生结构。通过构建“场域转换—任务驱动—情感内化—价值引领”的育人闭环，使学生在完成导游讲解、研学策划等真实职业任务的过程中，同步完成从“技能习得者”到“价值传播者”的跨越式身份转变，为解决职业教育中长期存在的“德技分离”困境提供了独特的理论视角与实践范式。</w:t>
      </w:r>
    </w:p>
    <w:p w14:paraId="7D291E09">
      <w:pPr>
        <w:ind w:firstLine="562" w:firstLineChars="200"/>
        <w:outlineLvl w:val="1"/>
        <w:rPr>
          <w:rFonts w:hint="eastAsia" w:ascii="仿宋_GB2312" w:hAnsi="仿宋_GB2312" w:eastAsia="仿宋_GB2312" w:cs="仿宋_GB2312"/>
          <w:b/>
          <w:bCs/>
          <w:sz w:val="28"/>
          <w:szCs w:val="28"/>
          <w:lang w:val="en-US" w:eastAsia="zh-CN"/>
        </w:rPr>
      </w:pPr>
      <w:bookmarkStart w:id="13" w:name="_Toc8598"/>
      <w:r>
        <w:rPr>
          <w:rFonts w:hint="eastAsia" w:ascii="仿宋_GB2312" w:hAnsi="仿宋_GB2312" w:eastAsia="仿宋_GB2312" w:cs="仿宋_GB2312"/>
          <w:b/>
          <w:bCs/>
          <w:sz w:val="28"/>
          <w:szCs w:val="28"/>
          <w:lang w:val="en-US" w:eastAsia="zh-CN"/>
        </w:rPr>
        <w:t>（二）模式创新，首创“白泽”大模型驱动的“双环联动”虚实融合教学新范式，打通技能转化通道</w:t>
      </w:r>
      <w:bookmarkEnd w:id="13"/>
    </w:p>
    <w:p w14:paraId="52B86715">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成果突破了传统信息化教学仅将技术作为辅助工具的局限，开创性地构建了“技术底层重构教学逻辑”的实践新形态。在技术层面，首创国内旅游职业教育垂直大模型“白泽”，完成专业课100%智能化改造，实现了从“工具辅助”到“智能驱动”的底层架构革新。在教学结构层面，独创“虚拟仿真内环”与“真实场景外环”深度耦合的“双环联动”机制：以“白泽”构建的虚拟仿真内环，提供容错、可无限重复的沉浸式训练环境；以全省141个红色教育基地及30余家头部企业构成的外环，提供真实的职业战场。通过“虚拟预演→真实验证→反思优化→能力迁移”的完整教学闭环，打通了技能从“模拟”到“实战”的无缝转化通道，创造了一种大模型深度驱动、虚实高度协同的教学新范式。</w:t>
      </w:r>
    </w:p>
    <w:p w14:paraId="193E8B4E">
      <w:pPr>
        <w:ind w:firstLine="562" w:firstLineChars="200"/>
        <w:outlineLvl w:val="1"/>
        <w:rPr>
          <w:rFonts w:hint="eastAsia" w:ascii="仿宋_GB2312" w:hAnsi="仿宋_GB2312" w:eastAsia="仿宋_GB2312" w:cs="仿宋_GB2312"/>
          <w:b/>
          <w:bCs/>
          <w:sz w:val="28"/>
          <w:szCs w:val="28"/>
          <w:lang w:val="en-US" w:eastAsia="zh-CN"/>
        </w:rPr>
      </w:pPr>
      <w:bookmarkStart w:id="14" w:name="_Toc5058"/>
      <w:r>
        <w:rPr>
          <w:rFonts w:hint="eastAsia" w:ascii="仿宋_GB2312" w:hAnsi="仿宋_GB2312" w:eastAsia="仿宋_GB2312" w:cs="仿宋_GB2312"/>
          <w:b/>
          <w:bCs/>
          <w:sz w:val="28"/>
          <w:szCs w:val="28"/>
          <w:lang w:val="en-US" w:eastAsia="zh-CN"/>
        </w:rPr>
        <w:t>（三）机制创新，创建需求牵引、闭环迭代的产教融合长效机制，实现人才供给与产业需求的动态精准适配</w:t>
      </w:r>
      <w:bookmarkEnd w:id="14"/>
    </w:p>
    <w:p w14:paraId="08ADABA0">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成果突破了产教融合“校企两张皮”的普遍困境，构建了一套“需求捕捉—标准转化—过程反馈—持续改进”的自适应运行机制。依托5个省级以上行业平台，将产业一线的技术变革、岗位需求实时转化为教学标准与课程内容；借助“白泽”大模型的数字画像与过程评价，实现培养质量的可视化监控与精准改进。整合资源供给、场景承载、生态赋能三大平台，打通“行业需求→标准研制→教学实施→人才输出→产业反哺”的完整链路。该机制使产教融合从“一次性合作”走向“持续进化”，确保了人才供给与产业发展需求的动态精准适配，为职业院校构建需求牵引、闭环迭代的育人体系提供了可复制的制度方案。</w:t>
      </w:r>
    </w:p>
    <w:p w14:paraId="0174E434">
      <w:pPr>
        <w:ind w:firstLine="560" w:firstLineChars="200"/>
        <w:rPr>
          <w:rFonts w:hint="eastAsia" w:ascii="仿宋_GB2312" w:hAnsi="仿宋_GB2312" w:eastAsia="仿宋_GB2312" w:cs="仿宋_GB2312"/>
          <w:sz w:val="28"/>
          <w:szCs w:val="28"/>
          <w:lang w:val="en-US" w:eastAsia="zh-CN"/>
        </w:rPr>
      </w:pPr>
    </w:p>
    <w:p w14:paraId="6813D02F">
      <w:pPr>
        <w:ind w:firstLine="560" w:firstLineChars="200"/>
        <w:rPr>
          <w:rFonts w:hint="eastAsia" w:ascii="仿宋_GB2312" w:hAnsi="仿宋_GB2312" w:eastAsia="仿宋_GB2312" w:cs="仿宋_GB2312"/>
          <w:sz w:val="28"/>
          <w:szCs w:val="28"/>
          <w:lang w:val="en-US" w:eastAsia="zh-CN"/>
        </w:rPr>
      </w:pPr>
    </w:p>
    <w:p w14:paraId="7C41EE39">
      <w:pPr>
        <w:ind w:firstLine="560" w:firstLineChars="200"/>
        <w:rPr>
          <w:rFonts w:hint="eastAsia" w:ascii="仿宋_GB2312" w:hAnsi="仿宋_GB2312" w:eastAsia="仿宋_GB2312" w:cs="仿宋_GB2312"/>
          <w:sz w:val="28"/>
          <w:szCs w:val="28"/>
          <w:lang w:val="en-US" w:eastAsia="zh-CN"/>
        </w:rPr>
      </w:pPr>
    </w:p>
    <w:p w14:paraId="5CB909D5">
      <w:pPr>
        <w:ind w:firstLine="560" w:firstLineChars="200"/>
        <w:rPr>
          <w:rFonts w:hint="eastAsia" w:ascii="仿宋_GB2312" w:hAnsi="仿宋_GB2312" w:eastAsia="仿宋_GB2312" w:cs="仿宋_GB2312"/>
          <w:sz w:val="28"/>
          <w:szCs w:val="28"/>
          <w:lang w:val="en-US" w:eastAsia="zh-CN"/>
        </w:rPr>
      </w:pPr>
    </w:p>
    <w:p w14:paraId="4E290AEE">
      <w:pPr>
        <w:ind w:firstLine="560" w:firstLineChars="200"/>
        <w:rPr>
          <w:rFonts w:hint="eastAsia" w:ascii="仿宋_GB2312" w:hAnsi="仿宋_GB2312" w:eastAsia="仿宋_GB2312" w:cs="仿宋_GB2312"/>
          <w:sz w:val="28"/>
          <w:szCs w:val="28"/>
          <w:lang w:val="en-US" w:eastAsia="zh-CN"/>
        </w:rPr>
      </w:pPr>
    </w:p>
    <w:p w14:paraId="3CA80A4E">
      <w:pPr>
        <w:ind w:firstLine="560" w:firstLineChars="200"/>
        <w:outlineLvl w:val="0"/>
        <w:rPr>
          <w:rFonts w:hint="eastAsia" w:ascii="黑体" w:hAnsi="黑体" w:eastAsia="黑体" w:cs="黑体"/>
          <w:sz w:val="28"/>
          <w:szCs w:val="28"/>
          <w:lang w:val="en-US" w:eastAsia="zh-CN"/>
        </w:rPr>
      </w:pPr>
      <w:bookmarkStart w:id="15" w:name="_Toc27269"/>
      <w:r>
        <w:rPr>
          <w:rFonts w:hint="eastAsia" w:ascii="黑体" w:hAnsi="黑体" w:eastAsia="黑体" w:cs="黑体"/>
          <w:sz w:val="28"/>
          <w:szCs w:val="28"/>
          <w:lang w:val="en-US" w:eastAsia="zh-CN"/>
        </w:rPr>
        <w:t>四、成果的推广应用效果</w:t>
      </w:r>
      <w:bookmarkEnd w:id="12"/>
      <w:bookmarkEnd w:id="15"/>
    </w:p>
    <w:p w14:paraId="35D1D6E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562" w:firstLineChars="200"/>
        <w:textAlignment w:val="auto"/>
        <w:outlineLvl w:val="1"/>
        <w:rPr>
          <w:rFonts w:hint="eastAsia" w:ascii="仿宋_GB2312" w:hAnsi="仿宋_GB2312" w:eastAsia="仿宋_GB2312" w:cs="仿宋_GB2312"/>
          <w:kern w:val="2"/>
          <w:sz w:val="28"/>
          <w:szCs w:val="28"/>
          <w:lang w:val="en-US" w:eastAsia="zh-CN" w:bidi="ar-SA"/>
        </w:rPr>
      </w:pPr>
      <w:bookmarkStart w:id="16" w:name="_Toc18266"/>
      <w:r>
        <w:rPr>
          <w:rFonts w:hint="eastAsia" w:ascii="仿宋_GB2312" w:hAnsi="仿宋_GB2312" w:eastAsia="仿宋_GB2312" w:cs="仿宋_GB2312"/>
          <w:b/>
          <w:bCs/>
          <w:kern w:val="2"/>
          <w:sz w:val="28"/>
          <w:szCs w:val="28"/>
          <w:lang w:val="en-US" w:eastAsia="zh-CN" w:bidi="ar-SA"/>
        </w:rPr>
        <w:t>(一)学生德技并修，成长质量显著提升</w:t>
      </w:r>
      <w:bookmarkEnd w:id="16"/>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89"/>
        <w:gridCol w:w="4233"/>
      </w:tblGrid>
      <w:tr w14:paraId="4B0F4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7045C58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eastAsia" w:ascii="仿宋_GB2312" w:hAnsi="仿宋_GB2312" w:eastAsia="仿宋_GB2312" w:cs="仿宋_GB2312"/>
                <w:kern w:val="2"/>
                <w:sz w:val="28"/>
                <w:szCs w:val="28"/>
                <w:vertAlign w:val="baseline"/>
                <w:lang w:val="en-US" w:eastAsia="zh-CN" w:bidi="ar-SA"/>
              </w:rPr>
            </w:pPr>
            <w:r>
              <w:rPr>
                <w:rFonts w:ascii="宋体" w:hAnsi="宋体" w:eastAsia="宋体" w:cs="宋体"/>
                <w:sz w:val="24"/>
                <w:szCs w:val="24"/>
              </w:rPr>
              <w:drawing>
                <wp:inline distT="0" distB="0" distL="114300" distR="114300">
                  <wp:extent cx="2509520" cy="1639570"/>
                  <wp:effectExtent l="0" t="0" r="5080" b="11430"/>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9"/>
                          <a:stretch>
                            <a:fillRect/>
                          </a:stretch>
                        </pic:blipFill>
                        <pic:spPr>
                          <a:xfrm>
                            <a:off x="0" y="0"/>
                            <a:ext cx="2509520" cy="1639570"/>
                          </a:xfrm>
                          <a:prstGeom prst="rect">
                            <a:avLst/>
                          </a:prstGeom>
                          <a:noFill/>
                          <a:ln w="9525">
                            <a:noFill/>
                          </a:ln>
                        </pic:spPr>
                      </pic:pic>
                    </a:graphicData>
                  </a:graphic>
                </wp:inline>
              </w:drawing>
            </w:r>
          </w:p>
        </w:tc>
        <w:tc>
          <w:tcPr>
            <w:tcW w:w="4261" w:type="dxa"/>
          </w:tcPr>
          <w:p w14:paraId="182CE37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eastAsia" w:ascii="仿宋_GB2312" w:hAnsi="仿宋_GB2312" w:eastAsia="仿宋_GB2312" w:cs="仿宋_GB2312"/>
                <w:kern w:val="2"/>
                <w:sz w:val="28"/>
                <w:szCs w:val="28"/>
                <w:vertAlign w:val="baseline"/>
                <w:lang w:val="en-US" w:eastAsia="zh-CN" w:bidi="ar-SA"/>
              </w:rPr>
            </w:pPr>
            <w:r>
              <w:rPr>
                <w:rFonts w:ascii="宋体" w:hAnsi="宋体" w:eastAsia="宋体" w:cs="宋体"/>
                <w:sz w:val="24"/>
                <w:szCs w:val="24"/>
              </w:rPr>
              <w:drawing>
                <wp:inline distT="0" distB="0" distL="114300" distR="114300">
                  <wp:extent cx="2717800" cy="1618615"/>
                  <wp:effectExtent l="0" t="0" r="0" b="6985"/>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10"/>
                          <a:stretch>
                            <a:fillRect/>
                          </a:stretch>
                        </pic:blipFill>
                        <pic:spPr>
                          <a:xfrm>
                            <a:off x="0" y="0"/>
                            <a:ext cx="2717800" cy="1618615"/>
                          </a:xfrm>
                          <a:prstGeom prst="rect">
                            <a:avLst/>
                          </a:prstGeom>
                          <a:noFill/>
                          <a:ln w="9525">
                            <a:noFill/>
                          </a:ln>
                        </pic:spPr>
                      </pic:pic>
                    </a:graphicData>
                  </a:graphic>
                </wp:inline>
              </w:drawing>
            </w:r>
          </w:p>
        </w:tc>
      </w:tr>
      <w:tr w14:paraId="49412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9E4811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红色山东行走课堂颁奖仪式</w:t>
            </w:r>
          </w:p>
        </w:tc>
        <w:tc>
          <w:tcPr>
            <w:tcW w:w="4261" w:type="dxa"/>
          </w:tcPr>
          <w:p w14:paraId="6F7CC45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学生红色作品演绎</w:t>
            </w:r>
          </w:p>
        </w:tc>
      </w:tr>
      <w:tr w14:paraId="63224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48A80BB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eastAsia" w:ascii="仿宋_GB2312" w:hAnsi="仿宋_GB2312" w:eastAsia="仿宋_GB2312" w:cs="仿宋_GB2312"/>
                <w:kern w:val="2"/>
                <w:sz w:val="28"/>
                <w:szCs w:val="28"/>
                <w:vertAlign w:val="baseline"/>
                <w:lang w:val="en-US" w:eastAsia="zh-CN" w:bidi="ar-SA"/>
              </w:rPr>
            </w:pPr>
            <w:r>
              <w:rPr>
                <w:rFonts w:hint="eastAsia" w:ascii="仿宋_GB2312" w:hAnsi="仿宋_GB2312" w:eastAsia="仿宋_GB2312" w:cs="仿宋_GB2312"/>
                <w:kern w:val="2"/>
                <w:sz w:val="28"/>
                <w:szCs w:val="28"/>
                <w:vertAlign w:val="baseline"/>
                <w:lang w:val="en-US" w:eastAsia="zh-CN" w:bidi="ar-SA"/>
              </w:rPr>
              <w:drawing>
                <wp:inline distT="0" distB="0" distL="114300" distR="114300">
                  <wp:extent cx="2755265" cy="1551940"/>
                  <wp:effectExtent l="0" t="0" r="635" b="10160"/>
                  <wp:docPr id="18" name="图片 18" descr="373c3a1a865c8eeabfc86cb42efd5f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73c3a1a865c8eeabfc86cb42efd5ff6"/>
                          <pic:cNvPicPr>
                            <a:picLocks noChangeAspect="1"/>
                          </pic:cNvPicPr>
                        </pic:nvPicPr>
                        <pic:blipFill>
                          <a:blip r:embed="rId11"/>
                          <a:stretch>
                            <a:fillRect/>
                          </a:stretch>
                        </pic:blipFill>
                        <pic:spPr>
                          <a:xfrm>
                            <a:off x="0" y="0"/>
                            <a:ext cx="2755265" cy="1551940"/>
                          </a:xfrm>
                          <a:prstGeom prst="rect">
                            <a:avLst/>
                          </a:prstGeom>
                        </pic:spPr>
                      </pic:pic>
                    </a:graphicData>
                  </a:graphic>
                </wp:inline>
              </w:drawing>
            </w:r>
          </w:p>
        </w:tc>
        <w:tc>
          <w:tcPr>
            <w:tcW w:w="4261" w:type="dxa"/>
          </w:tcPr>
          <w:p w14:paraId="668FA8A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eastAsia" w:ascii="仿宋_GB2312" w:hAnsi="仿宋_GB2312" w:eastAsia="仿宋_GB2312" w:cs="仿宋_GB2312"/>
                <w:kern w:val="2"/>
                <w:sz w:val="28"/>
                <w:szCs w:val="28"/>
                <w:vertAlign w:val="baseline"/>
                <w:lang w:val="en-US" w:eastAsia="zh-CN" w:bidi="ar-SA"/>
              </w:rPr>
            </w:pPr>
            <w:r>
              <w:rPr>
                <w:rFonts w:ascii="宋体" w:hAnsi="宋体" w:eastAsia="宋体" w:cs="宋体"/>
                <w:sz w:val="24"/>
                <w:szCs w:val="24"/>
              </w:rPr>
              <w:drawing>
                <wp:inline distT="0" distB="0" distL="114300" distR="114300">
                  <wp:extent cx="2503805" cy="1553210"/>
                  <wp:effectExtent l="0" t="0" r="10795" b="8890"/>
                  <wp:docPr id="17"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IMG_256"/>
                          <pic:cNvPicPr>
                            <a:picLocks noChangeAspect="1"/>
                          </pic:cNvPicPr>
                        </pic:nvPicPr>
                        <pic:blipFill>
                          <a:blip r:embed="rId12"/>
                          <a:stretch>
                            <a:fillRect/>
                          </a:stretch>
                        </pic:blipFill>
                        <pic:spPr>
                          <a:xfrm>
                            <a:off x="0" y="0"/>
                            <a:ext cx="2503805" cy="1553210"/>
                          </a:xfrm>
                          <a:prstGeom prst="rect">
                            <a:avLst/>
                          </a:prstGeom>
                          <a:noFill/>
                          <a:ln w="9525">
                            <a:noFill/>
                          </a:ln>
                        </pic:spPr>
                      </pic:pic>
                    </a:graphicData>
                  </a:graphic>
                </wp:inline>
              </w:drawing>
            </w:r>
          </w:p>
        </w:tc>
      </w:tr>
      <w:tr w14:paraId="7930C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3981BA6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红色讲解员大赛</w:t>
            </w:r>
          </w:p>
        </w:tc>
        <w:tc>
          <w:tcPr>
            <w:tcW w:w="4261" w:type="dxa"/>
          </w:tcPr>
          <w:p w14:paraId="5805294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沉浸式场景辩论赛</w:t>
            </w:r>
          </w:p>
        </w:tc>
      </w:tr>
    </w:tbl>
    <w:p w14:paraId="123B81C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560" w:firstLineChars="200"/>
        <w:textAlignment w:val="auto"/>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 xml:space="preserve"> “红色山东·行走课堂”覆盖全省141个红色教育基地，学生累计产出红色短视频1200个、讲解词158篇。学生在完成专业任务中同步建构专业能力与价值认同，从“受教育者”转变为“阐释者”与“传播者”。职业能力同步跃升，导游资格证通过率从32%提升至60%，就业对口率达95.3%，雇主满意度达96.5%。学生获国家级、省级技能大赛奖项22项，世界职业院校技能大赛银奖1项、铜奖1项，综合素质全面彰显。</w:t>
      </w:r>
    </w:p>
    <w:p w14:paraId="3D89476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562" w:firstLineChars="200"/>
        <w:textAlignment w:val="auto"/>
        <w:outlineLvl w:val="1"/>
        <w:rPr>
          <w:rFonts w:hint="eastAsia" w:ascii="仿宋_GB2312" w:hAnsi="仿宋_GB2312" w:eastAsia="仿宋_GB2312" w:cs="仿宋_GB2312"/>
          <w:b/>
          <w:bCs/>
          <w:kern w:val="2"/>
          <w:sz w:val="28"/>
          <w:szCs w:val="28"/>
          <w:lang w:val="en-US" w:eastAsia="zh-CN" w:bidi="ar-SA"/>
        </w:rPr>
      </w:pPr>
      <w:bookmarkStart w:id="17" w:name="_Toc4782"/>
      <w:r>
        <w:rPr>
          <w:rFonts w:hint="eastAsia" w:ascii="仿宋_GB2312" w:hAnsi="仿宋_GB2312" w:eastAsia="仿宋_GB2312" w:cs="仿宋_GB2312"/>
          <w:b/>
          <w:bCs/>
          <w:kern w:val="2"/>
          <w:sz w:val="28"/>
          <w:szCs w:val="28"/>
          <w:lang w:val="en-US" w:eastAsia="zh-CN" w:bidi="ar-SA"/>
        </w:rPr>
        <w:t>(二)专业建设成果丰硕，品牌影响力持续扩大。</w:t>
      </w:r>
      <w:bookmarkEnd w:id="17"/>
    </w:p>
    <w:p w14:paraId="0311B6B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560" w:firstLineChars="200"/>
        <w:textAlignment w:val="auto"/>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白泽”大模型先后入选山东省人工智能大模型赋能教育典型案例和2026世界数字教育大会《中国智慧教育发展报告》，实现了从省级认定到国家级展示的跨越。旅游管理专业群获批第二、三批省级高水平专业群，团队获评山东省职业教育教学创新团队、黄大年式教师团队。“红色山东·行走课堂”获评山东省教育系统优秀党建品牌、省级“大思政课”优质资源推介项目，5项案例入选《山东省职业教育质量报告（2025年度）》，形成了技术、专业、品牌三位一体的建设格局。</w:t>
      </w:r>
    </w:p>
    <w:p w14:paraId="0DE5469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562" w:firstLineChars="200"/>
        <w:textAlignment w:val="auto"/>
        <w:outlineLvl w:val="1"/>
        <w:rPr>
          <w:rFonts w:hint="eastAsia" w:ascii="仿宋_GB2312" w:hAnsi="仿宋_GB2312" w:eastAsia="仿宋_GB2312" w:cs="仿宋_GB2312"/>
          <w:b/>
          <w:bCs/>
          <w:kern w:val="2"/>
          <w:sz w:val="28"/>
          <w:szCs w:val="28"/>
          <w:lang w:val="en-US" w:eastAsia="zh-CN" w:bidi="ar-SA"/>
        </w:rPr>
      </w:pPr>
      <w:bookmarkStart w:id="18" w:name="_Toc15276"/>
      <w:r>
        <w:rPr>
          <w:rFonts w:hint="eastAsia" w:ascii="仿宋_GB2312" w:hAnsi="仿宋_GB2312" w:eastAsia="仿宋_GB2312" w:cs="仿宋_GB2312"/>
          <w:b/>
          <w:bCs/>
          <w:kern w:val="2"/>
          <w:sz w:val="28"/>
          <w:szCs w:val="28"/>
          <w:lang w:val="en-US" w:eastAsia="zh-CN" w:bidi="ar-SA"/>
        </w:rPr>
        <w:t>(三)校内外推广深入，产教融合走深走实</w:t>
      </w:r>
      <w:bookmarkEnd w:id="18"/>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40"/>
        <w:gridCol w:w="4782"/>
      </w:tblGrid>
      <w:tr w14:paraId="3FDD6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26D7E5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eastAsia" w:ascii="仿宋_GB2312" w:hAnsi="仿宋_GB2312" w:eastAsia="仿宋_GB2312" w:cs="仿宋_GB2312"/>
                <w:kern w:val="2"/>
                <w:sz w:val="24"/>
                <w:szCs w:val="24"/>
                <w:vertAlign w:val="baseline"/>
                <w:lang w:val="en-US" w:eastAsia="zh-CN" w:bidi="ar-SA"/>
              </w:rPr>
            </w:pPr>
            <w:r>
              <w:rPr>
                <w:rFonts w:hint="eastAsia" w:ascii="仿宋_GB2312" w:hAnsi="仿宋_GB2312" w:eastAsia="仿宋_GB2312" w:cs="仿宋_GB2312"/>
                <w:kern w:val="2"/>
                <w:sz w:val="24"/>
                <w:szCs w:val="24"/>
                <w:vertAlign w:val="baseline"/>
                <w:lang w:val="en-US" w:eastAsia="zh-CN" w:bidi="ar-SA"/>
              </w:rPr>
              <w:drawing>
                <wp:inline distT="0" distB="0" distL="114300" distR="114300">
                  <wp:extent cx="2308860" cy="1776730"/>
                  <wp:effectExtent l="0" t="0" r="2540" b="1270"/>
                  <wp:docPr id="19" name="图片 19" descr="edcde7fdc7cf3aa1151bf3e7200cf4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dcde7fdc7cf3aa1151bf3e7200cf46a"/>
                          <pic:cNvPicPr>
                            <a:picLocks noChangeAspect="1"/>
                          </pic:cNvPicPr>
                        </pic:nvPicPr>
                        <pic:blipFill>
                          <a:blip r:embed="rId13"/>
                          <a:stretch>
                            <a:fillRect/>
                          </a:stretch>
                        </pic:blipFill>
                        <pic:spPr>
                          <a:xfrm>
                            <a:off x="0" y="0"/>
                            <a:ext cx="2308860" cy="1776730"/>
                          </a:xfrm>
                          <a:prstGeom prst="rect">
                            <a:avLst/>
                          </a:prstGeom>
                        </pic:spPr>
                      </pic:pic>
                    </a:graphicData>
                  </a:graphic>
                </wp:inline>
              </w:drawing>
            </w:r>
          </w:p>
        </w:tc>
        <w:tc>
          <w:tcPr>
            <w:tcW w:w="4261" w:type="dxa"/>
          </w:tcPr>
          <w:p w14:paraId="434D8B09">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eastAsia" w:ascii="仿宋_GB2312" w:hAnsi="仿宋_GB2312" w:eastAsia="仿宋_GB2312" w:cs="仿宋_GB2312"/>
                <w:kern w:val="2"/>
                <w:sz w:val="24"/>
                <w:szCs w:val="24"/>
                <w:vertAlign w:val="baseline"/>
                <w:lang w:val="en-US" w:eastAsia="zh-CN" w:bidi="ar-SA"/>
              </w:rPr>
            </w:pPr>
            <w:r>
              <w:rPr>
                <w:rFonts w:hint="eastAsia" w:ascii="仿宋_GB2312" w:hAnsi="仿宋_GB2312" w:eastAsia="仿宋_GB2312" w:cs="仿宋_GB2312"/>
                <w:kern w:val="2"/>
                <w:sz w:val="24"/>
                <w:szCs w:val="24"/>
                <w:vertAlign w:val="baseline"/>
                <w:lang w:val="en-US" w:eastAsia="zh-CN" w:bidi="ar-SA"/>
              </w:rPr>
              <w:drawing>
                <wp:inline distT="0" distB="0" distL="114300" distR="114300">
                  <wp:extent cx="3052445" cy="1686560"/>
                  <wp:effectExtent l="0" t="0" r="8255" b="2540"/>
                  <wp:docPr id="20" name="图片 20" descr="cbd277d9e1aebb748cbe78ed0c8e5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bd277d9e1aebb748cbe78ed0c8e5aff"/>
                          <pic:cNvPicPr>
                            <a:picLocks noChangeAspect="1"/>
                          </pic:cNvPicPr>
                        </pic:nvPicPr>
                        <pic:blipFill>
                          <a:blip r:embed="rId14"/>
                          <a:srcRect r="18356"/>
                          <a:stretch>
                            <a:fillRect/>
                          </a:stretch>
                        </pic:blipFill>
                        <pic:spPr>
                          <a:xfrm>
                            <a:off x="0" y="0"/>
                            <a:ext cx="3052445" cy="1686560"/>
                          </a:xfrm>
                          <a:prstGeom prst="rect">
                            <a:avLst/>
                          </a:prstGeom>
                        </pic:spPr>
                      </pic:pic>
                    </a:graphicData>
                  </a:graphic>
                </wp:inline>
              </w:drawing>
            </w:r>
          </w:p>
        </w:tc>
      </w:tr>
      <w:tr w14:paraId="4FFDE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102059C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default" w:ascii="仿宋_GB2312" w:hAnsi="仿宋_GB2312" w:eastAsia="仿宋_GB2312" w:cs="仿宋_GB2312"/>
                <w:kern w:val="2"/>
                <w:sz w:val="24"/>
                <w:szCs w:val="24"/>
                <w:vertAlign w:val="baseline"/>
                <w:lang w:val="en-US" w:eastAsia="zh-CN" w:bidi="ar-SA"/>
              </w:rPr>
            </w:pPr>
            <w:r>
              <w:rPr>
                <w:rFonts w:hint="eastAsia" w:ascii="仿宋_GB2312" w:hAnsi="仿宋_GB2312" w:eastAsia="仿宋_GB2312" w:cs="仿宋_GB2312"/>
                <w:kern w:val="2"/>
                <w:sz w:val="24"/>
                <w:szCs w:val="24"/>
                <w:vertAlign w:val="baseline"/>
                <w:lang w:val="en-US" w:eastAsia="zh-CN" w:bidi="ar-SA"/>
              </w:rPr>
              <w:t>学生赴红色基地实践</w:t>
            </w:r>
          </w:p>
        </w:tc>
        <w:tc>
          <w:tcPr>
            <w:tcW w:w="4261" w:type="dxa"/>
          </w:tcPr>
          <w:p w14:paraId="094069F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default" w:ascii="仿宋_GB2312" w:hAnsi="仿宋_GB2312" w:eastAsia="仿宋_GB2312" w:cs="仿宋_GB2312"/>
                <w:kern w:val="2"/>
                <w:sz w:val="24"/>
                <w:szCs w:val="24"/>
                <w:vertAlign w:val="baseline"/>
                <w:lang w:val="en-US" w:eastAsia="zh-CN" w:bidi="ar-SA"/>
              </w:rPr>
            </w:pPr>
            <w:r>
              <w:rPr>
                <w:rFonts w:hint="eastAsia" w:ascii="仿宋_GB2312" w:hAnsi="仿宋_GB2312" w:eastAsia="仿宋_GB2312" w:cs="仿宋_GB2312"/>
                <w:kern w:val="2"/>
                <w:sz w:val="24"/>
                <w:szCs w:val="24"/>
                <w:vertAlign w:val="baseline"/>
                <w:lang w:val="en-US" w:eastAsia="zh-CN" w:bidi="ar-SA"/>
              </w:rPr>
              <w:t>为沂南红嫂家乡旅游区进行培训</w:t>
            </w:r>
          </w:p>
        </w:tc>
      </w:tr>
      <w:tr w14:paraId="7927C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D901EBB">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eastAsia" w:ascii="仿宋_GB2312" w:hAnsi="仿宋_GB2312" w:eastAsia="仿宋_GB2312" w:cs="仿宋_GB2312"/>
                <w:kern w:val="2"/>
                <w:sz w:val="24"/>
                <w:szCs w:val="24"/>
                <w:vertAlign w:val="baseline"/>
                <w:lang w:val="en-US" w:eastAsia="zh-CN" w:bidi="ar-SA"/>
              </w:rPr>
            </w:pPr>
            <w:r>
              <w:rPr>
                <w:rFonts w:hint="eastAsia" w:ascii="仿宋_GB2312" w:hAnsi="仿宋_GB2312" w:eastAsia="仿宋_GB2312" w:cs="仿宋_GB2312"/>
                <w:kern w:val="2"/>
                <w:sz w:val="24"/>
                <w:szCs w:val="24"/>
                <w:vertAlign w:val="baseline"/>
                <w:lang w:val="en-US" w:eastAsia="zh-CN" w:bidi="ar-SA"/>
              </w:rPr>
              <w:drawing>
                <wp:inline distT="0" distB="0" distL="114300" distR="114300">
                  <wp:extent cx="2353310" cy="1764665"/>
                  <wp:effectExtent l="0" t="0" r="8890" b="635"/>
                  <wp:docPr id="21" name="图片 21" descr="a7f8cc493ea5bdbf6f7a93cad6c2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7f8cc493ea5bdbf6f7a93cad6c21845"/>
                          <pic:cNvPicPr>
                            <a:picLocks noChangeAspect="1"/>
                          </pic:cNvPicPr>
                        </pic:nvPicPr>
                        <pic:blipFill>
                          <a:blip r:embed="rId15"/>
                          <a:stretch>
                            <a:fillRect/>
                          </a:stretch>
                        </pic:blipFill>
                        <pic:spPr>
                          <a:xfrm>
                            <a:off x="0" y="0"/>
                            <a:ext cx="2353310" cy="1764665"/>
                          </a:xfrm>
                          <a:prstGeom prst="rect">
                            <a:avLst/>
                          </a:prstGeom>
                        </pic:spPr>
                      </pic:pic>
                    </a:graphicData>
                  </a:graphic>
                </wp:inline>
              </w:drawing>
            </w:r>
          </w:p>
        </w:tc>
        <w:tc>
          <w:tcPr>
            <w:tcW w:w="4261" w:type="dxa"/>
          </w:tcPr>
          <w:p w14:paraId="75DBA19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eastAsia" w:ascii="仿宋_GB2312" w:hAnsi="仿宋_GB2312" w:eastAsia="仿宋_GB2312" w:cs="仿宋_GB2312"/>
                <w:kern w:val="2"/>
                <w:sz w:val="24"/>
                <w:szCs w:val="24"/>
                <w:vertAlign w:val="baseline"/>
                <w:lang w:val="en-US" w:eastAsia="zh-CN" w:bidi="ar-SA"/>
              </w:rPr>
            </w:pPr>
            <w:r>
              <w:rPr>
                <w:rFonts w:hint="eastAsia" w:ascii="仿宋_GB2312" w:hAnsi="仿宋_GB2312" w:eastAsia="仿宋_GB2312" w:cs="仿宋_GB2312"/>
                <w:kern w:val="2"/>
                <w:sz w:val="24"/>
                <w:szCs w:val="24"/>
                <w:vertAlign w:val="baseline"/>
                <w:lang w:val="en-US" w:eastAsia="zh-CN" w:bidi="ar-SA"/>
              </w:rPr>
              <w:drawing>
                <wp:inline distT="0" distB="0" distL="114300" distR="114300">
                  <wp:extent cx="1739900" cy="2954655"/>
                  <wp:effectExtent l="0" t="0" r="4445" b="0"/>
                  <wp:docPr id="22" name="图片 22" descr="9154cdac745dc0e2d478ad5420060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154cdac745dc0e2d478ad54200602ce"/>
                          <pic:cNvPicPr>
                            <a:picLocks noChangeAspect="1"/>
                          </pic:cNvPicPr>
                        </pic:nvPicPr>
                        <pic:blipFill>
                          <a:blip r:embed="rId16"/>
                          <a:stretch>
                            <a:fillRect/>
                          </a:stretch>
                        </pic:blipFill>
                        <pic:spPr>
                          <a:xfrm rot="16200000">
                            <a:off x="0" y="0"/>
                            <a:ext cx="1739900" cy="2954655"/>
                          </a:xfrm>
                          <a:prstGeom prst="rect">
                            <a:avLst/>
                          </a:prstGeom>
                        </pic:spPr>
                      </pic:pic>
                    </a:graphicData>
                  </a:graphic>
                </wp:inline>
              </w:drawing>
            </w:r>
          </w:p>
        </w:tc>
      </w:tr>
      <w:tr w14:paraId="39AD0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61" w:type="dxa"/>
          </w:tcPr>
          <w:p w14:paraId="17B90B4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default" w:ascii="仿宋_GB2312" w:hAnsi="仿宋_GB2312" w:eastAsia="仿宋_GB2312" w:cs="仿宋_GB2312"/>
                <w:kern w:val="2"/>
                <w:sz w:val="24"/>
                <w:szCs w:val="24"/>
                <w:vertAlign w:val="baseline"/>
                <w:lang w:val="en-US" w:eastAsia="zh-CN" w:bidi="ar-SA"/>
              </w:rPr>
            </w:pPr>
            <w:r>
              <w:rPr>
                <w:rFonts w:hint="eastAsia" w:ascii="仿宋_GB2312" w:hAnsi="仿宋_GB2312" w:eastAsia="仿宋_GB2312" w:cs="仿宋_GB2312"/>
                <w:kern w:val="2"/>
                <w:sz w:val="24"/>
                <w:szCs w:val="24"/>
                <w:vertAlign w:val="baseline"/>
                <w:lang w:val="en-US" w:eastAsia="zh-CN" w:bidi="ar-SA"/>
              </w:rPr>
              <w:t>蒙山培训</w:t>
            </w:r>
          </w:p>
        </w:tc>
        <w:tc>
          <w:tcPr>
            <w:tcW w:w="4261" w:type="dxa"/>
          </w:tcPr>
          <w:p w14:paraId="2CF0382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default" w:ascii="仿宋_GB2312" w:hAnsi="仿宋_GB2312" w:eastAsia="仿宋_GB2312" w:cs="仿宋_GB2312"/>
                <w:kern w:val="2"/>
                <w:sz w:val="24"/>
                <w:szCs w:val="24"/>
                <w:vertAlign w:val="baseline"/>
                <w:lang w:val="en-US" w:eastAsia="zh-CN" w:bidi="ar-SA"/>
              </w:rPr>
            </w:pPr>
            <w:r>
              <w:rPr>
                <w:rFonts w:hint="eastAsia" w:ascii="仿宋_GB2312" w:hAnsi="仿宋_GB2312" w:eastAsia="仿宋_GB2312" w:cs="仿宋_GB2312"/>
                <w:kern w:val="2"/>
                <w:sz w:val="24"/>
                <w:szCs w:val="24"/>
                <w:vertAlign w:val="baseline"/>
                <w:lang w:val="en-US" w:eastAsia="zh-CN" w:bidi="ar-SA"/>
              </w:rPr>
              <w:t>红色研学作品获奖</w:t>
            </w:r>
          </w:p>
        </w:tc>
      </w:tr>
    </w:tbl>
    <w:p w14:paraId="5BB1B6F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560" w:firstLineChars="200"/>
        <w:textAlignment w:val="auto"/>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成果年均服务文旅企业300余家，年开展行业培训近万人次，年均承接横向课题到款300余万元。作为全国旅游信息传播产教融合共同体牵头单位（联合130余家院校及企业），团队在全国性论坛作主旨报告10余次，多所兄弟院校来校调研交流。成果模式在省内外多所职业院校推广应用，为旅游类专业深化“大思政”育人、推进数字化转型提供了可复制的实践范式。</w:t>
      </w:r>
    </w:p>
    <w:p w14:paraId="1197DCC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562" w:firstLineChars="200"/>
        <w:textAlignment w:val="auto"/>
        <w:outlineLvl w:val="1"/>
        <w:rPr>
          <w:rFonts w:hint="eastAsia" w:ascii="仿宋_GB2312" w:hAnsi="仿宋_GB2312" w:eastAsia="仿宋_GB2312" w:cs="仿宋_GB2312"/>
          <w:b/>
          <w:bCs/>
          <w:kern w:val="2"/>
          <w:sz w:val="28"/>
          <w:szCs w:val="28"/>
          <w:lang w:val="en-US" w:eastAsia="zh-CN" w:bidi="ar-SA"/>
        </w:rPr>
      </w:pPr>
      <w:bookmarkStart w:id="19" w:name="_Toc20080"/>
      <w:r>
        <w:rPr>
          <w:rFonts w:hint="eastAsia" w:ascii="仿宋_GB2312" w:hAnsi="仿宋_GB2312" w:eastAsia="仿宋_GB2312" w:cs="仿宋_GB2312"/>
          <w:b/>
          <w:bCs/>
          <w:kern w:val="2"/>
          <w:sz w:val="28"/>
          <w:szCs w:val="28"/>
          <w:lang w:val="en-US" w:eastAsia="zh-CN" w:bidi="ar-SA"/>
        </w:rPr>
        <w:t>(四)主流媒体聚焦，社会公信力持续提升</w:t>
      </w:r>
      <w:bookmarkEnd w:id="19"/>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96"/>
        <w:gridCol w:w="4926"/>
      </w:tblGrid>
      <w:tr w14:paraId="59C45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96" w:type="dxa"/>
          </w:tcPr>
          <w:p w14:paraId="2ABCEFC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eastAsia" w:ascii="仿宋_GB2312" w:hAnsi="仿宋_GB2312" w:eastAsia="仿宋_GB2312" w:cs="仿宋_GB2312"/>
                <w:kern w:val="2"/>
                <w:sz w:val="28"/>
                <w:szCs w:val="28"/>
                <w:vertAlign w:val="baseline"/>
                <w:lang w:val="en-US" w:eastAsia="zh-CN" w:bidi="ar-SA"/>
              </w:rPr>
            </w:pPr>
            <w:r>
              <w:rPr>
                <w:rFonts w:ascii="宋体" w:hAnsi="宋体" w:eastAsia="宋体" w:cs="宋体"/>
                <w:sz w:val="24"/>
                <w:szCs w:val="24"/>
              </w:rPr>
              <w:drawing>
                <wp:inline distT="0" distB="0" distL="114300" distR="114300">
                  <wp:extent cx="1733550" cy="2482215"/>
                  <wp:effectExtent l="0" t="0" r="6350" b="6985"/>
                  <wp:docPr id="23"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descr="IMG_256"/>
                          <pic:cNvPicPr>
                            <a:picLocks noChangeAspect="1"/>
                          </pic:cNvPicPr>
                        </pic:nvPicPr>
                        <pic:blipFill>
                          <a:blip r:embed="rId17"/>
                          <a:stretch>
                            <a:fillRect/>
                          </a:stretch>
                        </pic:blipFill>
                        <pic:spPr>
                          <a:xfrm>
                            <a:off x="0" y="0"/>
                            <a:ext cx="1733550" cy="2482215"/>
                          </a:xfrm>
                          <a:prstGeom prst="rect">
                            <a:avLst/>
                          </a:prstGeom>
                          <a:noFill/>
                          <a:ln w="9525">
                            <a:noFill/>
                          </a:ln>
                        </pic:spPr>
                      </pic:pic>
                    </a:graphicData>
                  </a:graphic>
                </wp:inline>
              </w:drawing>
            </w:r>
          </w:p>
        </w:tc>
        <w:tc>
          <w:tcPr>
            <w:tcW w:w="4926" w:type="dxa"/>
          </w:tcPr>
          <w:p w14:paraId="248D339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eastAsia" w:ascii="仿宋_GB2312" w:hAnsi="仿宋_GB2312" w:eastAsia="仿宋_GB2312" w:cs="仿宋_GB2312"/>
                <w:kern w:val="2"/>
                <w:sz w:val="28"/>
                <w:szCs w:val="28"/>
                <w:vertAlign w:val="baseline"/>
                <w:lang w:val="en-US" w:eastAsia="zh-CN" w:bidi="ar-SA"/>
              </w:rPr>
            </w:pPr>
            <w:r>
              <w:rPr>
                <w:rFonts w:ascii="宋体" w:hAnsi="宋体" w:eastAsia="宋体" w:cs="宋体"/>
                <w:sz w:val="24"/>
                <w:szCs w:val="24"/>
              </w:rPr>
              <w:drawing>
                <wp:inline distT="0" distB="0" distL="114300" distR="114300">
                  <wp:extent cx="3220720" cy="2415540"/>
                  <wp:effectExtent l="0" t="0" r="5080" b="10160"/>
                  <wp:docPr id="24"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descr="IMG_256"/>
                          <pic:cNvPicPr>
                            <a:picLocks noChangeAspect="1"/>
                          </pic:cNvPicPr>
                        </pic:nvPicPr>
                        <pic:blipFill>
                          <a:blip r:embed="rId18"/>
                          <a:stretch>
                            <a:fillRect/>
                          </a:stretch>
                        </pic:blipFill>
                        <pic:spPr>
                          <a:xfrm>
                            <a:off x="0" y="0"/>
                            <a:ext cx="3220720" cy="2415540"/>
                          </a:xfrm>
                          <a:prstGeom prst="rect">
                            <a:avLst/>
                          </a:prstGeom>
                          <a:noFill/>
                          <a:ln w="9525">
                            <a:noFill/>
                          </a:ln>
                        </pic:spPr>
                      </pic:pic>
                    </a:graphicData>
                  </a:graphic>
                </wp:inline>
              </w:drawing>
            </w:r>
          </w:p>
        </w:tc>
      </w:tr>
      <w:tr w14:paraId="449FF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96" w:type="dxa"/>
          </w:tcPr>
          <w:p w14:paraId="28843159">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eastAsia" w:ascii="仿宋_GB2312" w:hAnsi="仿宋_GB2312" w:eastAsia="仿宋_GB2312" w:cs="仿宋_GB2312"/>
                <w:kern w:val="2"/>
                <w:sz w:val="28"/>
                <w:szCs w:val="28"/>
                <w:vertAlign w:val="baseline"/>
                <w:lang w:val="en-US" w:eastAsia="zh-CN" w:bidi="ar-SA"/>
              </w:rPr>
            </w:pPr>
            <w:r>
              <w:rPr>
                <w:rFonts w:hint="eastAsia" w:ascii="仿宋_GB2312" w:hAnsi="仿宋_GB2312" w:eastAsia="仿宋_GB2312" w:cs="仿宋_GB2312"/>
                <w:kern w:val="2"/>
                <w:sz w:val="24"/>
                <w:szCs w:val="24"/>
                <w:vertAlign w:val="baseline"/>
                <w:lang w:val="en-US" w:eastAsia="zh-CN" w:bidi="ar-SA"/>
              </w:rPr>
              <w:t>《中国青年报》：“打卡”红色景点，用脚步丈量祖国山河</w:t>
            </w:r>
          </w:p>
        </w:tc>
        <w:tc>
          <w:tcPr>
            <w:tcW w:w="4926" w:type="dxa"/>
          </w:tcPr>
          <w:p w14:paraId="6A5D96B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eastAsia" w:ascii="仿宋_GB2312" w:hAnsi="仿宋_GB2312" w:eastAsia="仿宋_GB2312" w:cs="仿宋_GB2312"/>
                <w:kern w:val="2"/>
                <w:sz w:val="28"/>
                <w:szCs w:val="28"/>
                <w:vertAlign w:val="baseline"/>
                <w:lang w:val="en-US" w:eastAsia="zh-CN" w:bidi="ar-SA"/>
              </w:rPr>
            </w:pPr>
            <w:r>
              <w:rPr>
                <w:rFonts w:hint="eastAsia" w:ascii="仿宋_GB2312" w:hAnsi="仿宋_GB2312" w:eastAsia="仿宋_GB2312" w:cs="仿宋_GB2312"/>
                <w:kern w:val="2"/>
                <w:sz w:val="24"/>
                <w:szCs w:val="24"/>
                <w:vertAlign w:val="baseline"/>
                <w:lang w:val="en-US" w:eastAsia="zh-CN" w:bidi="ar-SA"/>
              </w:rPr>
              <w:t>山东教育报：山东旅游职业学院 探索人工智能赋能旅游教育发展新路径</w:t>
            </w:r>
          </w:p>
        </w:tc>
      </w:tr>
      <w:tr w14:paraId="7F1BE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96" w:type="dxa"/>
          </w:tcPr>
          <w:p w14:paraId="3E52A89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Fonts w:hint="eastAsia" w:ascii="仿宋_GB2312" w:hAnsi="仿宋_GB2312" w:eastAsia="仿宋_GB2312" w:cs="仿宋_GB2312"/>
                <w:kern w:val="2"/>
                <w:sz w:val="28"/>
                <w:szCs w:val="28"/>
                <w:vertAlign w:val="baseline"/>
                <w:lang w:val="en-US" w:eastAsia="zh-CN" w:bidi="ar-SA"/>
              </w:rPr>
            </w:pPr>
            <w:r>
              <w:rPr>
                <w:rFonts w:ascii="宋体" w:hAnsi="宋体" w:eastAsia="宋体" w:cs="宋体"/>
                <w:sz w:val="24"/>
                <w:szCs w:val="24"/>
              </w:rPr>
              <w:drawing>
                <wp:inline distT="0" distB="0" distL="114300" distR="114300">
                  <wp:extent cx="2368550" cy="1683385"/>
                  <wp:effectExtent l="0" t="0" r="6350" b="5715"/>
                  <wp:docPr id="25"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descr="IMG_256"/>
                          <pic:cNvPicPr>
                            <a:picLocks noChangeAspect="1"/>
                          </pic:cNvPicPr>
                        </pic:nvPicPr>
                        <pic:blipFill>
                          <a:blip r:embed="rId19"/>
                          <a:stretch>
                            <a:fillRect/>
                          </a:stretch>
                        </pic:blipFill>
                        <pic:spPr>
                          <a:xfrm>
                            <a:off x="0" y="0"/>
                            <a:ext cx="2368550" cy="1683385"/>
                          </a:xfrm>
                          <a:prstGeom prst="rect">
                            <a:avLst/>
                          </a:prstGeom>
                          <a:noFill/>
                          <a:ln w="9525">
                            <a:noFill/>
                          </a:ln>
                        </pic:spPr>
                      </pic:pic>
                    </a:graphicData>
                  </a:graphic>
                </wp:inline>
              </w:drawing>
            </w:r>
          </w:p>
        </w:tc>
        <w:tc>
          <w:tcPr>
            <w:tcW w:w="4926" w:type="dxa"/>
          </w:tcPr>
          <w:p w14:paraId="76B92CD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right"/>
              <w:textAlignment w:val="auto"/>
              <w:rPr>
                <w:rFonts w:hint="eastAsia" w:ascii="仿宋_GB2312" w:hAnsi="仿宋_GB2312" w:eastAsia="仿宋_GB2312" w:cs="仿宋_GB2312"/>
                <w:kern w:val="2"/>
                <w:sz w:val="28"/>
                <w:szCs w:val="28"/>
                <w:vertAlign w:val="baseline"/>
                <w:lang w:val="en-US" w:eastAsia="zh-CN" w:bidi="ar-SA"/>
              </w:rPr>
            </w:pPr>
            <w:r>
              <w:rPr>
                <w:rFonts w:ascii="宋体" w:hAnsi="宋体" w:eastAsia="宋体" w:cs="宋体"/>
                <w:sz w:val="24"/>
                <w:szCs w:val="24"/>
              </w:rPr>
              <w:drawing>
                <wp:inline distT="0" distB="0" distL="114300" distR="114300">
                  <wp:extent cx="2367280" cy="1649730"/>
                  <wp:effectExtent l="0" t="0" r="7620" b="1270"/>
                  <wp:docPr id="26"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descr="IMG_256"/>
                          <pic:cNvPicPr>
                            <a:picLocks noChangeAspect="1"/>
                          </pic:cNvPicPr>
                        </pic:nvPicPr>
                        <pic:blipFill>
                          <a:blip r:embed="rId20"/>
                          <a:stretch>
                            <a:fillRect/>
                          </a:stretch>
                        </pic:blipFill>
                        <pic:spPr>
                          <a:xfrm>
                            <a:off x="0" y="0"/>
                            <a:ext cx="2367280" cy="1649730"/>
                          </a:xfrm>
                          <a:prstGeom prst="rect">
                            <a:avLst/>
                          </a:prstGeom>
                          <a:noFill/>
                          <a:ln w="9525">
                            <a:noFill/>
                          </a:ln>
                        </pic:spPr>
                      </pic:pic>
                    </a:graphicData>
                  </a:graphic>
                </wp:inline>
              </w:drawing>
            </w:r>
          </w:p>
        </w:tc>
      </w:tr>
      <w:tr w14:paraId="2895B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96" w:type="dxa"/>
          </w:tcPr>
          <w:p w14:paraId="1CA3AE1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ascii="宋体" w:hAnsi="宋体" w:eastAsia="宋体" w:cs="宋体"/>
                <w:sz w:val="24"/>
                <w:szCs w:val="24"/>
              </w:rPr>
            </w:pPr>
            <w:r>
              <w:rPr>
                <w:rFonts w:hint="eastAsia" w:ascii="仿宋_GB2312" w:hAnsi="仿宋_GB2312" w:eastAsia="仿宋_GB2312" w:cs="仿宋_GB2312"/>
                <w:kern w:val="2"/>
                <w:sz w:val="24"/>
                <w:szCs w:val="24"/>
                <w:vertAlign w:val="baseline"/>
                <w:lang w:val="en-US" w:eastAsia="zh-CN" w:bidi="ar-SA"/>
              </w:rPr>
              <w:t>中国文化报：职业教育为文旅高质量发展注入人才动能</w:t>
            </w:r>
          </w:p>
        </w:tc>
        <w:tc>
          <w:tcPr>
            <w:tcW w:w="4926" w:type="dxa"/>
          </w:tcPr>
          <w:p w14:paraId="4F47263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eastAsia" w:ascii="仿宋_GB2312" w:hAnsi="仿宋_GB2312" w:eastAsia="仿宋_GB2312" w:cs="仿宋_GB2312"/>
                <w:kern w:val="2"/>
                <w:sz w:val="28"/>
                <w:szCs w:val="28"/>
                <w:vertAlign w:val="baseline"/>
                <w:lang w:val="en-US" w:eastAsia="zh-CN" w:bidi="ar-SA"/>
              </w:rPr>
            </w:pPr>
            <w:r>
              <w:rPr>
                <w:rFonts w:hint="eastAsia" w:ascii="仿宋_GB2312" w:hAnsi="仿宋_GB2312" w:eastAsia="仿宋_GB2312" w:cs="仿宋_GB2312"/>
                <w:kern w:val="2"/>
                <w:sz w:val="24"/>
                <w:szCs w:val="24"/>
                <w:vertAlign w:val="baseline"/>
                <w:lang w:val="en-US" w:eastAsia="zh-CN" w:bidi="ar-SA"/>
              </w:rPr>
              <w:t>齐鲁晚报：不再觉得“导游就是游山玩水”</w:t>
            </w:r>
          </w:p>
        </w:tc>
      </w:tr>
      <w:tr w14:paraId="1AD71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96" w:type="dxa"/>
          </w:tcPr>
          <w:p w14:paraId="4FE444F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Style w:val="11"/>
                <w:rFonts w:ascii="Microsoft YaHei UI" w:hAnsi="Microsoft YaHei UI" w:eastAsia="Microsoft YaHei UI" w:cs="Microsoft YaHei UI"/>
                <w:i w:val="0"/>
                <w:iCs w:val="0"/>
                <w:caps w:val="0"/>
                <w:color w:val="FFFFFF"/>
                <w:spacing w:val="10"/>
                <w:sz w:val="18"/>
                <w:szCs w:val="18"/>
                <w:shd w:val="clear" w:fill="002CA7"/>
              </w:rPr>
            </w:pPr>
            <w:r>
              <w:rPr>
                <w:rFonts w:ascii="宋体" w:hAnsi="宋体" w:eastAsia="宋体" w:cs="宋体"/>
                <w:sz w:val="24"/>
                <w:szCs w:val="24"/>
              </w:rPr>
              <w:drawing>
                <wp:inline distT="0" distB="0" distL="114300" distR="114300">
                  <wp:extent cx="2205355" cy="1857375"/>
                  <wp:effectExtent l="0" t="0" r="4445" b="9525"/>
                  <wp:docPr id="27"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descr="IMG_256"/>
                          <pic:cNvPicPr>
                            <a:picLocks noChangeAspect="1"/>
                          </pic:cNvPicPr>
                        </pic:nvPicPr>
                        <pic:blipFill>
                          <a:blip r:embed="rId21"/>
                          <a:stretch>
                            <a:fillRect/>
                          </a:stretch>
                        </pic:blipFill>
                        <pic:spPr>
                          <a:xfrm>
                            <a:off x="0" y="0"/>
                            <a:ext cx="2205355" cy="1857375"/>
                          </a:xfrm>
                          <a:prstGeom prst="rect">
                            <a:avLst/>
                          </a:prstGeom>
                          <a:noFill/>
                          <a:ln w="9525">
                            <a:noFill/>
                          </a:ln>
                        </pic:spPr>
                      </pic:pic>
                    </a:graphicData>
                  </a:graphic>
                </wp:inline>
              </w:drawing>
            </w:r>
          </w:p>
        </w:tc>
        <w:tc>
          <w:tcPr>
            <w:tcW w:w="4926" w:type="dxa"/>
          </w:tcPr>
          <w:p w14:paraId="1257314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center"/>
              <w:textAlignment w:val="auto"/>
              <w:rPr>
                <w:rStyle w:val="11"/>
                <w:rFonts w:ascii="Microsoft YaHei UI" w:hAnsi="Microsoft YaHei UI" w:eastAsia="Microsoft YaHei UI" w:cs="Microsoft YaHei UI"/>
                <w:i w:val="0"/>
                <w:iCs w:val="0"/>
                <w:caps w:val="0"/>
                <w:color w:val="FFFFFF"/>
                <w:spacing w:val="10"/>
                <w:sz w:val="18"/>
                <w:szCs w:val="18"/>
                <w:shd w:val="clear" w:fill="002CA7"/>
              </w:rPr>
            </w:pPr>
            <w:r>
              <w:rPr>
                <w:rFonts w:ascii="宋体" w:hAnsi="宋体" w:eastAsia="宋体" w:cs="宋体"/>
                <w:sz w:val="24"/>
                <w:szCs w:val="24"/>
              </w:rPr>
              <w:drawing>
                <wp:inline distT="0" distB="0" distL="114300" distR="114300">
                  <wp:extent cx="2729865" cy="1907540"/>
                  <wp:effectExtent l="0" t="0" r="0" b="0"/>
                  <wp:docPr id="28"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descr="IMG_256"/>
                          <pic:cNvPicPr>
                            <a:picLocks noChangeAspect="1"/>
                          </pic:cNvPicPr>
                        </pic:nvPicPr>
                        <pic:blipFill>
                          <a:blip r:embed="rId22"/>
                          <a:srcRect l="15224" b="21113"/>
                          <a:stretch>
                            <a:fillRect/>
                          </a:stretch>
                        </pic:blipFill>
                        <pic:spPr>
                          <a:xfrm>
                            <a:off x="0" y="0"/>
                            <a:ext cx="2729865" cy="1907540"/>
                          </a:xfrm>
                          <a:prstGeom prst="rect">
                            <a:avLst/>
                          </a:prstGeom>
                          <a:noFill/>
                          <a:ln w="9525">
                            <a:noFill/>
                          </a:ln>
                        </pic:spPr>
                      </pic:pic>
                    </a:graphicData>
                  </a:graphic>
                </wp:inline>
              </w:drawing>
            </w:r>
          </w:p>
        </w:tc>
      </w:tr>
      <w:tr w14:paraId="744B8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96" w:type="dxa"/>
          </w:tcPr>
          <w:p w14:paraId="13426E9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Style w:val="11"/>
                <w:rFonts w:hint="eastAsia" w:ascii="Microsoft YaHei UI" w:hAnsi="Microsoft YaHei UI" w:eastAsia="Microsoft YaHei UI" w:cs="Microsoft YaHei UI"/>
                <w:i w:val="0"/>
                <w:iCs w:val="0"/>
                <w:caps w:val="0"/>
                <w:color w:val="FFFFFF"/>
                <w:spacing w:val="10"/>
                <w:sz w:val="18"/>
                <w:szCs w:val="18"/>
                <w:shd w:val="clear" w:fill="002CA7"/>
                <w:lang w:eastAsia="zh-CN"/>
              </w:rPr>
            </w:pPr>
            <w:r>
              <w:rPr>
                <w:rFonts w:hint="eastAsia" w:ascii="仿宋_GB2312" w:hAnsi="仿宋_GB2312" w:eastAsia="仿宋_GB2312" w:cs="仿宋_GB2312"/>
                <w:kern w:val="2"/>
                <w:sz w:val="24"/>
                <w:szCs w:val="24"/>
                <w:vertAlign w:val="baseline"/>
                <w:lang w:val="en-US" w:eastAsia="zh-CN" w:bidi="ar-SA"/>
              </w:rPr>
              <w:t>山东教育报：山东旅游职业学院打造文旅人才培养“新范式”</w:t>
            </w:r>
          </w:p>
        </w:tc>
        <w:tc>
          <w:tcPr>
            <w:tcW w:w="4926" w:type="dxa"/>
          </w:tcPr>
          <w:p w14:paraId="1596709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Style w:val="11"/>
                <w:rFonts w:hint="eastAsia" w:ascii="Microsoft YaHei UI" w:hAnsi="Microsoft YaHei UI" w:eastAsia="Microsoft YaHei UI" w:cs="Microsoft YaHei UI"/>
                <w:i w:val="0"/>
                <w:iCs w:val="0"/>
                <w:caps w:val="0"/>
                <w:color w:val="FFFFFF"/>
                <w:spacing w:val="10"/>
                <w:sz w:val="18"/>
                <w:szCs w:val="18"/>
                <w:shd w:val="clear" w:fill="002CA7"/>
                <w:lang w:eastAsia="zh-CN"/>
              </w:rPr>
            </w:pPr>
            <w:r>
              <w:rPr>
                <w:rFonts w:hint="eastAsia" w:ascii="仿宋_GB2312" w:hAnsi="仿宋_GB2312" w:eastAsia="仿宋_GB2312" w:cs="仿宋_GB2312"/>
                <w:kern w:val="2"/>
                <w:sz w:val="24"/>
                <w:szCs w:val="24"/>
                <w:vertAlign w:val="baseline"/>
                <w:lang w:val="en-US" w:eastAsia="zh-CN" w:bidi="ar-SA"/>
              </w:rPr>
              <w:t>大众网：山东旅游职业学院第三届“红色山东 行走课堂”优秀作品展演活动顺利举办</w:t>
            </w:r>
          </w:p>
        </w:tc>
      </w:tr>
    </w:tbl>
    <w:p w14:paraId="698DBCD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eastAsia" w:ascii="仿宋_GB2312" w:hAnsi="仿宋_GB2312" w:eastAsia="仿宋_GB2312" w:cs="仿宋_GB2312"/>
          <w:kern w:val="2"/>
          <w:sz w:val="28"/>
          <w:szCs w:val="28"/>
          <w:lang w:val="en-US" w:eastAsia="zh-CN" w:bidi="ar-SA"/>
        </w:rPr>
      </w:pPr>
    </w:p>
    <w:p w14:paraId="287A826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560" w:firstLineChars="200"/>
        <w:textAlignment w:val="auto"/>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成果在省内外形成显著示范效应。“红色山东·行走课堂”党建品牌获评山东省教育系统优秀党建创新案例和省直文旅系统优秀党建品牌，相关活动由省文化和旅游厅主要领导出席并给予高度评价。学院作为中国旅游协会旅游教育分会副会长单位，在全国性论坛作主旨报告，多所兄弟院校来校调研交流，认为成果模式具有显著的行业引领性和可复制性。</w:t>
      </w:r>
    </w:p>
    <w:p w14:paraId="02E548F9">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560" w:firstLineChars="200"/>
        <w:textAlignment w:val="auto"/>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成果实践与经验受到主流媒体持续关注，被《中国文化报》《中国旅游报》《工人日报》《大众日报》《山东教育报》等国家和省级媒体报道，多次登上山东卫视新闻联播，并在新华网、人民网、中国新闻网等平台集中呈现，有效提升了成果的社会公信力和影响力。</w:t>
      </w:r>
    </w:p>
    <w:p w14:paraId="199A3049">
      <w:pPr>
        <w:rPr>
          <w:rFonts w:ascii="宋体" w:hAnsi="宋体" w:eastAsia="宋体" w:cs="宋体"/>
          <w:sz w:val="24"/>
          <w:szCs w:val="24"/>
        </w:rPr>
      </w:pPr>
    </w:p>
    <w:p w14:paraId="54CC8365">
      <w:pPr>
        <w:rPr>
          <w:rFonts w:hint="eastAsia" w:ascii="仿宋_GB2312" w:hAnsi="仿宋_GB2312" w:eastAsia="仿宋_GB2312" w:cs="仿宋_GB2312"/>
          <w:sz w:val="24"/>
          <w:szCs w:val="24"/>
          <w:lang w:val="en-US" w:eastAsia="zh-CN"/>
        </w:rPr>
      </w:pPr>
      <w:r>
        <w:rPr>
          <w:rFonts w:hint="eastAsia" w:ascii="宋体" w:hAnsi="宋体" w:eastAsia="宋体" w:cs="宋体"/>
          <w:sz w:val="24"/>
          <w:szCs w:val="24"/>
          <w:lang w:val="en-US" w:eastAsia="zh-CN"/>
        </w:rPr>
        <w:t xml:space="preserve">                                             </w:t>
      </w:r>
      <w:r>
        <w:rPr>
          <w:rFonts w:hint="eastAsia" w:ascii="仿宋_GB2312" w:hAnsi="仿宋_GB2312" w:eastAsia="仿宋_GB2312" w:cs="仿宋_GB2312"/>
          <w:sz w:val="24"/>
          <w:szCs w:val="24"/>
          <w:lang w:val="en-US" w:eastAsia="zh-CN"/>
        </w:rPr>
        <w:t xml:space="preserve"> 正文字数：4946字</w:t>
      </w:r>
    </w:p>
    <w:p w14:paraId="37B2A135">
      <w:pPr>
        <w:rPr>
          <w:rFonts w:ascii="宋体" w:hAnsi="宋体" w:eastAsia="宋体" w:cs="宋体"/>
          <w:sz w:val="24"/>
          <w:szCs w:val="24"/>
        </w:rPr>
      </w:pPr>
    </w:p>
    <w:p w14:paraId="4864E93E">
      <w:pPr>
        <w:rPr>
          <w:rFonts w:ascii="宋体" w:hAnsi="宋体" w:eastAsia="宋体" w:cs="宋体"/>
          <w:sz w:val="24"/>
          <w:szCs w:val="24"/>
        </w:rPr>
      </w:pPr>
      <w:bookmarkStart w:id="20" w:name="_GoBack"/>
      <w:bookmarkEnd w:id="20"/>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02"/>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044C4E9-F9A9-47AC-9622-3D0F9CBAFC9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93783CA3-5298-46B1-9969-8EDAB8DCADCC}"/>
  </w:font>
  <w:font w:name="方正大标宋简体">
    <w:panose1 w:val="02000000000000000000"/>
    <w:charset w:val="86"/>
    <w:family w:val="auto"/>
    <w:pitch w:val="default"/>
    <w:sig w:usb0="A00002BF" w:usb1="184F6CFA" w:usb2="00000012" w:usb3="00000000" w:csb0="00040001" w:csb1="00000000"/>
    <w:embedRegular r:id="rId3" w:fontKey="{24318583-919F-4E4D-A9F1-79CF81C3064B}"/>
  </w:font>
  <w:font w:name="仿宋_GB2312">
    <w:panose1 w:val="02010609030101010101"/>
    <w:charset w:val="86"/>
    <w:family w:val="auto"/>
    <w:pitch w:val="default"/>
    <w:sig w:usb0="00000001" w:usb1="080E0000" w:usb2="00000000" w:usb3="00000000" w:csb0="00040000" w:csb1="00000000"/>
    <w:embedRegular r:id="rId4" w:fontKey="{181BD017-E054-460B-BE6F-095710740FBE}"/>
  </w:font>
  <w:font w:name="仿宋">
    <w:panose1 w:val="02010609060101010101"/>
    <w:charset w:val="86"/>
    <w:family w:val="auto"/>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embedRegular r:id="rId5" w:fontKey="{AAE965F1-6D56-413C-AE3B-66AC2E044FF8}"/>
  </w:font>
  <w:font w:name="Microsoft YaHei UI">
    <w:panose1 w:val="020B0503020204020204"/>
    <w:charset w:val="86"/>
    <w:family w:val="auto"/>
    <w:pitch w:val="default"/>
    <w:sig w:usb0="80000287" w:usb1="2ACF3C50" w:usb2="00000016" w:usb3="00000000" w:csb0="0004001F" w:csb1="00000000"/>
    <w:embedRegular r:id="rId6" w:fontKey="{19F1CC49-F87C-461B-A142-5BF3696747D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F5FEE">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F5A978">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8F5A978">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246DB7"/>
    <w:rsid w:val="029F06EC"/>
    <w:rsid w:val="051200B1"/>
    <w:rsid w:val="092E279E"/>
    <w:rsid w:val="12246DB7"/>
    <w:rsid w:val="170A0AE1"/>
    <w:rsid w:val="172F064F"/>
    <w:rsid w:val="1A0E5F7D"/>
    <w:rsid w:val="1D28626C"/>
    <w:rsid w:val="287463D1"/>
    <w:rsid w:val="2A6C52BE"/>
    <w:rsid w:val="2CF972DD"/>
    <w:rsid w:val="2E195B6E"/>
    <w:rsid w:val="37465815"/>
    <w:rsid w:val="3750483D"/>
    <w:rsid w:val="39423DBA"/>
    <w:rsid w:val="39CF305F"/>
    <w:rsid w:val="3B3F4A47"/>
    <w:rsid w:val="44472913"/>
    <w:rsid w:val="4C561BFF"/>
    <w:rsid w:val="51D80832"/>
    <w:rsid w:val="62F31553"/>
    <w:rsid w:val="65BD63F3"/>
    <w:rsid w:val="664A5B8D"/>
    <w:rsid w:val="74B72109"/>
    <w:rsid w:val="75400D68"/>
    <w:rsid w:val="7A4500B3"/>
    <w:rsid w:val="7EEC43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Normal (Web)"/>
    <w:basedOn w:val="1"/>
    <w:qFormat/>
    <w:uiPriority w:val="0"/>
    <w:pPr>
      <w:spacing w:before="100" w:beforeAutospacing="1" w:after="100" w:afterAutospacing="1"/>
      <w:jc w:val="left"/>
    </w:pPr>
    <w:rPr>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5262</Words>
  <Characters>5329</Characters>
  <Lines>0</Lines>
  <Paragraphs>0</Paragraphs>
  <TotalTime>2</TotalTime>
  <ScaleCrop>false</ScaleCrop>
  <LinksUpToDate>false</LinksUpToDate>
  <CharactersWithSpaces>5438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2025-12-27T14:22:00Z</dcterms:created>
  <dc:creator>lucia299</dc:creator>
  <cp:lastModifiedBy>lucia299</cp:lastModifiedBy>
  <dcterms:modified xsi:type="dcterms:W3CDTF">2026-06-14T13:00:25Z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09BA094F72FC42C2BD0F2F3DF0A98ACD_13</vt:lpwstr>
  </property>
  <property fmtid="{D5CDD505-2E9C-101B-9397-08002B2CF9AE}" pid="4" name="KSOTemplateDocerSaveRecord">
    <vt:lpwstr>eyJoZGlkIjoiN2YzNjBkOTgyNWQ1YTMxYzM3MzMwNWFiODNmOWIzYWMiLCJ1c2VySWQiOiIyNzg1NzQyMzkifQ==</vt:lpwstr>
  </property>
</Properties>
</file>