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1993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Parties</w:t>
      </w:r>
      <w:r w:rsidRPr="00616EBA">
        <w:t xml:space="preserve">: </w:t>
      </w:r>
    </w:p>
    <w:p w14:paraId="3C78ED2D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Buyer: Microsoft Corporation ("Microsoft")</w:t>
      </w:r>
    </w:p>
    <w:p w14:paraId="062FA9D9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Seller: Activision Blizzard, Inc. ("Activision Blizzard")</w:t>
      </w:r>
    </w:p>
    <w:p w14:paraId="6D939CC8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 xml:space="preserve">Merger Sub: Anchorage Merger Sub Inc., a </w:t>
      </w:r>
      <w:proofErr w:type="gramStart"/>
      <w:r w:rsidRPr="00616EBA">
        <w:t>wholly-owned</w:t>
      </w:r>
      <w:proofErr w:type="gramEnd"/>
      <w:r w:rsidRPr="00616EBA">
        <w:t xml:space="preserve"> subsidiary of Microsoft</w:t>
      </w:r>
    </w:p>
    <w:p w14:paraId="52F29247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Transaction Structure</w:t>
      </w:r>
      <w:r w:rsidRPr="00616EBA">
        <w:t xml:space="preserve">: </w:t>
      </w:r>
    </w:p>
    <w:p w14:paraId="3EE27DBE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All-cash acquisition through a reverse triangular merger</w:t>
      </w:r>
    </w:p>
    <w:p w14:paraId="11FEB499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Merger Sub to merge with and into Activision Blizzard</w:t>
      </w:r>
    </w:p>
    <w:p w14:paraId="73630B80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 xml:space="preserve">Activision Blizzard to survive as a </w:t>
      </w:r>
      <w:proofErr w:type="gramStart"/>
      <w:r w:rsidRPr="00616EBA">
        <w:t>wholly-owned</w:t>
      </w:r>
      <w:proofErr w:type="gramEnd"/>
      <w:r w:rsidRPr="00616EBA">
        <w:t xml:space="preserve"> subsidiary of Microsoft</w:t>
      </w:r>
    </w:p>
    <w:p w14:paraId="39BD1700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Purchase Price</w:t>
      </w:r>
      <w:r w:rsidRPr="00616EBA">
        <w:t xml:space="preserve">: </w:t>
      </w:r>
    </w:p>
    <w:p w14:paraId="26282B40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$95.00 per share in cash</w:t>
      </w:r>
    </w:p>
    <w:p w14:paraId="6E0FFE54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Implied equity value: Approximately $68.7 billion</w:t>
      </w:r>
    </w:p>
    <w:p w14:paraId="769CD2AD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Implied enterprise value: Approximately $75 billion (including net cash)</w:t>
      </w:r>
    </w:p>
    <w:p w14:paraId="794B21EB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Form of Consideration</w:t>
      </w:r>
      <w:r w:rsidRPr="00616EBA">
        <w:t>: 100% cash</w:t>
      </w:r>
    </w:p>
    <w:p w14:paraId="526123F0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Premium</w:t>
      </w:r>
      <w:r w:rsidRPr="00616EBA">
        <w:t xml:space="preserve">: </w:t>
      </w:r>
    </w:p>
    <w:p w14:paraId="73AC99DB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45% to Activision Blizzard's closing price on January 14, 2022</w:t>
      </w:r>
    </w:p>
    <w:p w14:paraId="3F976770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50% to 30-day volume weighted average price</w:t>
      </w:r>
    </w:p>
    <w:p w14:paraId="2E67F759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Financing</w:t>
      </w:r>
      <w:r w:rsidRPr="00616EBA">
        <w:t xml:space="preserve">: </w:t>
      </w:r>
    </w:p>
    <w:p w14:paraId="6588EBFE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Cash on hand</w:t>
      </w:r>
    </w:p>
    <w:p w14:paraId="50D2673C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No financing contingency</w:t>
      </w:r>
    </w:p>
    <w:p w14:paraId="32CF3B38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Due Diligence</w:t>
      </w:r>
      <w:r w:rsidRPr="00616EBA">
        <w:t xml:space="preserve">: </w:t>
      </w:r>
    </w:p>
    <w:p w14:paraId="531FA5B0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Customary due diligence by Microsoft</w:t>
      </w:r>
    </w:p>
    <w:p w14:paraId="002442AF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Focus areas: financial, legal, operational, technological, ongoing litigation, workplace culture</w:t>
      </w:r>
    </w:p>
    <w:p w14:paraId="0A1EDCB7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Management &amp; Employees</w:t>
      </w:r>
      <w:r w:rsidRPr="00616EBA">
        <w:t xml:space="preserve">: </w:t>
      </w:r>
    </w:p>
    <w:p w14:paraId="5D06013E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Bobby Kotick to remain as CEO of Activision Blizzard</w:t>
      </w:r>
    </w:p>
    <w:p w14:paraId="4A6A888C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Activision Blizzard to report to Phil Spencer, CEO of Microsoft Gaming</w:t>
      </w:r>
    </w:p>
    <w:p w14:paraId="74053607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lastRenderedPageBreak/>
        <w:t xml:space="preserve">Microsoft to honor existing employee agreements and benefit plans for at least </w:t>
      </w:r>
      <w:proofErr w:type="gramStart"/>
      <w:r w:rsidRPr="00616EBA">
        <w:t>one year</w:t>
      </w:r>
      <w:proofErr w:type="gramEnd"/>
      <w:r w:rsidRPr="00616EBA">
        <w:t xml:space="preserve"> post-closing</w:t>
      </w:r>
    </w:p>
    <w:p w14:paraId="06F69C37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Retention packages for key employees to be determined</w:t>
      </w:r>
    </w:p>
    <w:p w14:paraId="3DD38C39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Conditions to Closing</w:t>
      </w:r>
      <w:r w:rsidRPr="00616EBA">
        <w:t xml:space="preserve">: </w:t>
      </w:r>
    </w:p>
    <w:p w14:paraId="77B740EB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Activision Blizzard shareholder approval</w:t>
      </w:r>
    </w:p>
    <w:p w14:paraId="4C426BE2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Regulatory approvals (including U.S., UK, EU, and China)</w:t>
      </w:r>
    </w:p>
    <w:p w14:paraId="2B31A853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No material adverse change in Activision Blizzard's business</w:t>
      </w:r>
    </w:p>
    <w:p w14:paraId="2B134F38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Accuracy of representations and warranties</w:t>
      </w:r>
    </w:p>
    <w:p w14:paraId="1ED2F3BC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Compliance with pre-closing covenants</w:t>
      </w:r>
    </w:p>
    <w:p w14:paraId="1DDD255A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Regulatory Approvals</w:t>
      </w:r>
      <w:r w:rsidRPr="00616EBA">
        <w:t xml:space="preserve">: </w:t>
      </w:r>
    </w:p>
    <w:p w14:paraId="47EEAE0F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Parties to cooperate in obtaining necessary approvals</w:t>
      </w:r>
    </w:p>
    <w:p w14:paraId="2A98506A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Microsoft to lead efforts in securing regulatory clearances</w:t>
      </w:r>
    </w:p>
    <w:p w14:paraId="3051B99E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 xml:space="preserve">Microsoft commits to: </w:t>
      </w:r>
    </w:p>
    <w:p w14:paraId="4A4AA456" w14:textId="77777777" w:rsidR="00616EBA" w:rsidRPr="00616EBA" w:rsidRDefault="00616EBA" w:rsidP="00616EBA">
      <w:pPr>
        <w:numPr>
          <w:ilvl w:val="2"/>
          <w:numId w:val="1"/>
        </w:numPr>
      </w:pPr>
      <w:r w:rsidRPr="00616EBA">
        <w:t>Keep Call of Duty on PlayStation for at least 10 years</w:t>
      </w:r>
    </w:p>
    <w:p w14:paraId="2C8F4B17" w14:textId="77777777" w:rsidR="00616EBA" w:rsidRPr="00616EBA" w:rsidRDefault="00616EBA" w:rsidP="00616EBA">
      <w:pPr>
        <w:numPr>
          <w:ilvl w:val="2"/>
          <w:numId w:val="1"/>
        </w:numPr>
      </w:pPr>
      <w:r w:rsidRPr="00616EBA">
        <w:t>Bring Call of Duty to Nintendo Switch and cloud gaming services</w:t>
      </w:r>
    </w:p>
    <w:p w14:paraId="10406EA6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Termination Provisions</w:t>
      </w:r>
      <w:r w:rsidRPr="00616EBA">
        <w:t xml:space="preserve">: </w:t>
      </w:r>
    </w:p>
    <w:p w14:paraId="12E1A01D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Outside Date: 18 months from signing, subject to extension for regulatory approvals</w:t>
      </w:r>
    </w:p>
    <w:p w14:paraId="74C828C9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Termination Fee (Activision Blizzard): 1-3% of deal value (to be negotiated)</w:t>
      </w:r>
    </w:p>
    <w:p w14:paraId="3DD1A653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Reverse Termination Fee (Microsoft): $2-3 billion (to be negotiated)</w:t>
      </w:r>
    </w:p>
    <w:p w14:paraId="2EE68902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Representations and Warranties</w:t>
      </w:r>
      <w:r w:rsidRPr="00616EBA">
        <w:t xml:space="preserve">: </w:t>
      </w:r>
    </w:p>
    <w:p w14:paraId="5D22D6CF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Customary for a transaction of this nature</w:t>
      </w:r>
    </w:p>
    <w:p w14:paraId="1C97AF2C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Activision Blizzard to provide representations on financial statements, IP, employee matters, and ongoing litigation</w:t>
      </w:r>
    </w:p>
    <w:p w14:paraId="0227FB03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Microsoft to provide representations on regulatory matters and financing</w:t>
      </w:r>
    </w:p>
    <w:p w14:paraId="52D55544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Covenants</w:t>
      </w:r>
      <w:r w:rsidRPr="00616EBA">
        <w:t xml:space="preserve">: </w:t>
      </w:r>
    </w:p>
    <w:p w14:paraId="5D34EDDE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Customary interim operating covenants</w:t>
      </w:r>
    </w:p>
    <w:p w14:paraId="52963829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lastRenderedPageBreak/>
        <w:t>Non-solicitation with fiduciary out for Activision Blizzard</w:t>
      </w:r>
    </w:p>
    <w:p w14:paraId="67F566EA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Exclusivity</w:t>
      </w:r>
      <w:r w:rsidRPr="00616EBA">
        <w:t xml:space="preserve">: </w:t>
      </w:r>
    </w:p>
    <w:p w14:paraId="4C7A2009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30-day exclusivity period for Activision Blizzard (subject to negotiation)</w:t>
      </w:r>
    </w:p>
    <w:p w14:paraId="042BCADF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Governance</w:t>
      </w:r>
      <w:r w:rsidRPr="00616EBA">
        <w:t xml:space="preserve">: </w:t>
      </w:r>
    </w:p>
    <w:p w14:paraId="1F127912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Activision Blizzard to operate as a business unit within Microsoft Gaming</w:t>
      </w:r>
    </w:p>
    <w:p w14:paraId="22BB79E3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Integration Planning</w:t>
      </w:r>
      <w:r w:rsidRPr="00616EBA">
        <w:t xml:space="preserve">: </w:t>
      </w:r>
    </w:p>
    <w:p w14:paraId="0D3FC4D9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Parties to establish integration planning team</w:t>
      </w:r>
    </w:p>
    <w:p w14:paraId="626F61F7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Focus on business continuity and synergy achievement</w:t>
      </w:r>
    </w:p>
    <w:p w14:paraId="660E3637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Treatment of Equity Awards</w:t>
      </w:r>
      <w:r w:rsidRPr="00616EBA">
        <w:t xml:space="preserve">: </w:t>
      </w:r>
    </w:p>
    <w:p w14:paraId="4A42D4FD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To be determined (conversion to Microsoft equity or cash-out)</w:t>
      </w:r>
    </w:p>
    <w:p w14:paraId="00F1D52A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Announcements and Confidentiality</w:t>
      </w:r>
      <w:r w:rsidRPr="00616EBA">
        <w:t xml:space="preserve">: </w:t>
      </w:r>
    </w:p>
    <w:p w14:paraId="588B6B45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Coordinate on timing and content of public disclosures</w:t>
      </w:r>
    </w:p>
    <w:p w14:paraId="779F2D0D" w14:textId="77777777" w:rsidR="00616EBA" w:rsidRPr="00616EBA" w:rsidRDefault="00616EBA" w:rsidP="00616EBA">
      <w:pPr>
        <w:numPr>
          <w:ilvl w:val="1"/>
          <w:numId w:val="1"/>
        </w:numPr>
      </w:pPr>
      <w:r w:rsidRPr="00616EBA">
        <w:t>Customary confidentiality provisions</w:t>
      </w:r>
    </w:p>
    <w:p w14:paraId="3090421C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Expenses</w:t>
      </w:r>
      <w:r w:rsidRPr="00616EBA">
        <w:t>: Each party to bear its own expenses</w:t>
      </w:r>
    </w:p>
    <w:p w14:paraId="294505B7" w14:textId="77777777" w:rsidR="00616EBA" w:rsidRPr="00616EBA" w:rsidRDefault="00616EBA" w:rsidP="00616EBA">
      <w:pPr>
        <w:numPr>
          <w:ilvl w:val="0"/>
          <w:numId w:val="1"/>
        </w:numPr>
      </w:pPr>
      <w:r w:rsidRPr="00616EBA">
        <w:rPr>
          <w:b/>
          <w:bCs/>
        </w:rPr>
        <w:t>Governing Law</w:t>
      </w:r>
      <w:r w:rsidRPr="00616EBA">
        <w:t>: Delaware</w:t>
      </w:r>
    </w:p>
    <w:p w14:paraId="57F8F347" w14:textId="77777777" w:rsidR="00616EBA" w:rsidRPr="00616EBA" w:rsidRDefault="00616EBA" w:rsidP="00616EBA">
      <w:r w:rsidRPr="00616EBA">
        <w:t>This term sheet is non-binding and subject to the negotiation and execution of definitive agreements. It does not constitute a commitment to lend, borrow or consummate a transaction.</w:t>
      </w:r>
    </w:p>
    <w:p w14:paraId="2C08ECF8" w14:textId="77777777" w:rsidR="00616EBA" w:rsidRDefault="00616EBA"/>
    <w:sectPr w:rsidR="006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F1FB3"/>
    <w:multiLevelType w:val="multilevel"/>
    <w:tmpl w:val="AB08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09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BA"/>
    <w:rsid w:val="00616EBA"/>
    <w:rsid w:val="009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9205"/>
  <w15:chartTrackingRefBased/>
  <w15:docId w15:val="{9758F73F-FB31-5148-A846-783BBD6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brown</dc:creator>
  <cp:keywords/>
  <dc:description/>
  <cp:lastModifiedBy>spencer brown</cp:lastModifiedBy>
  <cp:revision>1</cp:revision>
  <dcterms:created xsi:type="dcterms:W3CDTF">2024-09-08T17:24:00Z</dcterms:created>
  <dcterms:modified xsi:type="dcterms:W3CDTF">2024-09-08T17:25:00Z</dcterms:modified>
</cp:coreProperties>
</file>