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D97B4A" w14:textId="05A70C68" w:rsidR="00816613" w:rsidRPr="00816613" w:rsidRDefault="00816613" w:rsidP="00816613">
      <w:r w:rsidRPr="00816613">
        <w:t>NON-BINDING LETTER OF INTENT</w:t>
      </w:r>
      <w:bookmarkStart w:id="0" w:name="page_1"/>
      <w:bookmarkEnd w:id="0"/>
    </w:p>
    <w:p w14:paraId="55E92673" w14:textId="77777777" w:rsidR="00816613" w:rsidRPr="00816613" w:rsidRDefault="00816613" w:rsidP="00816613">
      <w:proofErr w:type="spellStart"/>
      <w:r w:rsidRPr="00816613">
        <w:rPr>
          <w:b/>
          <w:bCs/>
        </w:rPr>
        <w:t>Cynergi</w:t>
      </w:r>
      <w:proofErr w:type="spellEnd"/>
      <w:r w:rsidRPr="00816613">
        <w:rPr>
          <w:b/>
          <w:bCs/>
        </w:rPr>
        <w:t xml:space="preserve"> Holdings, Inc.</w:t>
      </w:r>
      <w:r w:rsidRPr="00816613">
        <w:br/>
      </w:r>
      <w:r w:rsidRPr="00816613">
        <w:rPr>
          <w:b/>
          <w:bCs/>
        </w:rPr>
        <w:t>3 Vaughan Ave</w:t>
      </w:r>
      <w:r w:rsidRPr="00816613">
        <w:br/>
      </w:r>
      <w:r w:rsidRPr="00816613">
        <w:rPr>
          <w:b/>
          <w:bCs/>
        </w:rPr>
        <w:t>Doncaster, XO DN1 2QE</w:t>
      </w:r>
      <w:r w:rsidRPr="00816613">
        <w:br/>
      </w:r>
      <w:r w:rsidRPr="00816613">
        <w:br/>
        <w:t>December 1, 2008</w:t>
      </w:r>
    </w:p>
    <w:p w14:paraId="6C74F2E6" w14:textId="77777777" w:rsidR="00816613" w:rsidRPr="00816613" w:rsidRDefault="00816613" w:rsidP="00816613">
      <w:r w:rsidRPr="00816613">
        <w:rPr>
          <w:u w:val="single"/>
        </w:rPr>
        <w:t>Strictly Private and Confidential</w:t>
      </w:r>
      <w:r w:rsidRPr="00816613">
        <w:br/>
      </w:r>
      <w:r w:rsidRPr="00816613">
        <w:br/>
        <w:t>Sports Supplement Acquisition Group, Inc.</w:t>
      </w:r>
      <w:r w:rsidRPr="00816613">
        <w:br/>
        <w:t>2348 Lucerne Road, Suite 172</w:t>
      </w:r>
      <w:r w:rsidRPr="00816613">
        <w:br/>
        <w:t>Mount-Royal, QC H3R 4J8</w:t>
      </w:r>
      <w:r w:rsidRPr="00816613">
        <w:br/>
      </w:r>
      <w:r w:rsidRPr="00816613">
        <w:br/>
        <w:t>Ladies and Gentlemen:</w:t>
      </w:r>
    </w:p>
    <w:p w14:paraId="5D975BB0" w14:textId="77777777" w:rsidR="00816613" w:rsidRPr="00816613" w:rsidRDefault="00816613" w:rsidP="00816613">
      <w:r w:rsidRPr="00816613">
        <w:t xml:space="preserve">     The purpose of this Letter of Intent (“LOI”) is to set forth the terms and conditions pursuant to which </w:t>
      </w:r>
      <w:proofErr w:type="spellStart"/>
      <w:r w:rsidRPr="00816613">
        <w:t>Cynergi</w:t>
      </w:r>
      <w:proofErr w:type="spellEnd"/>
      <w:r w:rsidRPr="00816613">
        <w:t xml:space="preserve"> Holdings, Inc., a Nevada Corporation (“</w:t>
      </w:r>
      <w:proofErr w:type="spellStart"/>
      <w:r w:rsidRPr="00816613">
        <w:t>Cynergi</w:t>
      </w:r>
      <w:proofErr w:type="spellEnd"/>
      <w:r w:rsidRPr="00816613">
        <w:t xml:space="preserve">”) will </w:t>
      </w:r>
      <w:proofErr w:type="gramStart"/>
      <w:r w:rsidRPr="00816613">
        <w:t>enter into</w:t>
      </w:r>
      <w:proofErr w:type="gramEnd"/>
      <w:r w:rsidRPr="00816613">
        <w:t xml:space="preserve"> a business combination (the “Acquisition”) with Sports Supplement Acquisition Group, Inc., a Delaware corporation (“Company”). </w:t>
      </w:r>
      <w:proofErr w:type="spellStart"/>
      <w:r w:rsidRPr="00816613">
        <w:t>Cynergi</w:t>
      </w:r>
      <w:proofErr w:type="spellEnd"/>
      <w:r w:rsidRPr="00816613">
        <w:t xml:space="preserve"> and the Company may individually be referred to herein as a “Party” or collectively as the “Parties”.</w:t>
      </w:r>
    </w:p>
    <w:p w14:paraId="12A54BA0" w14:textId="77777777" w:rsidR="00816613" w:rsidRPr="00816613" w:rsidRDefault="00816613" w:rsidP="00816613">
      <w:r w:rsidRPr="00816613">
        <w:t xml:space="preserve">     While this LOI is not a binding agreement, except as specifically set forth in Section 11 below, it outlines the preliminary terms of the </w:t>
      </w:r>
      <w:proofErr w:type="gramStart"/>
      <w:r w:rsidRPr="00816613">
        <w:t>Acquisition</w:t>
      </w:r>
      <w:proofErr w:type="gramEnd"/>
      <w:r w:rsidRPr="00816613">
        <w:t xml:space="preserve"> and the transactions contemplated herein. This LOI is intended to serve as an outline of the proposed principal terms and conditions regarding the </w:t>
      </w:r>
      <w:proofErr w:type="gramStart"/>
      <w:r w:rsidRPr="00816613">
        <w:t>Acquisition, and</w:t>
      </w:r>
      <w:proofErr w:type="gramEnd"/>
      <w:r w:rsidRPr="00816613">
        <w:t xml:space="preserve"> is subject to the execution and closing of a definitive agreement (“Definitive Agreement”) among </w:t>
      </w:r>
      <w:proofErr w:type="spellStart"/>
      <w:r w:rsidRPr="00816613">
        <w:t>Cynergi</w:t>
      </w:r>
      <w:proofErr w:type="spellEnd"/>
      <w:r w:rsidRPr="00816613">
        <w:t xml:space="preserve"> and the Company. The Parties recognize that there are other terms and conditions that have yet to be addressed, but the Parties agree to work together in good faith to address these issues and to complete a Definitive Agreement that is acceptable to both Parties as quickly as is practicable.</w:t>
      </w:r>
    </w:p>
    <w:p w14:paraId="6A53070C" w14:textId="77777777" w:rsidR="00816613" w:rsidRPr="00816613" w:rsidRDefault="00816613" w:rsidP="00816613">
      <w:r w:rsidRPr="00816613">
        <w:t xml:space="preserve">     1.      Acquisition.    Pursuant to the terms and conditions of the Definitive Agreement, </w:t>
      </w:r>
      <w:proofErr w:type="spellStart"/>
      <w:r w:rsidRPr="00816613">
        <w:t>Cynergi</w:t>
      </w:r>
      <w:proofErr w:type="spellEnd"/>
      <w:r w:rsidRPr="00816613">
        <w:t xml:space="preserve"> or a wholly owned subsidiary of </w:t>
      </w:r>
      <w:proofErr w:type="spellStart"/>
      <w:r w:rsidRPr="00816613">
        <w:t>Cynergi</w:t>
      </w:r>
      <w:proofErr w:type="spellEnd"/>
      <w:r w:rsidRPr="00816613">
        <w:t xml:space="preserve"> will acquire the Company. </w:t>
      </w:r>
      <w:proofErr w:type="spellStart"/>
      <w:r w:rsidRPr="00816613">
        <w:t>Cynergi</w:t>
      </w:r>
      <w:proofErr w:type="spellEnd"/>
      <w:r w:rsidRPr="00816613">
        <w:t xml:space="preserve"> shall submit for approval to FINRA and other necessary organizations for a reverse equity stock split of 1:8. Current Management will then cancel approximately 8,200,000 </w:t>
      </w:r>
      <w:proofErr w:type="spellStart"/>
      <w:r w:rsidRPr="00816613">
        <w:t>post split</w:t>
      </w:r>
      <w:proofErr w:type="spellEnd"/>
      <w:r w:rsidRPr="00816613">
        <w:t xml:space="preserve"> shares. </w:t>
      </w:r>
      <w:proofErr w:type="spellStart"/>
      <w:r w:rsidRPr="00816613">
        <w:t>Cynergi</w:t>
      </w:r>
      <w:proofErr w:type="spellEnd"/>
      <w:r w:rsidRPr="00816613">
        <w:t xml:space="preserve"> will issue approximately 15,750,000 </w:t>
      </w:r>
      <w:proofErr w:type="spellStart"/>
      <w:r w:rsidRPr="00816613">
        <w:t>post split</w:t>
      </w:r>
      <w:proofErr w:type="spellEnd"/>
      <w:r w:rsidRPr="00816613">
        <w:t xml:space="preserve"> shares of the capital stock for the acquisition. After the Acquisition, the Company’s current shareholders will beneficially own and control approximately 70% of the then outstanding shares of </w:t>
      </w:r>
      <w:proofErr w:type="spellStart"/>
      <w:r w:rsidRPr="00816613">
        <w:t>Cynergi</w:t>
      </w:r>
      <w:proofErr w:type="spellEnd"/>
      <w:r w:rsidRPr="00816613">
        <w:t xml:space="preserve"> (which are estimated to be 22,500,000 shares of the common stock of </w:t>
      </w:r>
      <w:proofErr w:type="spellStart"/>
      <w:r w:rsidRPr="00816613">
        <w:t>Cynergi</w:t>
      </w:r>
      <w:proofErr w:type="spellEnd"/>
      <w:r w:rsidRPr="00816613">
        <w:t xml:space="preserve"> based on a 1:8 reverse stock split).</w:t>
      </w:r>
    </w:p>
    <w:p w14:paraId="0E4253F8" w14:textId="77777777" w:rsidR="00816613" w:rsidRPr="00816613" w:rsidRDefault="00816613" w:rsidP="00816613">
      <w:r w:rsidRPr="00816613">
        <w:lastRenderedPageBreak/>
        <w:t>     2.      </w:t>
      </w:r>
      <w:r w:rsidRPr="00816613">
        <w:rPr>
          <w:u w:val="single"/>
        </w:rPr>
        <w:t>Board of Directors and Executive Officers.</w:t>
      </w:r>
      <w:r w:rsidRPr="00816613">
        <w:t xml:space="preserve">     As a condition to the Company closing the Acquisition, the then Board of Directors and executive officers of </w:t>
      </w:r>
      <w:proofErr w:type="spellStart"/>
      <w:r w:rsidRPr="00816613">
        <w:t>Cynergi</w:t>
      </w:r>
      <w:proofErr w:type="spellEnd"/>
      <w:r w:rsidRPr="00816613">
        <w:t xml:space="preserve"> will appoint new members of the Board of Directors and new executive officers to replace them, as designated in writing by the Company and resign simultaneously.</w:t>
      </w:r>
    </w:p>
    <w:p w14:paraId="219C0732" w14:textId="77777777" w:rsidR="00816613" w:rsidRPr="00816613" w:rsidRDefault="00816613" w:rsidP="00816613">
      <w:r w:rsidRPr="00816613">
        <w:t>     3.      </w:t>
      </w:r>
      <w:r w:rsidRPr="00816613">
        <w:rPr>
          <w:u w:val="single"/>
        </w:rPr>
        <w:t>Closing</w:t>
      </w:r>
      <w:r w:rsidRPr="00816613">
        <w:t>.    The Parties will use their best efforts to close the Acquisition contemplated herein as soon as reasonably possible following the execution of this LOI (“Closing”).</w:t>
      </w:r>
    </w:p>
    <w:p w14:paraId="79CCC22E" w14:textId="77777777" w:rsidR="00816613" w:rsidRPr="00816613" w:rsidRDefault="00EE619A" w:rsidP="00816613">
      <w:r w:rsidRPr="00816613">
        <w:rPr>
          <w:noProof/>
        </w:rPr>
        <w:pict w14:anchorId="465B45F3">
          <v:rect id="_x0000_i1028" alt="" style="width:468pt;height:2pt;mso-width-percent:0;mso-height-percent:0;mso-width-percent:0;mso-height-percent:0" o:hralign="center" o:hrstd="t" o:hrnoshade="t" o:hr="t" fillcolor="#a0a0a0" stroked="f"/>
        </w:pict>
      </w:r>
    </w:p>
    <w:p w14:paraId="3F4267AE" w14:textId="77777777" w:rsidR="00816613" w:rsidRPr="00816613" w:rsidRDefault="00816613" w:rsidP="00816613">
      <w:bookmarkStart w:id="1" w:name="page_2"/>
      <w:bookmarkEnd w:id="1"/>
      <w:r w:rsidRPr="00816613">
        <w:t>     4.      </w:t>
      </w:r>
      <w:r w:rsidRPr="00816613">
        <w:rPr>
          <w:u w:val="single"/>
        </w:rPr>
        <w:t>Due Diligence</w:t>
      </w:r>
      <w:r w:rsidRPr="00816613">
        <w:t xml:space="preserve">.    </w:t>
      </w:r>
      <w:proofErr w:type="spellStart"/>
      <w:r w:rsidRPr="00816613">
        <w:t>Cynergi</w:t>
      </w:r>
      <w:proofErr w:type="spellEnd"/>
      <w:r w:rsidRPr="00816613">
        <w:t xml:space="preserve"> shall conduct a business, financial, and legal due diligence investigation of the Company and each of its subsidiaries, their business and operations and the Company shall conduct a business, financial, and legal due diligence investigation of </w:t>
      </w:r>
      <w:proofErr w:type="spellStart"/>
      <w:r w:rsidRPr="00816613">
        <w:t>Cynergi</w:t>
      </w:r>
      <w:proofErr w:type="spellEnd"/>
      <w:r w:rsidRPr="00816613">
        <w:t>, to each of their satisfaction. To expedite this review, each Party agrees to make such information as reasonably requested by the other Party ("Due Diligence Information") available to the requesting Party and its agents and representatives and to authorize reasonable visits to facilities of each Party, including meetings with its staff, consultants and experts as reasonably requested by the requesting Party.</w:t>
      </w:r>
    </w:p>
    <w:p w14:paraId="7190598C" w14:textId="77777777" w:rsidR="00816613" w:rsidRPr="00816613" w:rsidRDefault="00816613" w:rsidP="00816613">
      <w:r w:rsidRPr="00816613">
        <w:t>     5.      </w:t>
      </w:r>
      <w:r w:rsidRPr="00816613">
        <w:rPr>
          <w:u w:val="single"/>
        </w:rPr>
        <w:t>Additional Closing Conditions</w:t>
      </w:r>
      <w:r w:rsidRPr="00816613">
        <w:t xml:space="preserve">:    The obligations of </w:t>
      </w:r>
      <w:proofErr w:type="spellStart"/>
      <w:r w:rsidRPr="00816613">
        <w:t>Cynergi</w:t>
      </w:r>
      <w:proofErr w:type="spellEnd"/>
      <w:r w:rsidRPr="00816613">
        <w:t xml:space="preserve"> to complete the Acquisition are subject to satisfaction by the Company of the following conditions precedent (unless waived in writing by </w:t>
      </w:r>
      <w:proofErr w:type="spellStart"/>
      <w:r w:rsidRPr="00816613">
        <w:t>Cynergi</w:t>
      </w:r>
      <w:proofErr w:type="spellEnd"/>
      <w:r w:rsidRPr="00816613">
        <w:t>):</w:t>
      </w:r>
    </w:p>
    <w:tbl>
      <w:tblPr>
        <w:tblW w:w="0" w:type="auto"/>
        <w:tblCellSpacing w:w="0" w:type="dxa"/>
        <w:tblCellMar>
          <w:left w:w="0" w:type="dxa"/>
          <w:right w:w="0" w:type="dxa"/>
        </w:tblCellMar>
        <w:tblLook w:val="04A0" w:firstRow="1" w:lastRow="0" w:firstColumn="1" w:lastColumn="0" w:noHBand="0" w:noVBand="1"/>
      </w:tblPr>
      <w:tblGrid>
        <w:gridCol w:w="634"/>
        <w:gridCol w:w="472"/>
        <w:gridCol w:w="8254"/>
      </w:tblGrid>
      <w:tr w:rsidR="00816613" w:rsidRPr="00816613" w14:paraId="2F4A3FB1" w14:textId="77777777" w:rsidTr="00816613">
        <w:trPr>
          <w:tblCellSpacing w:w="0" w:type="dxa"/>
        </w:trPr>
        <w:tc>
          <w:tcPr>
            <w:tcW w:w="0" w:type="auto"/>
            <w:noWrap/>
            <w:hideMark/>
          </w:tcPr>
          <w:p w14:paraId="49C839CF" w14:textId="77777777" w:rsidR="00816613" w:rsidRPr="00816613" w:rsidRDefault="00816613" w:rsidP="00816613">
            <w:r w:rsidRPr="00816613">
              <w:t>             </w:t>
            </w:r>
          </w:p>
        </w:tc>
        <w:tc>
          <w:tcPr>
            <w:tcW w:w="0" w:type="auto"/>
            <w:noWrap/>
            <w:hideMark/>
          </w:tcPr>
          <w:p w14:paraId="215E8DE5" w14:textId="77777777" w:rsidR="00816613" w:rsidRPr="00816613" w:rsidRDefault="00816613" w:rsidP="00816613">
            <w:r w:rsidRPr="00816613">
              <w:t>A.     </w:t>
            </w:r>
          </w:p>
        </w:tc>
        <w:tc>
          <w:tcPr>
            <w:tcW w:w="5000" w:type="pct"/>
            <w:vAlign w:val="center"/>
            <w:hideMark/>
          </w:tcPr>
          <w:p w14:paraId="43765FE9" w14:textId="77777777" w:rsidR="00816613" w:rsidRPr="00816613" w:rsidRDefault="00816613" w:rsidP="00816613">
            <w:r w:rsidRPr="00816613">
              <w:t xml:space="preserve">Between the date of the signing of this LOI and the Closing, the business of the Company and the Subsidiaries shall be run in the ordinary course, and in a manner consistent with past practices. The Company will not, without the written consent of </w:t>
            </w:r>
            <w:proofErr w:type="spellStart"/>
            <w:r w:rsidRPr="00816613">
              <w:t>Cynergi</w:t>
            </w:r>
            <w:proofErr w:type="spellEnd"/>
            <w:r w:rsidRPr="00816613">
              <w:t xml:space="preserve">, </w:t>
            </w:r>
            <w:proofErr w:type="gramStart"/>
            <w:r w:rsidRPr="00816613">
              <w:t>enter into</w:t>
            </w:r>
            <w:proofErr w:type="gramEnd"/>
            <w:r w:rsidRPr="00816613">
              <w:t xml:space="preserve"> or perform any transactions outside of the ordinary course of business relating to the Company or the Subsidiaries;</w:t>
            </w:r>
          </w:p>
        </w:tc>
      </w:tr>
      <w:tr w:rsidR="00816613" w:rsidRPr="00816613" w14:paraId="2EACEBF0" w14:textId="77777777" w:rsidTr="00816613">
        <w:trPr>
          <w:tblCellSpacing w:w="0" w:type="dxa"/>
        </w:trPr>
        <w:tc>
          <w:tcPr>
            <w:tcW w:w="0" w:type="auto"/>
            <w:noWrap/>
            <w:vAlign w:val="center"/>
            <w:hideMark/>
          </w:tcPr>
          <w:p w14:paraId="4E7A3F2B" w14:textId="77777777" w:rsidR="00816613" w:rsidRPr="00816613" w:rsidRDefault="00816613" w:rsidP="00816613"/>
        </w:tc>
        <w:tc>
          <w:tcPr>
            <w:tcW w:w="5000" w:type="pct"/>
            <w:gridSpan w:val="2"/>
            <w:vAlign w:val="center"/>
            <w:hideMark/>
          </w:tcPr>
          <w:p w14:paraId="42D6349B" w14:textId="77777777" w:rsidR="00816613" w:rsidRPr="00816613" w:rsidRDefault="00816613" w:rsidP="00816613">
            <w:r w:rsidRPr="00816613">
              <w:t> </w:t>
            </w:r>
          </w:p>
        </w:tc>
      </w:tr>
      <w:tr w:rsidR="00816613" w:rsidRPr="00816613" w14:paraId="42B90E93" w14:textId="77777777" w:rsidTr="00816613">
        <w:trPr>
          <w:tblCellSpacing w:w="0" w:type="dxa"/>
        </w:trPr>
        <w:tc>
          <w:tcPr>
            <w:tcW w:w="0" w:type="auto"/>
            <w:noWrap/>
            <w:hideMark/>
          </w:tcPr>
          <w:p w14:paraId="3AE4108F" w14:textId="77777777" w:rsidR="00816613" w:rsidRPr="00816613" w:rsidRDefault="00816613" w:rsidP="00816613"/>
        </w:tc>
        <w:tc>
          <w:tcPr>
            <w:tcW w:w="0" w:type="auto"/>
            <w:noWrap/>
            <w:hideMark/>
          </w:tcPr>
          <w:p w14:paraId="5A5C0488" w14:textId="77777777" w:rsidR="00816613" w:rsidRPr="00816613" w:rsidRDefault="00816613" w:rsidP="00816613">
            <w:r w:rsidRPr="00816613">
              <w:t>B.     </w:t>
            </w:r>
          </w:p>
        </w:tc>
        <w:tc>
          <w:tcPr>
            <w:tcW w:w="5000" w:type="pct"/>
            <w:vAlign w:val="center"/>
            <w:hideMark/>
          </w:tcPr>
          <w:p w14:paraId="1726B34B" w14:textId="77777777" w:rsidR="00816613" w:rsidRPr="00816613" w:rsidRDefault="00816613" w:rsidP="00816613">
            <w:r w:rsidRPr="00816613">
              <w:t>No material change in the business, financial condition or capitalization of the Company and the Subsidiaries shall have occurred between the date of this LOI and Closing other than as required herein or in the Definitive Agreement or as agreed upon by the parties;</w:t>
            </w:r>
          </w:p>
        </w:tc>
      </w:tr>
      <w:tr w:rsidR="00816613" w:rsidRPr="00816613" w14:paraId="6CB9280E" w14:textId="77777777" w:rsidTr="00816613">
        <w:trPr>
          <w:tblCellSpacing w:w="0" w:type="dxa"/>
        </w:trPr>
        <w:tc>
          <w:tcPr>
            <w:tcW w:w="0" w:type="auto"/>
            <w:noWrap/>
            <w:vAlign w:val="center"/>
            <w:hideMark/>
          </w:tcPr>
          <w:p w14:paraId="5070FE6F" w14:textId="77777777" w:rsidR="00816613" w:rsidRPr="00816613" w:rsidRDefault="00816613" w:rsidP="00816613"/>
        </w:tc>
        <w:tc>
          <w:tcPr>
            <w:tcW w:w="5000" w:type="pct"/>
            <w:gridSpan w:val="2"/>
            <w:vAlign w:val="center"/>
            <w:hideMark/>
          </w:tcPr>
          <w:p w14:paraId="19DDCAC8" w14:textId="77777777" w:rsidR="00816613" w:rsidRPr="00816613" w:rsidRDefault="00816613" w:rsidP="00816613">
            <w:r w:rsidRPr="00816613">
              <w:t> </w:t>
            </w:r>
          </w:p>
        </w:tc>
      </w:tr>
      <w:tr w:rsidR="00816613" w:rsidRPr="00816613" w14:paraId="52BB9C21" w14:textId="77777777" w:rsidTr="00816613">
        <w:trPr>
          <w:tblCellSpacing w:w="0" w:type="dxa"/>
        </w:trPr>
        <w:tc>
          <w:tcPr>
            <w:tcW w:w="0" w:type="auto"/>
            <w:noWrap/>
            <w:hideMark/>
          </w:tcPr>
          <w:p w14:paraId="16429348" w14:textId="77777777" w:rsidR="00816613" w:rsidRPr="00816613" w:rsidRDefault="00816613" w:rsidP="00816613"/>
        </w:tc>
        <w:tc>
          <w:tcPr>
            <w:tcW w:w="0" w:type="auto"/>
            <w:noWrap/>
            <w:hideMark/>
          </w:tcPr>
          <w:p w14:paraId="1318DDBE" w14:textId="77777777" w:rsidR="00816613" w:rsidRPr="00816613" w:rsidRDefault="00816613" w:rsidP="00816613">
            <w:r w:rsidRPr="00816613">
              <w:t>C.     </w:t>
            </w:r>
          </w:p>
        </w:tc>
        <w:tc>
          <w:tcPr>
            <w:tcW w:w="5000" w:type="pct"/>
            <w:vAlign w:val="center"/>
            <w:hideMark/>
          </w:tcPr>
          <w:p w14:paraId="3BFF786C" w14:textId="77777777" w:rsidR="00816613" w:rsidRPr="00816613" w:rsidRDefault="00816613" w:rsidP="00816613">
            <w:r w:rsidRPr="00816613">
              <w:t xml:space="preserve">The Company and the Subsidiaries shall have received and delivered to </w:t>
            </w:r>
            <w:proofErr w:type="spellStart"/>
            <w:r w:rsidRPr="00816613">
              <w:t>Cynergi</w:t>
            </w:r>
            <w:proofErr w:type="spellEnd"/>
            <w:r w:rsidRPr="00816613">
              <w:t xml:space="preserve"> information as may be necessary for any filings required to be made by </w:t>
            </w:r>
            <w:proofErr w:type="spellStart"/>
            <w:r w:rsidRPr="00816613">
              <w:t>Cynergi</w:t>
            </w:r>
            <w:proofErr w:type="spellEnd"/>
            <w:r w:rsidRPr="00816613">
              <w:t xml:space="preserve"> in connection with the Transaction.</w:t>
            </w:r>
          </w:p>
        </w:tc>
      </w:tr>
      <w:tr w:rsidR="00816613" w:rsidRPr="00816613" w14:paraId="56AA8B97" w14:textId="77777777" w:rsidTr="00816613">
        <w:trPr>
          <w:tblCellSpacing w:w="0" w:type="dxa"/>
        </w:trPr>
        <w:tc>
          <w:tcPr>
            <w:tcW w:w="0" w:type="auto"/>
            <w:noWrap/>
            <w:vAlign w:val="center"/>
            <w:hideMark/>
          </w:tcPr>
          <w:p w14:paraId="0261701D" w14:textId="77777777" w:rsidR="00816613" w:rsidRPr="00816613" w:rsidRDefault="00816613" w:rsidP="00816613"/>
        </w:tc>
        <w:tc>
          <w:tcPr>
            <w:tcW w:w="5000" w:type="pct"/>
            <w:gridSpan w:val="2"/>
            <w:vAlign w:val="center"/>
            <w:hideMark/>
          </w:tcPr>
          <w:p w14:paraId="6F16BF01" w14:textId="77777777" w:rsidR="00816613" w:rsidRPr="00816613" w:rsidRDefault="00816613" w:rsidP="00816613">
            <w:r w:rsidRPr="00816613">
              <w:t> </w:t>
            </w:r>
          </w:p>
        </w:tc>
      </w:tr>
      <w:tr w:rsidR="00816613" w:rsidRPr="00816613" w14:paraId="35B68A16" w14:textId="77777777" w:rsidTr="00816613">
        <w:trPr>
          <w:tblCellSpacing w:w="0" w:type="dxa"/>
        </w:trPr>
        <w:tc>
          <w:tcPr>
            <w:tcW w:w="0" w:type="auto"/>
            <w:noWrap/>
            <w:hideMark/>
          </w:tcPr>
          <w:p w14:paraId="67BA04C8" w14:textId="77777777" w:rsidR="00816613" w:rsidRPr="00816613" w:rsidRDefault="00816613" w:rsidP="00816613"/>
        </w:tc>
        <w:tc>
          <w:tcPr>
            <w:tcW w:w="0" w:type="auto"/>
            <w:noWrap/>
            <w:hideMark/>
          </w:tcPr>
          <w:p w14:paraId="66566032" w14:textId="77777777" w:rsidR="00816613" w:rsidRPr="00816613" w:rsidRDefault="00816613" w:rsidP="00816613">
            <w:r w:rsidRPr="00816613">
              <w:t>D.     </w:t>
            </w:r>
          </w:p>
        </w:tc>
        <w:tc>
          <w:tcPr>
            <w:tcW w:w="5000" w:type="pct"/>
            <w:vAlign w:val="center"/>
            <w:hideMark/>
          </w:tcPr>
          <w:p w14:paraId="1AB53B74" w14:textId="77777777" w:rsidR="00816613" w:rsidRPr="00816613" w:rsidRDefault="00816613" w:rsidP="00816613">
            <w:proofErr w:type="spellStart"/>
            <w:r w:rsidRPr="00816613">
              <w:t>Cynergi</w:t>
            </w:r>
            <w:proofErr w:type="spellEnd"/>
            <w:r w:rsidRPr="00816613">
              <w:t xml:space="preserve"> shall have </w:t>
            </w:r>
            <w:proofErr w:type="gramStart"/>
            <w:r w:rsidRPr="00816613">
              <w:t>entered into</w:t>
            </w:r>
            <w:proofErr w:type="gramEnd"/>
            <w:r w:rsidRPr="00816613">
              <w:t xml:space="preserve"> financing arrangements providing </w:t>
            </w:r>
            <w:proofErr w:type="spellStart"/>
            <w:r w:rsidRPr="00816613">
              <w:t>Cynergi</w:t>
            </w:r>
            <w:proofErr w:type="spellEnd"/>
            <w:r w:rsidRPr="00816613">
              <w:t xml:space="preserve"> with $1 million in financing on terms acceptable to the Company.</w:t>
            </w:r>
          </w:p>
        </w:tc>
      </w:tr>
      <w:tr w:rsidR="00816613" w:rsidRPr="00816613" w14:paraId="2156217D" w14:textId="77777777" w:rsidTr="00816613">
        <w:trPr>
          <w:tblCellSpacing w:w="0" w:type="dxa"/>
        </w:trPr>
        <w:tc>
          <w:tcPr>
            <w:tcW w:w="0" w:type="auto"/>
            <w:noWrap/>
            <w:vAlign w:val="center"/>
            <w:hideMark/>
          </w:tcPr>
          <w:p w14:paraId="36DC49A1" w14:textId="77777777" w:rsidR="00816613" w:rsidRPr="00816613" w:rsidRDefault="00816613" w:rsidP="00816613"/>
        </w:tc>
        <w:tc>
          <w:tcPr>
            <w:tcW w:w="5000" w:type="pct"/>
            <w:gridSpan w:val="2"/>
            <w:vAlign w:val="center"/>
            <w:hideMark/>
          </w:tcPr>
          <w:p w14:paraId="3C0184F3" w14:textId="77777777" w:rsidR="00816613" w:rsidRPr="00816613" w:rsidRDefault="00816613" w:rsidP="00816613">
            <w:r w:rsidRPr="00816613">
              <w:t> </w:t>
            </w:r>
          </w:p>
        </w:tc>
      </w:tr>
      <w:tr w:rsidR="00816613" w:rsidRPr="00816613" w14:paraId="194E2E22" w14:textId="77777777" w:rsidTr="00816613">
        <w:trPr>
          <w:tblCellSpacing w:w="0" w:type="dxa"/>
        </w:trPr>
        <w:tc>
          <w:tcPr>
            <w:tcW w:w="0" w:type="auto"/>
            <w:noWrap/>
            <w:hideMark/>
          </w:tcPr>
          <w:p w14:paraId="004F8FA2" w14:textId="77777777" w:rsidR="00816613" w:rsidRPr="00816613" w:rsidRDefault="00816613" w:rsidP="00816613"/>
        </w:tc>
        <w:tc>
          <w:tcPr>
            <w:tcW w:w="0" w:type="auto"/>
            <w:noWrap/>
            <w:hideMark/>
          </w:tcPr>
          <w:p w14:paraId="0745D774" w14:textId="77777777" w:rsidR="00816613" w:rsidRPr="00816613" w:rsidRDefault="00816613" w:rsidP="00816613">
            <w:r w:rsidRPr="00816613">
              <w:t>E.     </w:t>
            </w:r>
          </w:p>
        </w:tc>
        <w:tc>
          <w:tcPr>
            <w:tcW w:w="5000" w:type="pct"/>
            <w:vAlign w:val="center"/>
            <w:hideMark/>
          </w:tcPr>
          <w:p w14:paraId="1D6726F4" w14:textId="77777777" w:rsidR="00816613" w:rsidRPr="00816613" w:rsidRDefault="00816613" w:rsidP="00816613">
            <w:r w:rsidRPr="00816613">
              <w:t xml:space="preserve">At Closing, </w:t>
            </w:r>
            <w:proofErr w:type="spellStart"/>
            <w:r w:rsidRPr="00816613">
              <w:t>Cynergi</w:t>
            </w:r>
            <w:proofErr w:type="spellEnd"/>
            <w:r w:rsidRPr="00816613">
              <w:t xml:space="preserve"> will </w:t>
            </w:r>
            <w:proofErr w:type="gramStart"/>
            <w:r w:rsidRPr="00816613">
              <w:t>enter into</w:t>
            </w:r>
            <w:proofErr w:type="gramEnd"/>
            <w:r w:rsidRPr="00816613">
              <w:t xml:space="preserve"> a mutually agreed upon consulting agreement with Windfall Communications, LLC for certain investor and public relations services, the term of such agreement shall be 12 months at a rate of $5,000 per month.</w:t>
            </w:r>
          </w:p>
        </w:tc>
      </w:tr>
      <w:tr w:rsidR="00816613" w:rsidRPr="00816613" w14:paraId="38717545" w14:textId="77777777" w:rsidTr="00816613">
        <w:trPr>
          <w:tblCellSpacing w:w="0" w:type="dxa"/>
        </w:trPr>
        <w:tc>
          <w:tcPr>
            <w:tcW w:w="0" w:type="auto"/>
            <w:noWrap/>
            <w:vAlign w:val="center"/>
            <w:hideMark/>
          </w:tcPr>
          <w:p w14:paraId="674C8E3A" w14:textId="77777777" w:rsidR="00816613" w:rsidRPr="00816613" w:rsidRDefault="00816613" w:rsidP="00816613"/>
        </w:tc>
        <w:tc>
          <w:tcPr>
            <w:tcW w:w="5000" w:type="pct"/>
            <w:gridSpan w:val="2"/>
            <w:vAlign w:val="center"/>
            <w:hideMark/>
          </w:tcPr>
          <w:p w14:paraId="7EF92E48" w14:textId="77777777" w:rsidR="00816613" w:rsidRPr="00816613" w:rsidRDefault="00816613" w:rsidP="00816613">
            <w:r w:rsidRPr="00816613">
              <w:t> </w:t>
            </w:r>
          </w:p>
        </w:tc>
      </w:tr>
    </w:tbl>
    <w:p w14:paraId="73ACAE4E" w14:textId="77777777" w:rsidR="00816613" w:rsidRPr="00816613" w:rsidRDefault="00816613" w:rsidP="00816613">
      <w:r w:rsidRPr="00816613">
        <w:t>     6.      </w:t>
      </w:r>
      <w:r w:rsidRPr="00816613">
        <w:rPr>
          <w:u w:val="single"/>
        </w:rPr>
        <w:t>Confidentiality</w:t>
      </w:r>
      <w:r w:rsidRPr="00816613">
        <w:t xml:space="preserve">.    This LOI is being delivered with the understanding that the Company, together with their respective officers, directors, managers, members, representatives, agents, owners and employees, each agree to use their best efforts to keep the existence of this LOI and its contents confidential. Any information, including but not limited to data, business information (including customer lists and prospects), technical information, computer programs and documentation, programs, files, specifications, drawings, sketches, models, samples, tools or other data, oral, written or otherwise, (hereinafter called “Information”), furnished or disclosed by one party to the other for the purpose of the contemplated transaction herein, will remain the disclosing party’s property until the closing of the Acquisition, at which time all such Information will become the property of </w:t>
      </w:r>
      <w:proofErr w:type="spellStart"/>
      <w:r w:rsidRPr="00816613">
        <w:t>Cynergi</w:t>
      </w:r>
      <w:proofErr w:type="spellEnd"/>
      <w:r w:rsidRPr="00816613">
        <w:t>. All copies of such Information in written, graphic or other tangible form must be returned to the disclosing party immediately upon written request if the transaction contemplated herein is not consummated. Unless such Information was previously known to receiving party free of any obligation to keep it</w:t>
      </w:r>
    </w:p>
    <w:p w14:paraId="42A7E929" w14:textId="77777777" w:rsidR="00816613" w:rsidRPr="00816613" w:rsidRDefault="00816613" w:rsidP="00816613">
      <w:r w:rsidRPr="00816613">
        <w:t>2</w:t>
      </w:r>
    </w:p>
    <w:p w14:paraId="3EA8A947" w14:textId="77777777" w:rsidR="00816613" w:rsidRPr="00816613" w:rsidRDefault="00EE619A" w:rsidP="00816613">
      <w:r w:rsidRPr="00816613">
        <w:rPr>
          <w:noProof/>
        </w:rPr>
        <w:pict w14:anchorId="36975D49">
          <v:rect id="_x0000_i1027" alt="" style="width:468pt;height:2pt;mso-width-percent:0;mso-height-percent:0;mso-width-percent:0;mso-height-percent:0" o:hralign="center" o:hrstd="t" o:hrnoshade="t" o:hr="t" fillcolor="#a0a0a0" stroked="f"/>
        </w:pict>
      </w:r>
    </w:p>
    <w:p w14:paraId="6772EB66" w14:textId="77777777" w:rsidR="00816613" w:rsidRPr="00816613" w:rsidRDefault="00816613" w:rsidP="00816613">
      <w:bookmarkStart w:id="2" w:name="page_3"/>
      <w:bookmarkEnd w:id="2"/>
      <w:r w:rsidRPr="00816613">
        <w:t xml:space="preserve">confidential, or has been or is subsequently made public by the disclosing party or a third party, it must be kept confidential by the receiving party, will be used only in performing due diligence for the Acquisition, and may not be used for other purposes except upon such terms as may be agreed upon between </w:t>
      </w:r>
      <w:proofErr w:type="spellStart"/>
      <w:r w:rsidRPr="00816613">
        <w:t>Cynergi</w:t>
      </w:r>
      <w:proofErr w:type="spellEnd"/>
      <w:r w:rsidRPr="00816613">
        <w:t xml:space="preserve"> and the Company in writing.</w:t>
      </w:r>
    </w:p>
    <w:p w14:paraId="3EBD8365" w14:textId="77777777" w:rsidR="00816613" w:rsidRPr="00816613" w:rsidRDefault="00816613" w:rsidP="00816613">
      <w:r w:rsidRPr="00816613">
        <w:t>     7.      </w:t>
      </w:r>
      <w:r w:rsidRPr="00816613">
        <w:rPr>
          <w:u w:val="single"/>
        </w:rPr>
        <w:t>Expenses</w:t>
      </w:r>
      <w:r w:rsidRPr="00816613">
        <w:t xml:space="preserve">.    </w:t>
      </w:r>
      <w:proofErr w:type="spellStart"/>
      <w:r w:rsidRPr="00816613">
        <w:t>Cynergi</w:t>
      </w:r>
      <w:proofErr w:type="spellEnd"/>
      <w:r w:rsidRPr="00816613">
        <w:t xml:space="preserve"> and the Company shall each be responsible for their own fees and expenses incurred as part of the Acquisition and the transactions contemplated under this Agreement, including but not limited to, legal fees, accounting fees, investment banking fees and related expenses.</w:t>
      </w:r>
    </w:p>
    <w:p w14:paraId="07667D48" w14:textId="77777777" w:rsidR="00816613" w:rsidRPr="00816613" w:rsidRDefault="00816613" w:rsidP="00816613">
      <w:r w:rsidRPr="00816613">
        <w:lastRenderedPageBreak/>
        <w:t>     8.      </w:t>
      </w:r>
      <w:r w:rsidRPr="00816613">
        <w:rPr>
          <w:u w:val="single"/>
        </w:rPr>
        <w:t>Announcements</w:t>
      </w:r>
      <w:r w:rsidRPr="00816613">
        <w:t xml:space="preserve">.    No announcement shall be made regarding a pending or completed transaction or agreement between the parties without the prior written consent of both </w:t>
      </w:r>
      <w:proofErr w:type="spellStart"/>
      <w:r w:rsidRPr="00816613">
        <w:t>Cynergi</w:t>
      </w:r>
      <w:proofErr w:type="spellEnd"/>
      <w:r w:rsidRPr="00816613">
        <w:t xml:space="preserve"> and the Company.</w:t>
      </w:r>
    </w:p>
    <w:p w14:paraId="01E0E07E" w14:textId="77777777" w:rsidR="00816613" w:rsidRPr="00816613" w:rsidRDefault="00816613" w:rsidP="00816613">
      <w:r w:rsidRPr="00816613">
        <w:t>     9.      </w:t>
      </w:r>
      <w:r w:rsidRPr="00816613">
        <w:rPr>
          <w:u w:val="single"/>
        </w:rPr>
        <w:t>Exclusivity.</w:t>
      </w:r>
      <w:r w:rsidRPr="00816613">
        <w:t xml:space="preserve">    In consideration hereof and of the time and resources that </w:t>
      </w:r>
      <w:proofErr w:type="spellStart"/>
      <w:r w:rsidRPr="00816613">
        <w:t>Cynergi</w:t>
      </w:r>
      <w:proofErr w:type="spellEnd"/>
      <w:r w:rsidRPr="00816613">
        <w:t xml:space="preserve"> will devote to the Acquisition and the Definitive Agreement, and the various investigations and reviews undertaken by </w:t>
      </w:r>
      <w:proofErr w:type="spellStart"/>
      <w:r w:rsidRPr="00816613">
        <w:t>Cynergi</w:t>
      </w:r>
      <w:proofErr w:type="spellEnd"/>
      <w:r w:rsidRPr="00816613">
        <w:t>, the Company, its subsidiaries and each of their respective affiliates, directors, officers, employees, representatives and agents will not, directly or indirectly, solicit, initiate, enter into or continue any discussions or transactions with, or encourage, or provide any information to any person or entity with respect to any proposal pursuant to which the Company or any of the Subsidiaries would (</w:t>
      </w:r>
      <w:proofErr w:type="spellStart"/>
      <w:r w:rsidRPr="00816613">
        <w:t>i</w:t>
      </w:r>
      <w:proofErr w:type="spellEnd"/>
      <w:r w:rsidRPr="00816613">
        <w:t>) obtain any debt or equity capital, (ii) be acquired, whether through a purchase, Acquisition, tender offer, consolidation or other business combination, (iii) sell all or a substantial part of the assets of the Company or any of it’s the Subsidiaries or their businesses, or (iv) enter into any transaction or arrangement or otherwise approve any transaction which would result in any third party acquiring more than 5% of the outstanding equity of the Company or any of the Subsidiaries between the date of execution by them of this LOI and December 31, 2008 or as such terms may be mutually extended in writing by the Parties and that the Company and each of the Subsidiaries shall use its best efforts to preserve intact its business organization and the good will of its customers, suppliers and others having business relations with it.</w:t>
      </w:r>
    </w:p>
    <w:p w14:paraId="2B10F121" w14:textId="77777777" w:rsidR="00816613" w:rsidRPr="00816613" w:rsidRDefault="00816613" w:rsidP="00816613">
      <w:r w:rsidRPr="00816613">
        <w:t>     10.      </w:t>
      </w:r>
      <w:r w:rsidRPr="00816613">
        <w:rPr>
          <w:u w:val="single"/>
        </w:rPr>
        <w:t>Non-binding</w:t>
      </w:r>
      <w:r w:rsidRPr="00816613">
        <w:t xml:space="preserve">:    Except for paragraphs 6, 7, 8, and 9 of this LOI (which are legally binding upon execution of this LOI), this LOI is a statement of mutual intention; it is not intended to be legally </w:t>
      </w:r>
      <w:proofErr w:type="gramStart"/>
      <w:r w:rsidRPr="00816613">
        <w:t>binding, and</w:t>
      </w:r>
      <w:proofErr w:type="gramEnd"/>
      <w:r w:rsidRPr="00816613">
        <w:t xml:space="preserve"> does not constitute a binding contractual commitment with respect to the transaction. Without limiting the foregoing, the failure of </w:t>
      </w:r>
      <w:proofErr w:type="spellStart"/>
      <w:r w:rsidRPr="00816613">
        <w:t>Cynergi</w:t>
      </w:r>
      <w:proofErr w:type="spellEnd"/>
      <w:r w:rsidRPr="00816613">
        <w:t xml:space="preserve"> and the Company to reach agreement on the terms and conditions being included in the Definitive Agreement and other agreements referred to herein shall not be construed as a breach of this LOI by any party hereto provided that the provisions of the four immediately preceding paragraphs are not breached. A legally binding obligation with respect to the transaction contemplated hereby will arise only upon execution and delivery of the Definitive Agreement and other agreements referred to herein by the parties thereto, subject to the conditions expressed therein.</w:t>
      </w:r>
    </w:p>
    <w:p w14:paraId="43FF510A" w14:textId="77777777" w:rsidR="00816613" w:rsidRPr="00816613" w:rsidRDefault="00816613" w:rsidP="00816613">
      <w:r w:rsidRPr="00816613">
        <w:t>     11.      </w:t>
      </w:r>
      <w:r w:rsidRPr="00816613">
        <w:rPr>
          <w:u w:val="single"/>
        </w:rPr>
        <w:t>Governing Law Dispute Resolution and Jurisdiction.</w:t>
      </w:r>
      <w:r w:rsidRPr="00816613">
        <w:t xml:space="preserve">    This LOI shall be governed by and construed in accordance with the laws of the State of Nevada, without giving effect to the conflicts of laws principles thereof. All disputes, controversies or claims ("Disputes") arising out of or relating to this LOI shall in the first instance be the subject of a meeting </w:t>
      </w:r>
      <w:r w:rsidRPr="00816613">
        <w:lastRenderedPageBreak/>
        <w:t>between a representative of each Party who has decision making authority with respect to the</w:t>
      </w:r>
    </w:p>
    <w:p w14:paraId="34D4B324" w14:textId="77777777" w:rsidR="00816613" w:rsidRPr="00816613" w:rsidRDefault="00816613" w:rsidP="00816613">
      <w:r w:rsidRPr="00816613">
        <w:t>3</w:t>
      </w:r>
    </w:p>
    <w:p w14:paraId="5EE942FE" w14:textId="77777777" w:rsidR="00816613" w:rsidRPr="00816613" w:rsidRDefault="00EE619A" w:rsidP="00816613">
      <w:r w:rsidRPr="00816613">
        <w:rPr>
          <w:noProof/>
        </w:rPr>
        <w:pict w14:anchorId="67E28379">
          <v:rect id="_x0000_i1026" alt="" style="width:468pt;height:2pt;mso-width-percent:0;mso-height-percent:0;mso-width-percent:0;mso-height-percent:0" o:hralign="center" o:hrstd="t" o:hrnoshade="t" o:hr="t" fillcolor="#a0a0a0" stroked="f"/>
        </w:pict>
      </w:r>
    </w:p>
    <w:p w14:paraId="35BBFF16" w14:textId="77777777" w:rsidR="00816613" w:rsidRPr="00816613" w:rsidRDefault="00816613" w:rsidP="00816613">
      <w:bookmarkStart w:id="3" w:name="page_4"/>
      <w:bookmarkEnd w:id="3"/>
      <w:r w:rsidRPr="00816613">
        <w:t>matter in question. Should the meeting either not take place or not result in a resolution of the dispute within twenty (20) business days following notice of the dispute to the other Party, then the dispute shall be resolved in a binding arbitration proceeding to be held in Denver, Colorado in accordance with the rules of the American Arbitration Association. The Parties agree that a panel of one arbitrator shall be required. Any award of the arbitrator shall be deemed confidential information for a minimum period of five years. The arbitrator may award attorneys' fees and other arbitration related expense, as well as pre and post judgment interest on any award of damages, to the prevailing Party, in his / her or its sole discretion.</w:t>
      </w:r>
    </w:p>
    <w:p w14:paraId="0835CFA7" w14:textId="77777777" w:rsidR="00816613" w:rsidRPr="00816613" w:rsidRDefault="00816613" w:rsidP="00816613">
      <w:r w:rsidRPr="00816613">
        <w:t>     12.      </w:t>
      </w:r>
      <w:r w:rsidRPr="00816613">
        <w:rPr>
          <w:u w:val="single"/>
        </w:rPr>
        <w:t>Multiple Counterparts.</w:t>
      </w:r>
      <w:r w:rsidRPr="00816613">
        <w:t>    This LOI may be executed in multiple counterparts, each of which may be deemed an original. It shall not be necessary that each Party executes each counterpart, or that any one counterpart be executed by more than one Party so long as each Party executes at least one counterpart.</w:t>
      </w:r>
    </w:p>
    <w:p w14:paraId="136BF949" w14:textId="77777777" w:rsidR="00816613" w:rsidRPr="00816613" w:rsidRDefault="00816613" w:rsidP="00816613">
      <w:r w:rsidRPr="00816613">
        <w:t>     13.      </w:t>
      </w:r>
      <w:r w:rsidRPr="00816613">
        <w:rPr>
          <w:u w:val="single"/>
        </w:rPr>
        <w:t>Expiration.</w:t>
      </w:r>
      <w:r w:rsidRPr="00816613">
        <w:t>    This LOI shall expire if not accepted by the Company by 12:00 p.m. Mountain Time on December 1, 2008.</w:t>
      </w:r>
    </w:p>
    <w:p w14:paraId="3047212A" w14:textId="77777777" w:rsidR="00816613" w:rsidRPr="00816613" w:rsidRDefault="00816613" w:rsidP="00816613">
      <w:r w:rsidRPr="00816613">
        <w:t xml:space="preserve">     If the terms and conditions of this LOI are acceptable, kindly execute a copy hereof </w:t>
      </w:r>
      <w:proofErr w:type="gramStart"/>
      <w:r w:rsidRPr="00816613">
        <w:t>where</w:t>
      </w:r>
      <w:proofErr w:type="gramEnd"/>
      <w:r w:rsidRPr="00816613">
        <w:t xml:space="preserve"> indicated below and return it to us or before 12:00 p.m. Mountain Time on December 1, 2008. This LOI shall be </w:t>
      </w:r>
      <w:proofErr w:type="spellStart"/>
      <w:proofErr w:type="gramStart"/>
      <w:r w:rsidRPr="00816613">
        <w:t>non binding</w:t>
      </w:r>
      <w:proofErr w:type="spellEnd"/>
      <w:proofErr w:type="gramEnd"/>
      <w:r w:rsidRPr="00816613">
        <w:t xml:space="preserve"> except as specifically set forth herein and is subject to the negotiation and execution of the Definitive Agreement and collateral documents referred to above.</w:t>
      </w:r>
      <w:r w:rsidRPr="00816613">
        <w:br/>
        <w:t> </w:t>
      </w:r>
    </w:p>
    <w:tbl>
      <w:tblPr>
        <w:tblW w:w="0" w:type="auto"/>
        <w:jc w:val="center"/>
        <w:tblCellSpacing w:w="0" w:type="dxa"/>
        <w:tblCellMar>
          <w:left w:w="0" w:type="dxa"/>
          <w:right w:w="0" w:type="dxa"/>
        </w:tblCellMar>
        <w:tblLook w:val="04A0" w:firstRow="1" w:lastRow="0" w:firstColumn="1" w:lastColumn="0" w:noHBand="0" w:noVBand="1"/>
      </w:tblPr>
      <w:tblGrid>
        <w:gridCol w:w="2295"/>
        <w:gridCol w:w="2295"/>
      </w:tblGrid>
      <w:tr w:rsidR="00816613" w:rsidRPr="00816613" w14:paraId="48C316AF" w14:textId="77777777" w:rsidTr="00816613">
        <w:trPr>
          <w:tblCellSpacing w:w="0" w:type="dxa"/>
          <w:jc w:val="center"/>
        </w:trPr>
        <w:tc>
          <w:tcPr>
            <w:tcW w:w="2500" w:type="pct"/>
            <w:noWrap/>
            <w:vAlign w:val="bottom"/>
            <w:hideMark/>
          </w:tcPr>
          <w:p w14:paraId="33D01237" w14:textId="77777777" w:rsidR="00816613" w:rsidRPr="00816613" w:rsidRDefault="00816613" w:rsidP="00816613"/>
        </w:tc>
        <w:tc>
          <w:tcPr>
            <w:tcW w:w="2500" w:type="pct"/>
            <w:noWrap/>
            <w:vAlign w:val="bottom"/>
            <w:hideMark/>
          </w:tcPr>
          <w:p w14:paraId="5057862C" w14:textId="77777777" w:rsidR="00816613" w:rsidRPr="00816613" w:rsidRDefault="00816613" w:rsidP="00816613">
            <w:r w:rsidRPr="00816613">
              <w:t>Very truly yours, </w:t>
            </w:r>
          </w:p>
        </w:tc>
      </w:tr>
      <w:tr w:rsidR="00816613" w:rsidRPr="00816613" w14:paraId="3F647A0F" w14:textId="77777777" w:rsidTr="00816613">
        <w:trPr>
          <w:tblCellSpacing w:w="0" w:type="dxa"/>
          <w:jc w:val="center"/>
        </w:trPr>
        <w:tc>
          <w:tcPr>
            <w:tcW w:w="2500" w:type="pct"/>
            <w:noWrap/>
            <w:vAlign w:val="center"/>
            <w:hideMark/>
          </w:tcPr>
          <w:p w14:paraId="7F4A0319" w14:textId="77777777" w:rsidR="00816613" w:rsidRPr="00816613" w:rsidRDefault="00816613" w:rsidP="00816613"/>
        </w:tc>
        <w:tc>
          <w:tcPr>
            <w:tcW w:w="2500" w:type="pct"/>
            <w:noWrap/>
            <w:vAlign w:val="center"/>
            <w:hideMark/>
          </w:tcPr>
          <w:p w14:paraId="5565D9E1" w14:textId="77777777" w:rsidR="00816613" w:rsidRPr="00816613" w:rsidRDefault="00816613" w:rsidP="00816613">
            <w:r w:rsidRPr="00816613">
              <w:t> </w:t>
            </w:r>
          </w:p>
        </w:tc>
      </w:tr>
      <w:tr w:rsidR="00816613" w:rsidRPr="00816613" w14:paraId="58C45135" w14:textId="77777777" w:rsidTr="00816613">
        <w:trPr>
          <w:tblCellSpacing w:w="0" w:type="dxa"/>
          <w:jc w:val="center"/>
        </w:trPr>
        <w:tc>
          <w:tcPr>
            <w:tcW w:w="2500" w:type="pct"/>
            <w:noWrap/>
            <w:vAlign w:val="center"/>
            <w:hideMark/>
          </w:tcPr>
          <w:p w14:paraId="0CAB6BD1" w14:textId="77777777" w:rsidR="00816613" w:rsidRPr="00816613" w:rsidRDefault="00816613" w:rsidP="00816613"/>
        </w:tc>
        <w:tc>
          <w:tcPr>
            <w:tcW w:w="2500" w:type="pct"/>
            <w:noWrap/>
            <w:vAlign w:val="center"/>
            <w:hideMark/>
          </w:tcPr>
          <w:p w14:paraId="2753E6A7" w14:textId="77777777" w:rsidR="00816613" w:rsidRPr="00816613" w:rsidRDefault="00816613" w:rsidP="00816613">
            <w:r w:rsidRPr="00816613">
              <w:t> </w:t>
            </w:r>
          </w:p>
        </w:tc>
      </w:tr>
      <w:tr w:rsidR="00816613" w:rsidRPr="00816613" w14:paraId="2BF074DC" w14:textId="77777777" w:rsidTr="00816613">
        <w:trPr>
          <w:tblCellSpacing w:w="0" w:type="dxa"/>
          <w:jc w:val="center"/>
        </w:trPr>
        <w:tc>
          <w:tcPr>
            <w:tcW w:w="2500" w:type="pct"/>
            <w:noWrap/>
            <w:vAlign w:val="bottom"/>
            <w:hideMark/>
          </w:tcPr>
          <w:p w14:paraId="7E6C5576" w14:textId="77777777" w:rsidR="00816613" w:rsidRPr="00816613" w:rsidRDefault="00816613" w:rsidP="00816613"/>
        </w:tc>
        <w:tc>
          <w:tcPr>
            <w:tcW w:w="2500" w:type="pct"/>
            <w:noWrap/>
            <w:vAlign w:val="bottom"/>
            <w:hideMark/>
          </w:tcPr>
          <w:p w14:paraId="1D178FB3" w14:textId="77777777" w:rsidR="00816613" w:rsidRPr="00816613" w:rsidRDefault="00816613" w:rsidP="00816613">
            <w:proofErr w:type="spellStart"/>
            <w:r w:rsidRPr="00816613">
              <w:t>Cynergi</w:t>
            </w:r>
            <w:proofErr w:type="spellEnd"/>
            <w:r w:rsidRPr="00816613">
              <w:t xml:space="preserve"> Holdings, Inc. </w:t>
            </w:r>
          </w:p>
        </w:tc>
      </w:tr>
      <w:tr w:rsidR="00816613" w:rsidRPr="00816613" w14:paraId="75A3F68C" w14:textId="77777777" w:rsidTr="00816613">
        <w:trPr>
          <w:tblCellSpacing w:w="0" w:type="dxa"/>
          <w:jc w:val="center"/>
        </w:trPr>
        <w:tc>
          <w:tcPr>
            <w:tcW w:w="2500" w:type="pct"/>
            <w:noWrap/>
            <w:vAlign w:val="center"/>
            <w:hideMark/>
          </w:tcPr>
          <w:p w14:paraId="42BFE38E" w14:textId="77777777" w:rsidR="00816613" w:rsidRPr="00816613" w:rsidRDefault="00816613" w:rsidP="00816613"/>
        </w:tc>
        <w:tc>
          <w:tcPr>
            <w:tcW w:w="2500" w:type="pct"/>
            <w:noWrap/>
            <w:vAlign w:val="center"/>
            <w:hideMark/>
          </w:tcPr>
          <w:p w14:paraId="56898AF0" w14:textId="77777777" w:rsidR="00816613" w:rsidRPr="00816613" w:rsidRDefault="00816613" w:rsidP="00816613">
            <w:r w:rsidRPr="00816613">
              <w:t> </w:t>
            </w:r>
          </w:p>
        </w:tc>
      </w:tr>
      <w:tr w:rsidR="00816613" w:rsidRPr="00816613" w14:paraId="76090C22" w14:textId="77777777" w:rsidTr="00816613">
        <w:trPr>
          <w:tblCellSpacing w:w="0" w:type="dxa"/>
          <w:jc w:val="center"/>
        </w:trPr>
        <w:tc>
          <w:tcPr>
            <w:tcW w:w="2500" w:type="pct"/>
            <w:noWrap/>
            <w:vAlign w:val="center"/>
            <w:hideMark/>
          </w:tcPr>
          <w:p w14:paraId="2E363F23" w14:textId="77777777" w:rsidR="00816613" w:rsidRPr="00816613" w:rsidRDefault="00816613" w:rsidP="00816613"/>
        </w:tc>
        <w:tc>
          <w:tcPr>
            <w:tcW w:w="2500" w:type="pct"/>
            <w:noWrap/>
            <w:vAlign w:val="center"/>
            <w:hideMark/>
          </w:tcPr>
          <w:p w14:paraId="7220F94E" w14:textId="77777777" w:rsidR="00816613" w:rsidRPr="00816613" w:rsidRDefault="00816613" w:rsidP="00816613">
            <w:r w:rsidRPr="00816613">
              <w:t> </w:t>
            </w:r>
          </w:p>
        </w:tc>
      </w:tr>
      <w:tr w:rsidR="00816613" w:rsidRPr="00816613" w14:paraId="5461726D" w14:textId="77777777" w:rsidTr="00816613">
        <w:trPr>
          <w:tblCellSpacing w:w="0" w:type="dxa"/>
          <w:jc w:val="center"/>
        </w:trPr>
        <w:tc>
          <w:tcPr>
            <w:tcW w:w="2500" w:type="pct"/>
            <w:noWrap/>
            <w:vAlign w:val="center"/>
            <w:hideMark/>
          </w:tcPr>
          <w:p w14:paraId="54237CA5" w14:textId="77777777" w:rsidR="00816613" w:rsidRPr="00816613" w:rsidRDefault="00816613" w:rsidP="00816613"/>
        </w:tc>
        <w:tc>
          <w:tcPr>
            <w:tcW w:w="2500" w:type="pct"/>
            <w:noWrap/>
            <w:vAlign w:val="center"/>
            <w:hideMark/>
          </w:tcPr>
          <w:p w14:paraId="7071AF5D" w14:textId="77777777" w:rsidR="00816613" w:rsidRPr="00816613" w:rsidRDefault="00816613" w:rsidP="00816613">
            <w:r w:rsidRPr="00816613">
              <w:t> </w:t>
            </w:r>
          </w:p>
        </w:tc>
      </w:tr>
      <w:tr w:rsidR="00816613" w:rsidRPr="00816613" w14:paraId="241035BB" w14:textId="77777777" w:rsidTr="00816613">
        <w:trPr>
          <w:tblCellSpacing w:w="0" w:type="dxa"/>
          <w:jc w:val="center"/>
        </w:trPr>
        <w:tc>
          <w:tcPr>
            <w:tcW w:w="2500" w:type="pct"/>
            <w:noWrap/>
            <w:vAlign w:val="bottom"/>
            <w:hideMark/>
          </w:tcPr>
          <w:p w14:paraId="396FB22A" w14:textId="77777777" w:rsidR="00816613" w:rsidRPr="00816613" w:rsidRDefault="00816613" w:rsidP="00816613"/>
        </w:tc>
        <w:tc>
          <w:tcPr>
            <w:tcW w:w="2500" w:type="pct"/>
            <w:noWrap/>
            <w:vAlign w:val="bottom"/>
            <w:hideMark/>
          </w:tcPr>
          <w:p w14:paraId="0D12C4AF" w14:textId="77777777" w:rsidR="00816613" w:rsidRPr="00816613" w:rsidRDefault="00816613" w:rsidP="00816613">
            <w:r w:rsidRPr="00816613">
              <w:rPr>
                <w:u w:val="single"/>
              </w:rPr>
              <w:t>IAN SPOWART</w:t>
            </w:r>
            <w:r w:rsidRPr="00816613">
              <w:t> </w:t>
            </w:r>
          </w:p>
        </w:tc>
      </w:tr>
    </w:tbl>
    <w:p w14:paraId="1CEA1DB4" w14:textId="77777777" w:rsidR="00816613" w:rsidRPr="00816613" w:rsidRDefault="00816613" w:rsidP="00816613"/>
    <w:p w14:paraId="5C8242E7" w14:textId="77777777" w:rsidR="00816613" w:rsidRPr="00816613" w:rsidRDefault="00816613" w:rsidP="00816613">
      <w:r w:rsidRPr="00816613">
        <w:t>ACCEPTED AND AGREED to</w:t>
      </w:r>
      <w:r w:rsidRPr="00816613">
        <w:br/>
      </w:r>
      <w:r w:rsidRPr="00816613">
        <w:br/>
        <w:t>this 1</w:t>
      </w:r>
      <w:r w:rsidRPr="00816613">
        <w:rPr>
          <w:vertAlign w:val="superscript"/>
        </w:rPr>
        <w:t>st </w:t>
      </w:r>
      <w:r w:rsidRPr="00816613">
        <w:t>day of December, 2008</w:t>
      </w:r>
      <w:r w:rsidRPr="00816613">
        <w:br/>
        <w:t> </w:t>
      </w:r>
    </w:p>
    <w:p w14:paraId="0C4D80D2" w14:textId="77777777" w:rsidR="00816613" w:rsidRPr="00816613" w:rsidRDefault="00816613" w:rsidP="00816613">
      <w:r w:rsidRPr="00816613">
        <w:t>Sports Supplement Acquisition Group, Inc.</w:t>
      </w:r>
      <w:r w:rsidRPr="00816613">
        <w:br/>
        <w:t> </w:t>
      </w:r>
    </w:p>
    <w:p w14:paraId="1453B728" w14:textId="77777777" w:rsidR="00816613" w:rsidRPr="00816613" w:rsidRDefault="00816613" w:rsidP="00816613">
      <w:r w:rsidRPr="00816613">
        <w:rPr>
          <w:u w:val="single"/>
        </w:rPr>
        <w:t>JAMES KLEIN</w:t>
      </w:r>
    </w:p>
    <w:p w14:paraId="6AA63C37" w14:textId="77777777" w:rsidR="00816613" w:rsidRPr="00816613" w:rsidRDefault="00816613" w:rsidP="00816613">
      <w:r w:rsidRPr="00816613">
        <w:t> </w:t>
      </w:r>
    </w:p>
    <w:p w14:paraId="0660FD26" w14:textId="77777777" w:rsidR="00816613" w:rsidRPr="00816613" w:rsidRDefault="00816613" w:rsidP="00816613">
      <w:r w:rsidRPr="00816613">
        <w:t> </w:t>
      </w:r>
    </w:p>
    <w:p w14:paraId="51DC553F" w14:textId="77777777" w:rsidR="00816613" w:rsidRPr="00816613" w:rsidRDefault="00816613" w:rsidP="00816613">
      <w:r w:rsidRPr="00816613">
        <w:t>4</w:t>
      </w:r>
    </w:p>
    <w:p w14:paraId="0CBF45CE" w14:textId="77777777" w:rsidR="00816613" w:rsidRPr="00816613" w:rsidRDefault="00EE619A" w:rsidP="00816613">
      <w:r w:rsidRPr="00816613">
        <w:rPr>
          <w:noProof/>
        </w:rPr>
        <w:pict w14:anchorId="77DA9D82">
          <v:rect id="_x0000_i1025" alt="" style="width:468pt;height:2pt;mso-width-percent:0;mso-height-percent:0;mso-width-percent:0;mso-height-percent:0" o:hralign="center" o:hrstd="t" o:hrnoshade="t" o:hr="t" fillcolor="#a0a0a0" stroked="f"/>
        </w:pict>
      </w:r>
    </w:p>
    <w:p w14:paraId="156796A2" w14:textId="77777777" w:rsidR="00816613" w:rsidRDefault="00816613"/>
    <w:sectPr w:rsidR="008166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613"/>
    <w:rsid w:val="00816613"/>
    <w:rsid w:val="009F6239"/>
    <w:rsid w:val="00EE61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7F267"/>
  <w15:chartTrackingRefBased/>
  <w15:docId w15:val="{6A8992C5-3354-C24B-9F71-5202D231B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66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66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66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66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66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66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66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66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66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66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66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66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66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66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66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66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66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6613"/>
    <w:rPr>
      <w:rFonts w:eastAsiaTheme="majorEastAsia" w:cstheme="majorBidi"/>
      <w:color w:val="272727" w:themeColor="text1" w:themeTint="D8"/>
    </w:rPr>
  </w:style>
  <w:style w:type="paragraph" w:styleId="Title">
    <w:name w:val="Title"/>
    <w:basedOn w:val="Normal"/>
    <w:next w:val="Normal"/>
    <w:link w:val="TitleChar"/>
    <w:uiPriority w:val="10"/>
    <w:qFormat/>
    <w:rsid w:val="008166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66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66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66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6613"/>
    <w:pPr>
      <w:spacing w:before="160"/>
      <w:jc w:val="center"/>
    </w:pPr>
    <w:rPr>
      <w:i/>
      <w:iCs/>
      <w:color w:val="404040" w:themeColor="text1" w:themeTint="BF"/>
    </w:rPr>
  </w:style>
  <w:style w:type="character" w:customStyle="1" w:styleId="QuoteChar">
    <w:name w:val="Quote Char"/>
    <w:basedOn w:val="DefaultParagraphFont"/>
    <w:link w:val="Quote"/>
    <w:uiPriority w:val="29"/>
    <w:rsid w:val="00816613"/>
    <w:rPr>
      <w:i/>
      <w:iCs/>
      <w:color w:val="404040" w:themeColor="text1" w:themeTint="BF"/>
    </w:rPr>
  </w:style>
  <w:style w:type="paragraph" w:styleId="ListParagraph">
    <w:name w:val="List Paragraph"/>
    <w:basedOn w:val="Normal"/>
    <w:uiPriority w:val="34"/>
    <w:qFormat/>
    <w:rsid w:val="00816613"/>
    <w:pPr>
      <w:ind w:left="720"/>
      <w:contextualSpacing/>
    </w:pPr>
  </w:style>
  <w:style w:type="character" w:styleId="IntenseEmphasis">
    <w:name w:val="Intense Emphasis"/>
    <w:basedOn w:val="DefaultParagraphFont"/>
    <w:uiPriority w:val="21"/>
    <w:qFormat/>
    <w:rsid w:val="00816613"/>
    <w:rPr>
      <w:i/>
      <w:iCs/>
      <w:color w:val="0F4761" w:themeColor="accent1" w:themeShade="BF"/>
    </w:rPr>
  </w:style>
  <w:style w:type="paragraph" w:styleId="IntenseQuote">
    <w:name w:val="Intense Quote"/>
    <w:basedOn w:val="Normal"/>
    <w:next w:val="Normal"/>
    <w:link w:val="IntenseQuoteChar"/>
    <w:uiPriority w:val="30"/>
    <w:qFormat/>
    <w:rsid w:val="008166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6613"/>
    <w:rPr>
      <w:i/>
      <w:iCs/>
      <w:color w:val="0F4761" w:themeColor="accent1" w:themeShade="BF"/>
    </w:rPr>
  </w:style>
  <w:style w:type="character" w:styleId="IntenseReference">
    <w:name w:val="Intense Reference"/>
    <w:basedOn w:val="DefaultParagraphFont"/>
    <w:uiPriority w:val="32"/>
    <w:qFormat/>
    <w:rsid w:val="0081661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6458819">
      <w:bodyDiv w:val="1"/>
      <w:marLeft w:val="0"/>
      <w:marRight w:val="0"/>
      <w:marTop w:val="0"/>
      <w:marBottom w:val="0"/>
      <w:divBdr>
        <w:top w:val="none" w:sz="0" w:space="0" w:color="auto"/>
        <w:left w:val="none" w:sz="0" w:space="0" w:color="auto"/>
        <w:bottom w:val="none" w:sz="0" w:space="0" w:color="auto"/>
        <w:right w:val="none" w:sz="0" w:space="0" w:color="auto"/>
      </w:divBdr>
    </w:div>
    <w:div w:id="988242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1736</Words>
  <Characters>9897</Characters>
  <Application>Microsoft Office Word</Application>
  <DocSecurity>0</DocSecurity>
  <Lines>82</Lines>
  <Paragraphs>23</Paragraphs>
  <ScaleCrop>false</ScaleCrop>
  <Company/>
  <LinksUpToDate>false</LinksUpToDate>
  <CharactersWithSpaces>11610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brown</dc:creator>
  <cp:keywords/>
  <dc:description/>
  <cp:lastModifiedBy>spencer brown</cp:lastModifiedBy>
  <cp:revision>1</cp:revision>
  <dcterms:created xsi:type="dcterms:W3CDTF">2024-09-08T02:53:00Z</dcterms:created>
  <dcterms:modified xsi:type="dcterms:W3CDTF">2024-09-08T02:54:00Z</dcterms:modified>
</cp:coreProperties>
</file>