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6B1A2A"/>
          <w:sz w:val="52"/>
          <w:szCs w:val="52"/>
        </w:rPr>
        <w:t xml:space="preserve">SIF Liquidity Guide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Open-Ended vs. Interval Structures — All Live Funds | NAV as of March 06, 2026</w:t>
      </w:r>
    </w:p>
    <w:p>
      <w:pPr>
        <w:pBdr>
          <w:bottom w:val="single" w:color="6B1A2A" w:sz="6" w:space="1"/>
        </w:pBdr>
        <w:spacing w:before="0" w:after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Prepared by SIFPrime.com | India’s First SIF Comparison &amp; Distribution Platform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6B1A2A"/>
          <w:sz w:val="32"/>
          <w:szCs w:val="32"/>
        </w:rPr>
        <w:t xml:space="preserve">Understanding SIF Structures: Open-Ended vs. Interval</w:t>
      </w:r>
    </w:p>
    <w:p>
      <w:pPr>
        <w:spacing w:before="100"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SEBI’s SIF framework (effective April 1, 2025) permits AMCs to launch investment strategies under two live structures today — Open-Ended and Interval. A third structure (Closed-Ended) is permitted under the regulations but has not yet been launched by any AMC as of March 2026.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1A2E"/>
          <w:sz w:val="26"/>
          <w:szCs w:val="26"/>
        </w:rPr>
        <w:t xml:space="preserve">Open-Ended SIF Strategies</w:t>
      </w:r>
    </w:p>
    <w:p>
      <w:pPr>
        <w:spacing w:before="100"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Open-ended strategies function like traditional mutual funds — you can invest or redeem on any business day at the applicable NAV. There is no lock-in and no restricted redemption window. These are typically used for equity-oriented strategies (Equity Long-Short, Equity Ex-Top 100 Long-Short) where the underlying portfolio consists of liquid listed equities and derivatives.</w:t>
      </w:r>
    </w:p>
    <w:p>
      <w:pPr>
        <w:spacing w:before="100"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characteristics: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Daily subscription and redemption on all business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T+3 payout (proceeds credited within 3 working days)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exchange listing required (direct AMC redemption)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Suitable for investors who may need periodic liquidity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Benchmarked to broad equity indices (Nifty 500 TRI, Nifty Midcap 150 TRI)</w:t>
      </w:r>
    </w:p>
    <w:p>
      <w:pPr>
        <w:spacing w:before="8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8B1A2E"/>
          <w:sz w:val="26"/>
          <w:szCs w:val="26"/>
        </w:rPr>
        <w:t xml:space="preserve">Interval SIF Strategies</w:t>
      </w:r>
    </w:p>
    <w:p>
      <w:pPr>
        <w:spacing w:before="100"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Interval strategies are the dominant structure for Hybrid Long-Short SIFs. Subscriptions are allowed daily, but redemptions are restricted to specific days each week — typically 2 days per week (e.g., Monday &amp; Wednesday, or Monday &amp; Thursday). This structure gives fund managers the ability to manage derivative positions, arbitrage books, and fixed income allocation without the pressure of daily redemption outflows.</w:t>
      </w:r>
    </w:p>
    <w:p>
      <w:pPr>
        <w:spacing w:before="100"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characteristics: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Daily subscriptions on all business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Redemptions restricted to 1–2 specific days per week (varies by fund)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AMC may apply a notice period of up to 15 working days for redemptions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Units must be listed on NSE/BSE to provide an alternative exit route (exchange trades)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Redemption payout within 3 working days from the applicable NAV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Benchmarked to Nifty 50 Hybrid Composite Debt 50:50 Index</w:t>
      </w:r>
    </w:p>
    <w:p>
      <w:pPr>
        <w:spacing w:before="80" w:after="80"/>
      </w:pPr>
    </w:p>
    <w:p>
      <w:pPr>
        <w:spacing w:before="100"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Important nuance: Subscription and redemption frequency can be different. A fund may allow daily inflows but only process outflows twice a week. This asymmetry is by design — it protects the portfolio from forced selling while still keeping the product accessible for new investors.</w:t>
      </w:r>
    </w:p>
    <w:p>
      <w:pPr>
        <w:pBdr>
          <w:bottom w:val="single" w:color="6B1A2A" w:sz="4" w:space="1"/>
        </w:pBd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1A2A"/>
          <w:sz w:val="32"/>
          <w:szCs w:val="32"/>
        </w:rPr>
        <w:t xml:space="preserve">Apex SIF Redemption Mechanics (ABSLMF — Interval Fund)</w:t>
      </w:r>
    </w:p>
    <w:p>
      <w:pPr>
        <w:spacing w:before="100"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Apex Hybrid Long-Short Fund (currently in NFO: March 6–18, 2026) is structured as an interval strategy. Redemptions are processed twice a week, every Monday and Wednesday. Here is how the cut-off works: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Redemption Request Window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 Applied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Payout (T+3 working days)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Before Monday 3:00 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Monday NAV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By Thursday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Monday 3:00 PM – Wednesday 3:00 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Wednesday NAV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By Monday (next week)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After Wednesday 3:00 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Next Monday NAV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By Thursday (next week)</w:t>
            </w:r>
          </w:p>
        </w:tc>
      </w:tr>
    </w:tbl>
    <w:p>
      <w:pPr>
        <w:spacing w:before="120" w:after="80"/>
      </w:pPr>
    </w:p>
    <w:p>
      <w:pPr>
        <w:spacing w:before="100"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Penal interest: SEBI mandates 15% p.a. penal interest if redemption proceeds are not paid within 3 working days of the valid redemption request date.</w:t>
      </w:r>
    </w:p>
    <w:p>
      <w:pPr>
        <w:spacing w:before="100"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Exchange exit: Since Apex Hybrid Long-Short Fund is an interval strategy, its units will be listed on NSE and BSE post-NFO. Investors needing liquidity outside the Monday/Wednesday window can sell on the exchange at the prevailing market price (which may differ from NAV).</w:t>
      </w:r>
    </w:p>
    <w:p>
      <w:pPr>
        <w:pBdr>
          <w:bottom w:val="single" w:color="6B1A2A" w:sz="4" w:space="1"/>
        </w:pBd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1A2A"/>
          <w:sz w:val="32"/>
          <w:szCs w:val="32"/>
        </w:rPr>
        <w:t xml:space="preserve">Interval SIF Strategies — Complete Fund Table</w:t>
      </w:r>
    </w:p>
    <w:p>
      <w:pPr>
        <w:spacing w:before="6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Hybrid Long-Short interval strategies currently live or in NFO as of March 2026. NAV: Direct Plan – Growth.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000"/>
        <w:gridCol w:w="900"/>
        <w:gridCol w:w="900"/>
        <w:gridCol w:w="900"/>
        <w:gridCol w:w="1060"/>
        <w:gridCol w:w="13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SIF Brand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 (Direct)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Subscribe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Redemption Days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Notice Period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Load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Apex SIF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ABSLMF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NFO Open*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Mon &amp; Wed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 to 15 days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 NFO (Mar 6–18, 2026)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Altiva SIF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Edelweiss MF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₹10.3417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Mon &amp; Wed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Nil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0.5% (≤3 months)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Launched; NAV 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Arudha SIF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Bandhan AMC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₹10.086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Launched; redemption days TBC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Magnum SIF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SBI MF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₹10.1458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Mon &amp; Thu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Nil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0.5% (≤15d), 0.25% (15d–1m)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Launched; NAV 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QSIF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Quant MF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₹9.8426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Tue &amp; Wed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1% (≤15 days)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Launched; NAV 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Titanium SIF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Mirae Asset MF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₹9.9065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1% (≤365 days)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Launched; redemption days TBC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* Apex SIF NAV not yet available — in NFO period (March 6–18, 2026). | “—” = not yet publicly disclosed.</w:t>
      </w:r>
    </w:p>
    <w:p>
      <w:pPr>
        <w:pBdr>
          <w:bottom w:val="single" w:color="6B1A2A" w:sz="4" w:space="1"/>
        </w:pBd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1A2A"/>
          <w:sz w:val="32"/>
          <w:szCs w:val="32"/>
        </w:rPr>
        <w:t xml:space="preserve">Open-Ended SIF Strategies — Complete Fund Table</w:t>
      </w:r>
    </w:p>
    <w:p>
      <w:pPr>
        <w:spacing w:before="60"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equity-oriented and hybrid open-ended strategies live as of March 2026. NAV: Direct Plan – Growth.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1000"/>
        <w:gridCol w:w="1000"/>
        <w:gridCol w:w="9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SIF Brand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 (Direct)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Subscribe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Load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QSIF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Quant MF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Equity Long-Short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₹9.4911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 / Daily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Nifty 500 TRI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QSIF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Quant MF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Equity Ex-Top 100 L-S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₹9.0203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 / Daily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Nifty Midcap 150 TRI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Diviniti SIF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ITI Mutual Fund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Equity Long-Short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₹964.4974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 / Daily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Nifty 500 TRI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DynaSIF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360 ONE AMC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Equity Long-Short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₹9.9940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 / Daily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Nifty 500 TRI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iSIF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ICICI Prudential MF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Equity Ex-Top 100 L-S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₹9.60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 / Daily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Nifty Midcap 150 TRI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iSIF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ICICI Prudential MF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Hybrid Long-Short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₹9.7451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 / Daily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Nifty 50 Hybrid Comp. Debt 50:50</w:t>
            </w:r>
          </w:p>
        </w:tc>
      </w:tr>
    </w:tbl>
    <w:p>
      <w:pPr>
        <w:spacing w:before="100" w:after="60"/>
      </w:pPr>
    </w:p>
    <w:p>
      <w:pPr>
        <w:pBdr>
          <w:bottom w:val="single" w:color="6B1A2A" w:sz="4" w:space="1"/>
        </w:pBd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B1A2A"/>
          <w:sz w:val="32"/>
          <w:szCs w:val="32"/>
        </w:rPr>
        <w:t xml:space="preserve">Open-Ended vs. Interval: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Open-Ended SIF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A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Interval SIF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Strategy Types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Equity L-S, Equity Ex-Top 100 L-S, Hybrid L-S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Hybrid Long-Short (dominant)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 (all business days)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 (all business days)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Redemption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 (any business day)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Specific days only (typically Mon/Wed or Mon/Thu, Tue/Wed)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Exchange Listing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Mandatory (NSE + BSE)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Notice Period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 to 15 working days (varies)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Exit Route (off-window)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 redemption any day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Exchange sale at market price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Liquidity Profile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 — like a regular mutual fund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Semi-liquid — restricted redemption windows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Why This Structure?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Underlying is liquid equity + derivatives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Holds arbitrage, derivatives, fixed income — needs time to unwind positions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Taxation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Equity MF (STCG 20%, LTCG 12.5% &gt; ₹1.25L)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Equity MF taxation if equity-oriented; else slab</w:t>
            </w:r>
          </w:p>
        </w:tc>
      </w:tr>
    </w:tbl>
    <w:p>
      <w:pPr>
        <w:spacing w:before="200" w:after="60"/>
      </w:pPr>
    </w:p>
    <w:p>
      <w:pPr>
        <w:pBdr>
          <w:top w:val="single" w:color="D9D9D9" w:sz="4" w:space="1"/>
        </w:pBdr>
        <w:spacing w:before="100" w:after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AMFI NAV data (March 06, 2026) | SEBI SIF Circular Feb 27, 2025 | Fund KIMs &amp; ISIDs | Compiled by SIFPrime.com</w:t>
      </w:r>
    </w:p>
    <w:p>
      <w:pPr>
        <w:spacing w:before="20" w:after="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Disclaimer: This document is for informational and educational purposes only and does not constitute investment advice. Please read all fund documents carefully before investing.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6B1A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8B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2026-03-08T16:40:23.594Z</dcterms:created>
  <dcterms:modified xsi:type="dcterms:W3CDTF">2026-03-08T16:40:23.595Z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