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40" w:lineRule="auto"/>
      </w:pPr>
      <w:r>
        <w:rPr>
          <w:rFonts w:ascii="Arial" w:hAnsi="Arial" w:eastAsia="Arial" w:cs="Arial"/>
          <w:b w:val="0"/>
          <w:color w:val="000000"/>
          <w:sz w:val="52"/>
        </w:rPr>
        <w:t>Bergen Memory Bank - Course Memory</w:t>
      </w:r>
    </w:p>
    <w:p>
      <w:r>
        <w:rPr>
          <w:rFonts w:ascii="Arial" w:hAnsi="Arial" w:eastAsia="Arial" w:cs="Arial"/>
          <w:b w:val="0"/>
          <w:color w:val="000000"/>
          <w:sz w:val="22"/>
        </w:rPr>
        <w:t>Create one Course Memory for each course. Use it for course-specific durable context that should remain useful across modules and chats.</w:t>
      </w:r>
    </w:p>
    <w:p>
      <w:pPr>
        <w:pStyle w:val="Heading1"/>
      </w:pPr>
      <w:r>
        <w:t>Safe-data boundary</w:t>
      </w:r>
    </w:p>
    <w:p>
      <w:r>
        <w:rPr>
          <w:rFonts w:ascii="Arial" w:hAnsi="Arial" w:eastAsia="Arial" w:cs="Arial"/>
          <w:b w:val="0"/>
          <w:color w:val="000000"/>
          <w:sz w:val="22"/>
        </w:rPr>
        <w:t>Use approved course materials and de-identified teaching context only. Do not enter student records, raw submissions, names, emails, IDs, identifying filenames, individual grades, student-specific feedback, accommodations, disability or health information, or identifiable quotations. Keep protected data in Canvas.</w:t>
      </w:r>
    </w:p>
    <w:p>
      <w:pPr>
        <w:pStyle w:val="Heading1"/>
      </w:pPr>
      <w:r>
        <w:t>Ownership and course selection</w:t>
      </w:r>
    </w:p>
    <w:p>
      <w:r>
        <w:rPr>
          <w:rFonts w:ascii="Arial" w:hAnsi="Arial" w:eastAsia="Arial" w:cs="Arial"/>
          <w:b/>
          <w:color w:val="000000"/>
          <w:sz w:val="22"/>
        </w:rPr>
        <w:t>Primary home: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Course-specific durable facts, commitments, and approved reference material.</w:t>
      </w:r>
    </w:p>
    <w:p>
      <w:r>
        <w:rPr>
          <w:rFonts w:ascii="Arial" w:hAnsi="Arial" w:eastAsia="Arial" w:cs="Arial"/>
          <w:b w:val="0"/>
          <w:color w:val="000000"/>
          <w:sz w:val="22"/>
        </w:rPr>
        <w:t>Each fact has one primary home. Stable preferences belong in the shared Faculty Profile, active drafts belong in this course's Active Workbench, and durable cross-course learning belongs in Decisions, Reflections, and Reusable Practices.</w:t>
      </w:r>
    </w:p>
    <w:p>
      <w:r>
        <w:rPr>
          <w:rFonts w:ascii="Arial" w:hAnsi="Arial" w:eastAsia="Arial" w:cs="Arial"/>
          <w:b w:val="0"/>
          <w:color w:val="000000"/>
          <w:sz w:val="22"/>
        </w:rPr>
        <w:t>Select the course explicitly before course-specific work begins. Echo the selected course before using Course Memory or Active Workbench. Course selection does not persist into a new Gemini chat; select and confirm the course again when a new chat begins.</w:t>
      </w:r>
    </w:p>
    <w:p>
      <w:pPr>
        <w:pStyle w:val="Heading1"/>
      </w:pPr>
      <w:r>
        <w:t>Course identity</w:t>
      </w:r>
    </w:p>
    <w:p>
      <w:r>
        <w:rPr>
          <w:rFonts w:ascii="Arial" w:hAnsi="Arial" w:eastAsia="Arial" w:cs="Arial"/>
          <w:b/>
          <w:color w:val="000000"/>
          <w:sz w:val="22"/>
        </w:rPr>
        <w:t>Course title: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the official course title.]</w:t>
      </w:r>
    </w:p>
    <w:p>
      <w:r>
        <w:rPr>
          <w:rFonts w:ascii="Arial" w:hAnsi="Arial" w:eastAsia="Arial" w:cs="Arial"/>
          <w:b/>
          <w:color w:val="000000"/>
          <w:sz w:val="22"/>
        </w:rPr>
        <w:t>Course code and section: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only course-level identifiers.]</w:t>
      </w:r>
    </w:p>
    <w:p>
      <w:r>
        <w:rPr>
          <w:rFonts w:ascii="Arial" w:hAnsi="Arial" w:eastAsia="Arial" w:cs="Arial"/>
          <w:b/>
          <w:color w:val="000000"/>
          <w:sz w:val="22"/>
        </w:rPr>
        <w:t>Term: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the term.]</w:t>
      </w:r>
    </w:p>
    <w:p>
      <w:r>
        <w:rPr>
          <w:rFonts w:ascii="Arial" w:hAnsi="Arial" w:eastAsia="Arial" w:cs="Arial"/>
          <w:b/>
          <w:color w:val="000000"/>
          <w:sz w:val="22"/>
        </w:rPr>
        <w:t>Delivery format: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in-person, online, hybrid, or another approved format.]</w:t>
      </w:r>
    </w:p>
    <w:p>
      <w:pPr>
        <w:pStyle w:val="Heading1"/>
      </w:pPr>
      <w:r>
        <w:t>Durable course context</w:t>
      </w:r>
    </w:p>
    <w:p>
      <w:r>
        <w:rPr>
          <w:rFonts w:ascii="Arial" w:hAnsi="Arial" w:eastAsia="Arial" w:cs="Arial"/>
          <w:b/>
          <w:color w:val="000000"/>
          <w:sz w:val="22"/>
        </w:rPr>
        <w:t>Course description: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the approved description.]</w:t>
      </w:r>
    </w:p>
    <w:p>
      <w:r>
        <w:rPr>
          <w:rFonts w:ascii="Arial" w:hAnsi="Arial" w:eastAsia="Arial" w:cs="Arial"/>
          <w:b/>
          <w:color w:val="000000"/>
          <w:sz w:val="22"/>
        </w:rPr>
        <w:t>Learning outcomes: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the approved outcomes.]</w:t>
      </w:r>
    </w:p>
    <w:p>
      <w:r>
        <w:rPr>
          <w:rFonts w:ascii="Arial" w:hAnsi="Arial" w:eastAsia="Arial" w:cs="Arial"/>
          <w:b/>
          <w:color w:val="000000"/>
          <w:sz w:val="22"/>
        </w:rPr>
        <w:t>Prerequisite knowledge: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knowledge learners may be expected to have before the course.]</w:t>
      </w:r>
    </w:p>
    <w:p>
      <w:r>
        <w:rPr>
          <w:rFonts w:ascii="Arial" w:hAnsi="Arial" w:eastAsia="Arial" w:cs="Arial"/>
          <w:b/>
          <w:color w:val="000000"/>
          <w:sz w:val="22"/>
        </w:rPr>
        <w:t>Concept sequence: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[List the planned order in which major concepts are introduced.]</w:t>
      </w:r>
    </w:p>
    <w:p>
      <w:r>
        <w:rPr>
          <w:rFonts w:ascii="Arial" w:hAnsi="Arial" w:eastAsia="Arial" w:cs="Arial"/>
          <w:b/>
          <w:color w:val="000000"/>
          <w:sz w:val="22"/>
        </w:rPr>
        <w:t>Module or calendar structure: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durable timing and sequence information.]</w:t>
      </w:r>
    </w:p>
    <w:p>
      <w:r>
        <w:rPr>
          <w:rFonts w:ascii="Arial" w:hAnsi="Arial" w:eastAsia="Arial" w:cs="Arial"/>
          <w:b/>
          <w:color w:val="000000"/>
          <w:sz w:val="22"/>
        </w:rPr>
        <w:t>Required materials: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approved course materials and references.]</w:t>
      </w:r>
    </w:p>
    <w:p>
      <w:r>
        <w:rPr>
          <w:rFonts w:ascii="Arial" w:hAnsi="Arial" w:eastAsia="Arial" w:cs="Arial"/>
          <w:b/>
          <w:color w:val="000000"/>
          <w:sz w:val="22"/>
        </w:rPr>
        <w:t>Course-level policies and constraints: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policies or constraints that apply to this course.]</w:t>
      </w:r>
    </w:p>
    <w:p>
      <w:pPr>
        <w:pStyle w:val="Heading1"/>
      </w:pPr>
      <w:r>
        <w:t>Approved alignment notes</w:t>
      </w:r>
    </w:p>
    <w:p>
      <w:r>
        <w:rPr>
          <w:rFonts w:ascii="Arial" w:hAnsi="Arial" w:eastAsia="Arial" w:cs="Arial"/>
          <w:b/>
          <w:color w:val="000000"/>
          <w:sz w:val="22"/>
        </w:rPr>
        <w:t>Outcome-to-assessment alignment: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[Record approved course-level alignment decisions.]</w:t>
      </w:r>
    </w:p>
    <w:p>
      <w:r>
        <w:rPr>
          <w:rFonts w:ascii="Arial" w:hAnsi="Arial" w:eastAsia="Arial" w:cs="Arial"/>
          <w:b/>
          <w:color w:val="000000"/>
          <w:sz w:val="22"/>
        </w:rPr>
        <w:t>Accessibility and inclusion commitments: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[Record course-specific commitments.]</w:t>
      </w:r>
    </w:p>
    <w:p>
      <w:r>
        <w:rPr>
          <w:rFonts w:ascii="Arial" w:hAnsi="Arial" w:eastAsia="Arial" w:cs="Arial"/>
          <w:b/>
          <w:color w:val="000000"/>
          <w:sz w:val="22"/>
        </w:rPr>
        <w:t>Other durable course facts:</w:t>
      </w:r>
      <w:r>
        <w:rPr>
          <w:rFonts w:ascii="Arial" w:hAnsi="Arial" w:eastAsia="Arial" w:cs="Arial"/>
          <w:b w:val="0"/>
          <w:color w:val="000000"/>
          <w:sz w:val="22"/>
        </w:rPr>
        <w:t xml:space="preserve"> [Enter only facts that should remain stable across modules.]</w:t>
      </w:r>
    </w:p>
    <w:p>
      <w:pPr>
        <w:pStyle w:val="Heading1"/>
      </w:pPr>
      <w:r>
        <w:t>Recording approved updates</w:t>
      </w:r>
    </w:p>
    <w:p>
      <w:r>
        <w:rPr>
          <w:rFonts w:ascii="Arial" w:hAnsi="Arial" w:eastAsia="Arial" w:cs="Arial"/>
          <w:b w:val="0"/>
          <w:color w:val="000000"/>
          <w:sz w:val="22"/>
        </w:rPr>
        <w:t>bergen:record produces a proposal only. After faculty approval, it must name exactly one primary target document and supply copy-ready text. Paste the approved text manually into this Google Doc. The Gem does not save, synchronize, modify, or retain documents automatically.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/>
        <w:color w:val="000000"/>
      </w:rPr>
    </w:lvl>
  </w:abstractNum>
  <w:num w:numId="11">
    <w:abstractNumId w:val="10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60" w:line="276" w:lineRule="auto"/>
    </w:pPr>
    <w:rPr>
      <w:rFonts w:ascii="Arial" w:hAnsi="Arial" w:eastAsia="Arial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 w:cs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 w:cs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 w:cs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mc="http://schemas.openxmlformats.org/markup-compatibility/2006" xmlns:w="http://schemas.openxmlformats.org/wordprocessingml/2006/main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2026-08-04T00:00:00Z</dcterms:created>
  <dcterms:modified xsi:type="dcterms:W3CDTF">2026-08-04T00:00:00Z</dcterms:modified>
  <cp:category/>
</cp:coreProperties>
</file>