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60" w:line="240" w:lineRule="auto"/>
      </w:pPr>
      <w:r>
        <w:rPr>
          <w:rFonts w:ascii="Arial" w:hAnsi="Arial" w:eastAsia="Arial" w:cs="Arial"/>
          <w:b w:val="0"/>
          <w:color w:val="000000"/>
          <w:sz w:val="52"/>
        </w:rPr>
        <w:t>Bergen Memory Bank - Decisions, Reflections, and Reusable Practices</w:t>
      </w:r>
    </w:p>
    <w:p>
      <w:r>
        <w:rPr>
          <w:rFonts w:ascii="Arial" w:hAnsi="Arial" w:eastAsia="Arial" w:cs="Arial"/>
          <w:b w:val="0"/>
          <w:color w:val="000000"/>
          <w:sz w:val="22"/>
        </w:rPr>
        <w:t>Keep one shared Decisions, Reflections, and Reusable Practices document for durable decisions, reflections, and reusable practices that can inform more than one course.</w:t>
      </w:r>
    </w:p>
    <w:p>
      <w:pPr>
        <w:pStyle w:val="Heading1"/>
      </w:pPr>
      <w:r>
        <w:t>Safe-data boundary</w:t>
      </w:r>
    </w:p>
    <w:p>
      <w:r>
        <w:rPr>
          <w:rFonts w:ascii="Arial" w:hAnsi="Arial" w:eastAsia="Arial" w:cs="Arial"/>
          <w:b w:val="0"/>
          <w:color w:val="000000"/>
          <w:sz w:val="22"/>
        </w:rPr>
        <w:t>Use faculty decisions and de-identified teaching observations only. Do not enter student records, raw submissions, names, emails, IDs, individual grades, student-specific feedback, accommodations, health details, identifiable quotations, or identifying combinations. Keep protected data in Canvas.</w:t>
      </w:r>
    </w:p>
    <w:p>
      <w:pPr>
        <w:pStyle w:val="Heading1"/>
      </w:pPr>
      <w:r>
        <w:t>Ownership and use</w:t>
      </w:r>
    </w:p>
    <w:p>
      <w:r>
        <w:rPr>
          <w:rFonts w:ascii="Arial" w:hAnsi="Arial" w:eastAsia="Arial" w:cs="Arial"/>
          <w:b/>
          <w:color w:val="000000"/>
          <w:sz w:val="22"/>
        </w:rPr>
        <w:t>Primary home:</w:t>
      </w:r>
      <w:r>
        <w:rPr>
          <w:rFonts w:ascii="Arial" w:hAnsi="Arial" w:eastAsia="Arial" w:cs="Arial"/>
          <w:b w:val="0"/>
          <w:color w:val="000000"/>
          <w:sz w:val="22"/>
        </w:rPr>
        <w:t xml:space="preserve"> Durable decisions, reflections, and reusable practices that apply across courses.</w:t>
      </w:r>
    </w:p>
    <w:p>
      <w:r>
        <w:rPr>
          <w:rFonts w:ascii="Arial" w:hAnsi="Arial" w:eastAsia="Arial" w:cs="Arial"/>
          <w:b w:val="0"/>
          <w:color w:val="000000"/>
          <w:sz w:val="22"/>
        </w:rPr>
        <w:t>Each fact has one primary home. Stable faculty preferences belong in the Faculty Profile, durable course-specific facts belong in that course's Course Memory, and temporary work belongs in that course's Active Workbench.</w:t>
      </w:r>
    </w:p>
    <w:p>
      <w:r>
        <w:rPr>
          <w:rFonts w:ascii="Arial" w:hAnsi="Arial" w:eastAsia="Arial" w:cs="Arial"/>
          <w:b w:val="0"/>
          <w:color w:val="000000"/>
          <w:sz w:val="22"/>
        </w:rPr>
        <w:t>Before recording, confirm that the entry is reusable across courses. If it applies to only one course, use that course's Course Memory or Active Workbench instead.</w:t>
      </w:r>
    </w:p>
    <w:p>
      <w:pPr>
        <w:pStyle w:val="Heading1"/>
      </w:pPr>
      <w:r>
        <w:t>Durable decision</w:t>
      </w:r>
    </w:p>
    <w:p>
      <w:r>
        <w:rPr>
          <w:rFonts w:ascii="Arial" w:hAnsi="Arial" w:eastAsia="Arial" w:cs="Arial"/>
          <w:b/>
          <w:color w:val="000000"/>
          <w:sz w:val="22"/>
        </w:rPr>
        <w:t>Decision title:</w:t>
      </w:r>
      <w:r>
        <w:rPr>
          <w:rFonts w:ascii="Arial" w:hAnsi="Arial" w:eastAsia="Arial" w:cs="Arial"/>
          <w:b w:val="0"/>
          <w:color w:val="000000"/>
          <w:sz w:val="22"/>
        </w:rPr>
        <w:t xml:space="preserve"> [Enter a short title.]</w:t>
      </w:r>
    </w:p>
    <w:p>
      <w:r>
        <w:rPr>
          <w:rFonts w:ascii="Arial" w:hAnsi="Arial" w:eastAsia="Arial" w:cs="Arial"/>
          <w:b/>
          <w:color w:val="000000"/>
          <w:sz w:val="22"/>
        </w:rPr>
        <w:t>Date approved:</w:t>
      </w:r>
      <w:r>
        <w:rPr>
          <w:rFonts w:ascii="Arial" w:hAnsi="Arial" w:eastAsia="Arial" w:cs="Arial"/>
          <w:b w:val="0"/>
          <w:color w:val="000000"/>
          <w:sz w:val="22"/>
        </w:rPr>
        <w:t xml:space="preserve"> [Enter the approval date.]</w:t>
      </w:r>
    </w:p>
    <w:p>
      <w:r>
        <w:rPr>
          <w:rFonts w:ascii="Arial" w:hAnsi="Arial" w:eastAsia="Arial" w:cs="Arial"/>
          <w:b/>
          <w:color w:val="000000"/>
          <w:sz w:val="22"/>
        </w:rPr>
        <w:t>Context:</w:t>
      </w:r>
      <w:r>
        <w:rPr>
          <w:rFonts w:ascii="Arial" w:hAnsi="Arial" w:eastAsia="Arial" w:cs="Arial"/>
          <w:b w:val="0"/>
          <w:color w:val="000000"/>
          <w:sz w:val="22"/>
        </w:rPr>
        <w:t xml:space="preserve"> [Describe the teaching situation without student-specific information.]</w:t>
      </w:r>
    </w:p>
    <w:p>
      <w:r>
        <w:rPr>
          <w:rFonts w:ascii="Arial" w:hAnsi="Arial" w:eastAsia="Arial" w:cs="Arial"/>
          <w:b/>
          <w:color w:val="000000"/>
          <w:sz w:val="22"/>
        </w:rPr>
        <w:t>Approved decision:</w:t>
      </w:r>
      <w:r>
        <w:rPr>
          <w:rFonts w:ascii="Arial" w:hAnsi="Arial" w:eastAsia="Arial" w:cs="Arial"/>
          <w:b w:val="0"/>
          <w:color w:val="000000"/>
          <w:sz w:val="22"/>
        </w:rPr>
        <w:t xml:space="preserve"> [State the faculty-approved decision.]</w:t>
      </w:r>
    </w:p>
    <w:p>
      <w:r>
        <w:rPr>
          <w:rFonts w:ascii="Arial" w:hAnsi="Arial" w:eastAsia="Arial" w:cs="Arial"/>
          <w:b/>
          <w:color w:val="000000"/>
          <w:sz w:val="22"/>
        </w:rPr>
        <w:t>Why it is reusable:</w:t>
      </w:r>
      <w:r>
        <w:rPr>
          <w:rFonts w:ascii="Arial" w:hAnsi="Arial" w:eastAsia="Arial" w:cs="Arial"/>
          <w:b w:val="0"/>
          <w:color w:val="000000"/>
          <w:sz w:val="22"/>
        </w:rPr>
        <w:t xml:space="preserve"> [Explain how the decision can inform more than one course.]</w:t>
      </w:r>
    </w:p>
    <w:p>
      <w:r>
        <w:rPr>
          <w:rFonts w:ascii="Arial" w:hAnsi="Arial" w:eastAsia="Arial" w:cs="Arial"/>
          <w:b/>
          <w:color w:val="000000"/>
          <w:sz w:val="22"/>
        </w:rPr>
        <w:t>Conditions or limits:</w:t>
      </w:r>
      <w:r>
        <w:rPr>
          <w:rFonts w:ascii="Arial" w:hAnsi="Arial" w:eastAsia="Arial" w:cs="Arial"/>
          <w:b w:val="0"/>
          <w:color w:val="000000"/>
          <w:sz w:val="22"/>
        </w:rPr>
        <w:t xml:space="preserve"> [State where the decision should not be reused.]</w:t>
      </w:r>
    </w:p>
    <w:p>
      <w:pPr>
        <w:pStyle w:val="Heading1"/>
      </w:pPr>
      <w:r>
        <w:t>Reflection</w:t>
      </w:r>
    </w:p>
    <w:p>
      <w:r>
        <w:rPr>
          <w:rFonts w:ascii="Arial" w:hAnsi="Arial" w:eastAsia="Arial" w:cs="Arial"/>
          <w:b/>
          <w:color w:val="000000"/>
          <w:sz w:val="22"/>
        </w:rPr>
        <w:t>Observation:</w:t>
      </w:r>
      <w:r>
        <w:rPr>
          <w:rFonts w:ascii="Arial" w:hAnsi="Arial" w:eastAsia="Arial" w:cs="Arial"/>
          <w:b w:val="0"/>
          <w:color w:val="000000"/>
          <w:sz w:val="22"/>
        </w:rPr>
        <w:t xml:space="preserve"> [Describe a de-identified class-level observation.]</w:t>
      </w:r>
    </w:p>
    <w:p>
      <w:r>
        <w:rPr>
          <w:rFonts w:ascii="Arial" w:hAnsi="Arial" w:eastAsia="Arial" w:cs="Arial"/>
          <w:b/>
          <w:color w:val="000000"/>
          <w:sz w:val="22"/>
        </w:rPr>
        <w:t>Interpretation:</w:t>
      </w:r>
      <w:r>
        <w:rPr>
          <w:rFonts w:ascii="Arial" w:hAnsi="Arial" w:eastAsia="Arial" w:cs="Arial"/>
          <w:b w:val="0"/>
          <w:color w:val="000000"/>
          <w:sz w:val="22"/>
        </w:rPr>
        <w:t xml:space="preserve"> [Separate the faculty interpretation from the observation.]</w:t>
      </w:r>
    </w:p>
    <w:p>
      <w:r>
        <w:rPr>
          <w:rFonts w:ascii="Arial" w:hAnsi="Arial" w:eastAsia="Arial" w:cs="Arial"/>
          <w:b/>
          <w:color w:val="000000"/>
          <w:sz w:val="22"/>
        </w:rPr>
        <w:t>Uncertainty:</w:t>
      </w:r>
      <w:r>
        <w:rPr>
          <w:rFonts w:ascii="Arial" w:hAnsi="Arial" w:eastAsia="Arial" w:cs="Arial"/>
          <w:b w:val="0"/>
          <w:color w:val="000000"/>
          <w:sz w:val="22"/>
        </w:rPr>
        <w:t xml:space="preserve"> [State what remains unknown.]</w:t>
      </w:r>
    </w:p>
    <w:p>
      <w:r>
        <w:rPr>
          <w:rFonts w:ascii="Arial" w:hAnsi="Arial" w:eastAsia="Arial" w:cs="Arial"/>
          <w:b/>
          <w:color w:val="000000"/>
          <w:sz w:val="22"/>
        </w:rPr>
        <w:t>Approved learning:</w:t>
      </w:r>
      <w:r>
        <w:rPr>
          <w:rFonts w:ascii="Arial" w:hAnsi="Arial" w:eastAsia="Arial" w:cs="Arial"/>
          <w:b w:val="0"/>
          <w:color w:val="000000"/>
          <w:sz w:val="22"/>
        </w:rPr>
        <w:t xml:space="preserve"> [Record only the durable learning approved for reuse.]</w:t>
      </w:r>
    </w:p>
    <w:p>
      <w:pPr>
        <w:pStyle w:val="Heading1"/>
      </w:pPr>
      <w:r>
        <w:t>Reusable practice</w:t>
      </w:r>
    </w:p>
    <w:p>
      <w:r>
        <w:rPr>
          <w:rFonts w:ascii="Arial" w:hAnsi="Arial" w:eastAsia="Arial" w:cs="Arial"/>
          <w:b/>
          <w:color w:val="000000"/>
          <w:sz w:val="22"/>
        </w:rPr>
        <w:t>Practice name:</w:t>
      </w:r>
      <w:r>
        <w:rPr>
          <w:rFonts w:ascii="Arial" w:hAnsi="Arial" w:eastAsia="Arial" w:cs="Arial"/>
          <w:b w:val="0"/>
          <w:color w:val="000000"/>
          <w:sz w:val="22"/>
        </w:rPr>
        <w:t xml:space="preserve"> [Enter a short name.]</w:t>
      </w:r>
    </w:p>
    <w:p>
      <w:r>
        <w:rPr>
          <w:rFonts w:ascii="Arial" w:hAnsi="Arial" w:eastAsia="Arial" w:cs="Arial"/>
          <w:b/>
          <w:color w:val="000000"/>
          <w:sz w:val="22"/>
        </w:rPr>
        <w:t>Purpose:</w:t>
      </w:r>
      <w:r>
        <w:rPr>
          <w:rFonts w:ascii="Arial" w:hAnsi="Arial" w:eastAsia="Arial" w:cs="Arial"/>
          <w:b w:val="0"/>
          <w:color w:val="000000"/>
          <w:sz w:val="22"/>
        </w:rPr>
        <w:t xml:space="preserve"> [Describe the teaching need.]</w:t>
      </w:r>
    </w:p>
    <w:p>
      <w:r>
        <w:rPr>
          <w:rFonts w:ascii="Arial" w:hAnsi="Arial" w:eastAsia="Arial" w:cs="Arial"/>
          <w:b/>
          <w:color w:val="000000"/>
          <w:sz w:val="22"/>
        </w:rPr>
        <w:t>Steps:</w:t>
      </w:r>
      <w:r>
        <w:rPr>
          <w:rFonts w:ascii="Arial" w:hAnsi="Arial" w:eastAsia="Arial" w:cs="Arial"/>
          <w:b w:val="0"/>
          <w:color w:val="000000"/>
          <w:sz w:val="22"/>
        </w:rPr>
        <w:t xml:space="preserve"> [Describe the reusable practice in plain language.]</w:t>
      </w:r>
    </w:p>
    <w:p>
      <w:r>
        <w:rPr>
          <w:rFonts w:ascii="Arial" w:hAnsi="Arial" w:eastAsia="Arial" w:cs="Arial"/>
          <w:b/>
          <w:color w:val="000000"/>
          <w:sz w:val="22"/>
        </w:rPr>
        <w:t>Evidence or rationale:</w:t>
      </w:r>
      <w:r>
        <w:rPr>
          <w:rFonts w:ascii="Arial" w:hAnsi="Arial" w:eastAsia="Arial" w:cs="Arial"/>
          <w:b w:val="0"/>
          <w:color w:val="000000"/>
          <w:sz w:val="22"/>
        </w:rPr>
        <w:t xml:space="preserve"> [Describe the de-identified evidence or professional rationale.]</w:t>
      </w:r>
    </w:p>
    <w:p>
      <w:r>
        <w:rPr>
          <w:rFonts w:ascii="Arial" w:hAnsi="Arial" w:eastAsia="Arial" w:cs="Arial"/>
          <w:b/>
          <w:color w:val="000000"/>
          <w:sz w:val="22"/>
        </w:rPr>
        <w:t>When to revisit:</w:t>
      </w:r>
      <w:r>
        <w:rPr>
          <w:rFonts w:ascii="Arial" w:hAnsi="Arial" w:eastAsia="Arial" w:cs="Arial"/>
          <w:b w:val="0"/>
          <w:color w:val="000000"/>
          <w:sz w:val="22"/>
        </w:rPr>
        <w:t xml:space="preserve"> [Enter a review trigger or date.]</w:t>
      </w:r>
    </w:p>
    <w:p>
      <w:pPr>
        <w:pStyle w:val="Heading1"/>
      </w:pPr>
      <w:r>
        <w:t>Recording approved updates</w:t>
      </w:r>
    </w:p>
    <w:p>
      <w:r>
        <w:rPr>
          <w:rFonts w:ascii="Arial" w:hAnsi="Arial" w:eastAsia="Arial" w:cs="Arial"/>
          <w:b w:val="0"/>
          <w:color w:val="000000"/>
          <w:sz w:val="22"/>
        </w:rPr>
        <w:t>bergen:record produces a proposal only. After faculty approval, it must name exactly one primary target document and supply copy-ready text. Paste the approved text manually into this Google Doc. The Gem does not save, synchronize, modify, or retain documents automatically.</w:t>
      </w:r>
    </w:p>
    <w:sectPr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/>
        <w:color w:val="000000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/>
        <w:color w:val="000000"/>
      </w:rPr>
    </w:lvl>
  </w:abstractNum>
  <w:num w:numId="11">
    <w:abstractNumId w:val="10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w="http://schemas.openxmlformats.org/wordprocessingml/2006/main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before="0" w:after="160" w:line="276" w:lineRule="auto"/>
    </w:pPr>
    <w:rPr>
      <w:rFonts w:ascii="Arial" w:hAnsi="Arial" w:eastAsia="Arial" w:cs="Arial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 w:line="276" w:lineRule="auto"/>
      <w:outlineLvl w:val="0"/>
    </w:pPr>
    <w:rPr>
      <w:rFonts w:asciiTheme="majorHAnsi" w:eastAsiaTheme="majorEastAsia" w:hAnsiTheme="majorHAnsi" w:cstheme="majorBidi" w:ascii="Arial" w:hAnsi="Arial" w:eastAsia="Arial" w:cs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 w:line="276" w:lineRule="auto"/>
      <w:outlineLvl w:val="1"/>
    </w:pPr>
    <w:rPr>
      <w:rFonts w:asciiTheme="majorHAnsi" w:eastAsiaTheme="majorEastAsia" w:hAnsiTheme="majorHAnsi" w:cstheme="majorBidi" w:ascii="Arial" w:hAnsi="Arial" w:eastAsia="Arial" w:cs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 w:line="276" w:lineRule="auto"/>
      <w:outlineLvl w:val="2"/>
    </w:pPr>
    <w:rPr>
      <w:rFonts w:asciiTheme="majorHAnsi" w:eastAsiaTheme="majorEastAsia" w:hAnsiTheme="majorHAnsi" w:cstheme="majorBidi" w:ascii="Arial" w:hAnsi="Arial" w:eastAsia="Arial" w:cs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mc="http://schemas.openxmlformats.org/markup-compatibility/2006" xmlns:w="http://schemas.openxmlformats.org/wordprocessingml/2006/main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2026-08-04T00:00:00Z</dcterms:created>
  <dcterms:modified xsi:type="dcterms:W3CDTF">2026-08-04T00:00:00Z</dcterms:modified>
  <cp:category/>
</cp:coreProperties>
</file>