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 w:line="240" w:lineRule="auto"/>
      </w:pPr>
      <w:r>
        <w:rPr>
          <w:rFonts w:ascii="Arial" w:hAnsi="Arial" w:eastAsia="Arial" w:cs="Arial"/>
          <w:b w:val="0"/>
          <w:color w:val="000000"/>
          <w:sz w:val="52"/>
        </w:rPr>
        <w:t>Bergen Memory Bank - Faculty Profile</w:t>
      </w:r>
    </w:p>
    <w:p>
      <w:r>
        <w:rPr>
          <w:rFonts w:ascii="Arial" w:hAnsi="Arial" w:eastAsia="Arial" w:cs="Arial"/>
          <w:b w:val="0"/>
          <w:color w:val="000000"/>
          <w:sz w:val="22"/>
        </w:rPr>
        <w:t>Use this form for stable preferences that apply across courses. Keep one shared Faculty Profile for all courses.</w:t>
      </w:r>
    </w:p>
    <w:p>
      <w:pPr>
        <w:pStyle w:val="Heading1"/>
      </w:pPr>
      <w:r>
        <w:t>Safe-data boundary</w:t>
      </w:r>
    </w:p>
    <w:p>
      <w:r>
        <w:rPr>
          <w:rFonts w:ascii="Arial" w:hAnsi="Arial" w:eastAsia="Arial" w:cs="Arial"/>
          <w:b w:val="0"/>
          <w:color w:val="000000"/>
          <w:sz w:val="22"/>
        </w:rPr>
        <w:t>Use teaching preferences and professional context only. Do not enter student records, student-specific information, raw submissions, names, emails, IDs, grades, accommodations, health details, or identifiable quotations. Keep protected data in Canvas.</w:t>
      </w:r>
    </w:p>
    <w:p>
      <w:pPr>
        <w:pStyle w:val="Heading1"/>
      </w:pPr>
      <w:r>
        <w:t>Ownership and use</w:t>
      </w:r>
    </w:p>
    <w:p>
      <w:r>
        <w:rPr>
          <w:rFonts w:ascii="Arial" w:hAnsi="Arial" w:eastAsia="Arial" w:cs="Arial"/>
          <w:b/>
          <w:color w:val="000000"/>
          <w:sz w:val="22"/>
        </w:rPr>
        <w:t>Primary home:</w:t>
      </w:r>
      <w:r>
        <w:rPr>
          <w:rFonts w:ascii="Arial" w:hAnsi="Arial" w:eastAsia="Arial" w:cs="Arial"/>
          <w:b w:val="0"/>
          <w:color w:val="000000"/>
          <w:sz w:val="22"/>
        </w:rPr>
        <w:t xml:space="preserve"> Stable faculty preferences that apply across courses.</w:t>
      </w:r>
    </w:p>
    <w:p>
      <w:r>
        <w:rPr>
          <w:rFonts w:ascii="Arial" w:hAnsi="Arial" w:eastAsia="Arial" w:cs="Arial"/>
          <w:b w:val="0"/>
          <w:color w:val="000000"/>
          <w:sz w:val="22"/>
        </w:rPr>
        <w:t>Each fact has one primary home. Put course-specific facts in that course's Course Memory, current work in that course's Active Workbench, and durable cross-course learning in Decisions, Reflections, and Reusable Practices.</w:t>
      </w:r>
    </w:p>
    <w:p>
      <w:pPr>
        <w:pStyle w:val="Heading1"/>
      </w:pPr>
      <w:r>
        <w:t>Faculty information</w:t>
      </w:r>
    </w:p>
    <w:p>
      <w:r>
        <w:rPr>
          <w:rFonts w:ascii="Arial" w:hAnsi="Arial" w:eastAsia="Arial" w:cs="Arial"/>
          <w:b/>
          <w:color w:val="000000"/>
          <w:sz w:val="22"/>
        </w:rPr>
        <w:t>Preferred faculty name: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[Enter a name or title used for teaching materials.]</w:t>
      </w:r>
    </w:p>
    <w:p>
      <w:r>
        <w:rPr>
          <w:rFonts w:ascii="Arial" w:hAnsi="Arial" w:eastAsia="Arial" w:cs="Arial"/>
          <w:b/>
          <w:color w:val="000000"/>
          <w:sz w:val="22"/>
        </w:rPr>
        <w:t>Department or program: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[Enter department or program.]</w:t>
      </w:r>
    </w:p>
    <w:p>
      <w:r>
        <w:rPr>
          <w:rFonts w:ascii="Arial" w:hAnsi="Arial" w:eastAsia="Arial" w:cs="Arial"/>
          <w:b/>
          <w:color w:val="000000"/>
          <w:sz w:val="22"/>
        </w:rPr>
        <w:t>Teaching role: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[Enter role.]</w:t>
      </w:r>
    </w:p>
    <w:p>
      <w:pPr>
        <w:pStyle w:val="Heading1"/>
      </w:pPr>
      <w:r>
        <w:t>Teaching preferences</w:t>
      </w:r>
    </w:p>
    <w:p>
      <w:r>
        <w:rPr>
          <w:rFonts w:ascii="Arial" w:hAnsi="Arial" w:eastAsia="Arial" w:cs="Arial"/>
          <w:b/>
          <w:color w:val="000000"/>
          <w:sz w:val="22"/>
        </w:rPr>
        <w:t>Teaching approach: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[Describe stable principles or approaches.]</w:t>
      </w:r>
    </w:p>
    <w:p>
      <w:r>
        <w:rPr>
          <w:rFonts w:ascii="Arial" w:hAnsi="Arial" w:eastAsia="Arial" w:cs="Arial"/>
          <w:b/>
          <w:color w:val="000000"/>
          <w:sz w:val="22"/>
        </w:rPr>
        <w:t>Tone and voice: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[Describe the tone desired in lessons, assignments, rubrics, and messages.]</w:t>
      </w:r>
    </w:p>
    <w:p>
      <w:r>
        <w:rPr>
          <w:rFonts w:ascii="Arial" w:hAnsi="Arial" w:eastAsia="Arial" w:cs="Arial"/>
          <w:b/>
          <w:color w:val="000000"/>
          <w:sz w:val="22"/>
        </w:rPr>
        <w:t>Accessibility preferences: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[Describe stable accessibility practices.]</w:t>
      </w:r>
    </w:p>
    <w:p>
      <w:r>
        <w:rPr>
          <w:rFonts w:ascii="Arial" w:hAnsi="Arial" w:eastAsia="Arial" w:cs="Arial"/>
          <w:b/>
          <w:color w:val="000000"/>
          <w:sz w:val="22"/>
        </w:rPr>
        <w:t>Assessment preferences: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[Describe stable assessment and feedback preferences.]</w:t>
      </w:r>
    </w:p>
    <w:p>
      <w:r>
        <w:rPr>
          <w:rFonts w:ascii="Arial" w:hAnsi="Arial" w:eastAsia="Arial" w:cs="Arial"/>
          <w:b/>
          <w:color w:val="000000"/>
          <w:sz w:val="22"/>
        </w:rPr>
        <w:t>Technology preferences and limits: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[Describe tools, formats, or limits that apply across courses.]</w:t>
      </w:r>
    </w:p>
    <w:p>
      <w:pPr>
        <w:pStyle w:val="Heading1"/>
      </w:pPr>
      <w:r>
        <w:t>Reusable standards</w:t>
      </w:r>
    </w:p>
    <w:p>
      <w:r>
        <w:rPr>
          <w:rFonts w:ascii="Arial" w:hAnsi="Arial" w:eastAsia="Arial" w:cs="Arial"/>
          <w:b/>
          <w:color w:val="000000"/>
          <w:sz w:val="22"/>
        </w:rPr>
        <w:t>Citation or attribution standard: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[Enter the standard used across courses.]</w:t>
      </w:r>
    </w:p>
    <w:p>
      <w:r>
        <w:rPr>
          <w:rFonts w:ascii="Arial" w:hAnsi="Arial" w:eastAsia="Arial" w:cs="Arial"/>
          <w:b/>
          <w:color w:val="000000"/>
          <w:sz w:val="22"/>
        </w:rPr>
        <w:t>Inclusive-language guidance: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[Enter stable language guidance.]</w:t>
      </w:r>
    </w:p>
    <w:p>
      <w:r>
        <w:rPr>
          <w:rFonts w:ascii="Arial" w:hAnsi="Arial" w:eastAsia="Arial" w:cs="Arial"/>
          <w:b/>
          <w:color w:val="000000"/>
          <w:sz w:val="22"/>
        </w:rPr>
        <w:t>Other stable preferences: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[Enter only information that belongs across courses.]</w:t>
      </w:r>
    </w:p>
    <w:p>
      <w:pPr>
        <w:pStyle w:val="Heading1"/>
      </w:pPr>
      <w:r>
        <w:t>Recording approved updates</w:t>
      </w:r>
    </w:p>
    <w:p>
      <w:r>
        <w:rPr>
          <w:rFonts w:ascii="Arial" w:hAnsi="Arial" w:eastAsia="Arial" w:cs="Arial"/>
          <w:b w:val="0"/>
          <w:color w:val="000000"/>
          <w:sz w:val="22"/>
        </w:rPr>
        <w:t>bergen:record produces a proposal only. After faculty approval, it must name exactly one primary target document and supply copy-ready text. Paste the approved text manually into this Google Doc. The Gem does not save, synchronize, modify, or retain documents automatically.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/>
        <w:color w:val="000000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  <w:color w:val="000000"/>
      </w:rPr>
    </w:lvl>
  </w:abstractNum>
  <w:num w:numId="11">
    <w:abstractNumId w:val="1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60" w:line="276" w:lineRule="auto"/>
    </w:pPr>
    <w:rPr>
      <w:rFonts w:ascii="Arial" w:hAnsi="Arial" w:eastAsia="Arial" w:cs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 w:cs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 w:cs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 w:cs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mc="http://schemas.openxmlformats.org/markup-compatibility/2006" xmlns:w="http://schemas.openxmlformats.org/wordprocessingml/2006/main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2026-08-04T00:00:00Z</dcterms:created>
  <dcterms:modified xsi:type="dcterms:W3CDTF">2026-08-04T00:00:00Z</dcterms:modified>
  <cp:category/>
</cp:coreProperties>
</file>