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2B6CB0"/>
          <w:sz w:val="18"/>
        </w:rPr>
        <w:t>ACADEMIC PROJECT REPORT • ARTIFICIAL INTELLIGENCE &amp; MACHINE LEARNING</w:t>
      </w:r>
    </w:p>
    <w:p>
      <w:pPr>
        <w:spacing w:after="120"/>
        <w:jc w:val="center"/>
      </w:pPr>
      <w:r>
        <w:rPr>
          <w:rFonts w:ascii="Arial" w:hAnsi="Arial"/>
          <w:b/>
          <w:color w:val="1B365D"/>
          <w:sz w:val="48"/>
        </w:rPr>
        <w:t>Intelligent Student Performance Prediction System</w:t>
      </w:r>
    </w:p>
    <w:p>
      <w:pPr>
        <w:spacing w:after="320"/>
        <w:jc w:val="center"/>
      </w:pPr>
      <w:r>
        <w:rPr>
          <w:rFonts w:ascii="Arial" w:hAnsi="Arial"/>
          <w:color w:val="2D3748"/>
          <w:sz w:val="24"/>
        </w:rPr>
        <w:t>Comprehensive Technical Documentation, Theoretical Formulation, and Question-by-Question Solution Guide</w:t>
      </w:r>
    </w:p>
    <w:tbl>
      <w:tblPr>
        <w:tblW w:type="auto" w:w="0"/>
        <w:jc w:val="center"/>
        <w:tblLook w:firstColumn="1" w:firstRow="1" w:lastColumn="0" w:lastRow="0" w:noHBand="0" w:noVBand="1" w:val="04A0"/>
      </w:tblPr>
      <w:tblGrid>
        <w:gridCol w:w="9360"/>
      </w:tblGrid>
      <w:tr>
        <w:tc>
          <w:tcPr>
            <w:tcW w:type="dxa" w:w="9360"/>
            <w:shd w:fill="1B365D"/>
            <w:tcMar>
              <w:top w:w="10" w:type="dxa"/>
              <w:bottom w:w="10" w:type="dxa"/>
              <w:left w:w="0" w:type="dxa"/>
              <w:right w:w="0" w:type="dxa"/>
            </w:tcMar>
          </w:tcPr>
          <w:p/>
        </w:tc>
      </w:tr>
    </w:tbl>
    <w:p>
      <w:pPr>
        <w:spacing w:after="280"/>
      </w:pPr>
    </w:p>
    <w:tbl>
      <w:tblPr>
        <w:tblW w:type="auto" w:w="0"/>
        <w:jc w:val="center"/>
        <w:tblLook w:firstColumn="1" w:firstRow="1" w:lastColumn="0" w:lastRow="0" w:noHBand="0" w:noVBand="1" w:val="04A0"/>
      </w:tblPr>
      <w:tblGrid>
        <w:gridCol w:w="4680"/>
        <w:gridCol w:w="4680"/>
      </w:tblGrid>
      <w:tr>
        <w:tc>
          <w:tcPr>
            <w:tcW w:type="dxa" w:w="3168"/>
            <w:shd w:fill="F7FAFC"/>
            <w:tcMar>
              <w:top w:w="80" w:type="dxa"/>
              <w:bottom w:w="80" w:type="dxa"/>
              <w:left w:w="100" w:type="dxa"/>
              <w:right w:w="100" w:type="dxa"/>
            </w:tcMar>
          </w:tcPr>
          <w:p>
            <w:pPr>
              <w:spacing w:after="0"/>
            </w:pPr>
            <w:r>
              <w:rPr>
                <w:rFonts w:ascii="Arial" w:hAnsi="Arial"/>
                <w:b/>
                <w:color w:val="1B365D"/>
                <w:sz w:val="19"/>
              </w:rPr>
              <w:t>Project Objective:</w:t>
            </w:r>
          </w:p>
        </w:tc>
        <w:tc>
          <w:tcPr>
            <w:tcW w:type="dxa" w:w="6192"/>
            <w:shd w:fill="FFFFFF"/>
            <w:tcMar>
              <w:top w:w="80" w:type="dxa"/>
              <w:bottom w:w="80" w:type="dxa"/>
              <w:left w:w="100" w:type="dxa"/>
              <w:right w:w="100" w:type="dxa"/>
            </w:tcMar>
          </w:tcPr>
          <w:p>
            <w:pPr>
              <w:spacing w:after="0"/>
            </w:pPr>
            <w:r>
              <w:rPr>
                <w:rFonts w:ascii="Arial" w:hAnsi="Arial"/>
                <w:color w:val="2D3748"/>
                <w:sz w:val="19"/>
              </w:rPr>
              <w:t>Develop an AI system that predicts student performance based on academic information.</w:t>
            </w:r>
          </w:p>
        </w:tc>
      </w:tr>
      <w:tr>
        <w:tc>
          <w:tcPr>
            <w:tcW w:type="dxa" w:w="3168"/>
            <w:shd w:fill="F7FAFC"/>
            <w:tcMar>
              <w:top w:w="80" w:type="dxa"/>
              <w:bottom w:w="80" w:type="dxa"/>
              <w:left w:w="100" w:type="dxa"/>
              <w:right w:w="100" w:type="dxa"/>
            </w:tcMar>
          </w:tcPr>
          <w:p>
            <w:pPr>
              <w:spacing w:after="0"/>
            </w:pPr>
            <w:r>
              <w:rPr>
                <w:rFonts w:ascii="Arial" w:hAnsi="Arial"/>
                <w:b/>
                <w:color w:val="1B365D"/>
                <w:sz w:val="19"/>
              </w:rPr>
              <w:t>AI Concepts Employed:</w:t>
            </w:r>
          </w:p>
        </w:tc>
        <w:tc>
          <w:tcPr>
            <w:tcW w:type="dxa" w:w="6192"/>
            <w:shd w:fill="FFFFFF"/>
            <w:tcMar>
              <w:top w:w="80" w:type="dxa"/>
              <w:bottom w:w="80" w:type="dxa"/>
              <w:left w:w="100" w:type="dxa"/>
              <w:right w:w="100" w:type="dxa"/>
            </w:tcMar>
          </w:tcPr>
          <w:p>
            <w:pPr>
              <w:spacing w:after="0"/>
            </w:pPr>
            <w:r>
              <w:rPr>
                <w:rFonts w:ascii="Arial" w:hAnsi="Arial"/>
                <w:color w:val="2D3748"/>
                <w:sz w:val="19"/>
              </w:rPr>
              <w:t>Supervised Machine Learning, Multi-Class Classification, Decision Tree (CART / Gini Impurity).</w:t>
            </w:r>
          </w:p>
        </w:tc>
      </w:tr>
      <w:tr>
        <w:tc>
          <w:tcPr>
            <w:tcW w:type="dxa" w:w="3168"/>
            <w:shd w:fill="F7FAFC"/>
            <w:tcMar>
              <w:top w:w="80" w:type="dxa"/>
              <w:bottom w:w="80" w:type="dxa"/>
              <w:left w:w="100" w:type="dxa"/>
              <w:right w:w="100" w:type="dxa"/>
            </w:tcMar>
          </w:tcPr>
          <w:p>
            <w:pPr>
              <w:spacing w:after="0"/>
            </w:pPr>
            <w:r>
              <w:rPr>
                <w:rFonts w:ascii="Arial" w:hAnsi="Arial"/>
                <w:b/>
                <w:color w:val="1B365D"/>
                <w:sz w:val="19"/>
              </w:rPr>
              <w:t>Key Features Considered:</w:t>
            </w:r>
          </w:p>
        </w:tc>
        <w:tc>
          <w:tcPr>
            <w:tcW w:type="dxa" w:w="6192"/>
            <w:shd w:fill="FFFFFF"/>
            <w:tcMar>
              <w:top w:w="80" w:type="dxa"/>
              <w:bottom w:w="80" w:type="dxa"/>
              <w:left w:w="100" w:type="dxa"/>
              <w:right w:w="100" w:type="dxa"/>
            </w:tcMar>
          </w:tcPr>
          <w:p>
            <w:pPr>
              <w:spacing w:after="0"/>
            </w:pPr>
            <w:r>
              <w:rPr>
                <w:rFonts w:ascii="Arial" w:hAnsi="Arial"/>
                <w:color w:val="2D3748"/>
                <w:sz w:val="19"/>
              </w:rPr>
              <w:t>Attendance (%), Assignment Marks (/100), Internal Marks (/100), Daily Study Hours.</w:t>
            </w:r>
          </w:p>
        </w:tc>
      </w:tr>
      <w:tr>
        <w:tc>
          <w:tcPr>
            <w:tcW w:type="dxa" w:w="3168"/>
            <w:shd w:fill="F7FAFC"/>
            <w:tcMar>
              <w:top w:w="80" w:type="dxa"/>
              <w:bottom w:w="80" w:type="dxa"/>
              <w:left w:w="100" w:type="dxa"/>
              <w:right w:w="100" w:type="dxa"/>
            </w:tcMar>
          </w:tcPr>
          <w:p>
            <w:pPr>
              <w:spacing w:after="0"/>
            </w:pPr>
            <w:r>
              <w:rPr>
                <w:rFonts w:ascii="Arial" w:hAnsi="Arial"/>
                <w:b/>
                <w:color w:val="1B365D"/>
                <w:sz w:val="19"/>
              </w:rPr>
              <w:t>Advanced Feature:</w:t>
            </w:r>
          </w:p>
        </w:tc>
        <w:tc>
          <w:tcPr>
            <w:tcW w:type="dxa" w:w="6192"/>
            <w:shd w:fill="FFFFFF"/>
            <w:tcMar>
              <w:top w:w="80" w:type="dxa"/>
              <w:bottom w:w="80" w:type="dxa"/>
              <w:left w:w="100" w:type="dxa"/>
              <w:right w:w="100" w:type="dxa"/>
            </w:tcMar>
          </w:tcPr>
          <w:p>
            <w:pPr>
              <w:spacing w:after="0"/>
            </w:pPr>
            <w:r>
              <w:rPr>
                <w:rFonts w:ascii="Arial" w:hAnsi="Arial"/>
                <w:color w:val="2D3748"/>
                <w:sz w:val="19"/>
              </w:rPr>
              <w:t>Diagnostic Gap Analysis with Severity Priority Ranking (Critical / Moderate / Minor) &amp; Action Plan.</w:t>
            </w:r>
          </w:p>
        </w:tc>
      </w:tr>
    </w:tbl>
    <w:p>
      <w:pPr>
        <w:spacing w:after="240"/>
      </w:pPr>
    </w:p>
    <w:p>
      <w:pPr>
        <w:keepNext/>
        <w:spacing w:before="320" w:after="160"/>
      </w:pPr>
      <w:r>
        <w:rPr>
          <w:rFonts w:ascii="Arial" w:hAnsi="Arial"/>
          <w:b/>
          <w:color w:val="1B365D"/>
          <w:sz w:val="32"/>
        </w:rPr>
        <w:t>1. Executive Summary &amp; Objective</w:t>
      </w:r>
    </w:p>
    <w:p>
      <w:pPr>
        <w:spacing w:line="276" w:lineRule="auto" w:after="120"/>
      </w:pPr>
      <w:r>
        <w:t>The primary objective of this project is to develop an Artificial Intelligence (AI) system capable of predicting student academic performance accurately and proactively, well before final summative examinations take place. In traditional educational environments, performance assessment is often conducted post-facto. By the time final examination results are published, students, educators, and institutional mentors lack the opportunity to carry out corrective academic interventions.</w:t>
      </w:r>
    </w:p>
    <w:p>
      <w:pPr>
        <w:spacing w:line="276" w:lineRule="auto" w:after="160"/>
      </w:pPr>
      <w:r>
        <w:t>By employing Educational Data Mining (EDM) and Supervised Machine Learning Classification techniques, this system synthesizes four foundational academic dimensions—classroom attendance, continuous assignment scores, internal examination assessments, and daily self-study habits. It categorizes students into four distinct performance tiers (Excellent, Good, Average, and Poor), and incorporates an Advanced Diagnostic Feature that detects specific weak areas, compares them against institutional benchmarks, and compiles personalized, prioritized study remediation plans.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Arial" w:hAnsi="Arial"/>
                <w:b/>
                <w:color w:val="1B365D"/>
                <w:sz w:val="20"/>
              </w:rPr>
              <w:t xml:space="preserve">[CORE OBJECTIVE] </w:t>
            </w:r>
            <w:r>
              <w:rPr>
                <w:rFonts w:ascii="Arial" w:hAnsi="Arial"/>
                <w:color w:val="2D3748"/>
                <w:sz w:val="19"/>
              </w:rPr>
              <w:t>System Objective Statement: To engineer an interpretable, transparent, and responsive AI classification system that accurately classifies student academic trajectory and delivers prescriptive, actionable pedagogical recommendations.</w:t>
            </w:r>
          </w:p>
        </w:tc>
      </w:tr>
    </w:tbl>
    <w:p>
      <w:pPr>
        <w:spacing w:before="0" w:after="120"/>
      </w:pPr>
    </w:p>
    <w:p>
      <w:pPr>
        <w:keepNext/>
        <w:spacing w:before="320" w:after="160"/>
      </w:pPr>
      <w:r>
        <w:rPr>
          <w:rFonts w:ascii="Arial" w:hAnsi="Arial"/>
          <w:b/>
          <w:color w:val="1B365D"/>
          <w:sz w:val="32"/>
        </w:rPr>
        <w:t>2. Task 1: Student Details Intake &amp; Data Validation</w:t>
      </w:r>
    </w:p>
    <w:p>
      <w:pPr>
        <w:spacing w:line="276" w:lineRule="auto" w:after="120"/>
      </w:pPr>
      <w:r>
        <w:t>The first functional task requires capturing comprehensive student information while ensuring strict data integrity, type verification, and boundary compliance. In production educational systems, invalid inputs (such as negative scores, percentage marks exceeding 100, or negative study durations) can corrupt model inferences.</w:t>
      </w:r>
    </w:p>
    <w:p>
      <w:pPr>
        <w:spacing w:after="80"/>
      </w:pPr>
      <w:r>
        <w:t>The system captures two broad categories of information:</w:t>
      </w:r>
    </w:p>
    <w:p>
      <w:pPr>
        <w:pStyle w:val="ListBullet"/>
        <w:spacing w:after="40"/>
      </w:pPr>
      <w:r>
        <w:rPr>
          <w:b/>
        </w:rPr>
        <w:t xml:space="preserve">Student Identification Metadata: </w:t>
      </w:r>
      <w:r>
        <w:t>Student Full Name, Student Roll Number / ID, Academic Cohort / Department.</w:t>
      </w:r>
    </w:p>
    <w:p>
      <w:pPr>
        <w:pStyle w:val="ListBullet"/>
        <w:spacing w:after="120"/>
      </w:pPr>
      <w:r>
        <w:rPr>
          <w:b/>
        </w:rPr>
        <w:t xml:space="preserve">Quantitative Academic Metrics: </w:t>
      </w:r>
      <w:r>
        <w:t>Attendance Percentage, Assignment Score, Internal Assessment Marks, and Daily Independent Study Hours.</w:t>
      </w:r>
    </w:p>
    <w:p>
      <w:pPr>
        <w:spacing w:after="120"/>
      </w:pPr>
      <w:r>
        <w:t>Input Validation Logic: The system incorporates defensive boundary verification routines (`prompt_float`) which reject non-numeric characters and constrain inputs to scientifically permissible domains: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r>
              <w:rPr>
                <w:rFonts w:ascii="Arial" w:hAnsi="Arial"/>
                <w:b/>
                <w:color w:val="FFFFFF"/>
                <w:sz w:val="18"/>
              </w:rPr>
              <w:t>Input Parameter</w:t>
            </w:r>
          </w:p>
        </w:tc>
        <w:tc>
          <w:tcPr>
            <w:tcW w:type="dxa" w:w="2340"/>
            <w:shd w:fill="1B365D"/>
            <w:tcMar>
              <w:top w:w="100" w:type="dxa"/>
              <w:bottom w:w="100" w:type="dxa"/>
              <w:left w:w="120" w:type="dxa"/>
              <w:right w:w="120" w:type="dxa"/>
            </w:tcMar>
          </w:tcPr>
          <w:p>
            <w:r>
              <w:rPr>
                <w:rFonts w:ascii="Arial" w:hAnsi="Arial"/>
                <w:b/>
                <w:color w:val="FFFFFF"/>
                <w:sz w:val="18"/>
              </w:rPr>
              <w:t>Data Type</w:t>
            </w:r>
          </w:p>
        </w:tc>
        <w:tc>
          <w:tcPr>
            <w:tcW w:type="dxa" w:w="2340"/>
            <w:shd w:fill="1B365D"/>
            <w:tcMar>
              <w:top w:w="100" w:type="dxa"/>
              <w:bottom w:w="100" w:type="dxa"/>
              <w:left w:w="120" w:type="dxa"/>
              <w:right w:w="120" w:type="dxa"/>
            </w:tcMar>
          </w:tcPr>
          <w:p>
            <w:r>
              <w:rPr>
                <w:rFonts w:ascii="Arial" w:hAnsi="Arial"/>
                <w:b/>
                <w:color w:val="FFFFFF"/>
                <w:sz w:val="18"/>
              </w:rPr>
              <w:t>Permissible Range</w:t>
            </w:r>
          </w:p>
        </w:tc>
        <w:tc>
          <w:tcPr>
            <w:tcW w:type="dxa" w:w="2340"/>
            <w:shd w:fill="1B365D"/>
            <w:tcMar>
              <w:top w:w="100" w:type="dxa"/>
              <w:bottom w:w="100" w:type="dxa"/>
              <w:left w:w="120" w:type="dxa"/>
              <w:right w:w="120" w:type="dxa"/>
            </w:tcMar>
          </w:tcPr>
          <w:p>
            <w:r>
              <w:rPr>
                <w:rFonts w:ascii="Arial" w:hAnsi="Arial"/>
                <w:b/>
                <w:color w:val="FFFFFF"/>
                <w:sz w:val="18"/>
              </w:rPr>
              <w:t>Institutional Context</w:t>
            </w:r>
          </w:p>
        </w:tc>
      </w:tr>
      <w:tr>
        <w:tc>
          <w:tcPr>
            <w:tcW w:type="dxa" w:w="2340"/>
            <w:shd w:fill="F7FAFC"/>
            <w:tcMar>
              <w:top w:w="80" w:type="dxa"/>
              <w:bottom w:w="80" w:type="dxa"/>
              <w:left w:w="100" w:type="dxa"/>
              <w:right w:w="100" w:type="dxa"/>
            </w:tcMar>
          </w:tcPr>
          <w:p>
            <w:pPr>
              <w:spacing w:after="0"/>
            </w:pPr>
            <w:r>
              <w:rPr>
                <w:rFonts w:ascii="Arial" w:hAnsi="Arial"/>
                <w:color w:val="2D3748"/>
                <w:sz w:val="18"/>
              </w:rPr>
              <w:t>Student Name &amp; Roll No</w:t>
            </w:r>
          </w:p>
        </w:tc>
        <w:tc>
          <w:tcPr>
            <w:tcW w:type="dxa" w:w="2340"/>
            <w:shd w:fill="F7FAFC"/>
            <w:tcMar>
              <w:top w:w="80" w:type="dxa"/>
              <w:bottom w:w="80" w:type="dxa"/>
              <w:left w:w="100" w:type="dxa"/>
              <w:right w:w="100" w:type="dxa"/>
            </w:tcMar>
          </w:tcPr>
          <w:p>
            <w:pPr>
              <w:spacing w:after="0"/>
            </w:pPr>
            <w:r>
              <w:rPr>
                <w:rFonts w:ascii="Arial" w:hAnsi="Arial"/>
                <w:color w:val="2D3748"/>
                <w:sz w:val="18"/>
              </w:rPr>
              <w:t>String</w:t>
            </w:r>
          </w:p>
        </w:tc>
        <w:tc>
          <w:tcPr>
            <w:tcW w:type="dxa" w:w="2340"/>
            <w:shd w:fill="F7FAFC"/>
            <w:tcMar>
              <w:top w:w="80" w:type="dxa"/>
              <w:bottom w:w="80" w:type="dxa"/>
              <w:left w:w="100" w:type="dxa"/>
              <w:right w:w="100" w:type="dxa"/>
            </w:tcMar>
          </w:tcPr>
          <w:p>
            <w:pPr>
              <w:spacing w:after="0"/>
            </w:pPr>
            <w:r>
              <w:rPr>
                <w:rFonts w:ascii="Arial" w:hAnsi="Arial"/>
                <w:color w:val="2D3748"/>
                <w:sz w:val="18"/>
              </w:rPr>
              <w:t>Non-empty alphanumeric</w:t>
            </w:r>
          </w:p>
        </w:tc>
        <w:tc>
          <w:tcPr>
            <w:tcW w:type="dxa" w:w="2340"/>
            <w:shd w:fill="F7FAFC"/>
            <w:tcMar>
              <w:top w:w="80" w:type="dxa"/>
              <w:bottom w:w="80" w:type="dxa"/>
              <w:left w:w="100" w:type="dxa"/>
              <w:right w:w="100" w:type="dxa"/>
            </w:tcMar>
          </w:tcPr>
          <w:p>
            <w:pPr>
              <w:spacing w:after="0"/>
            </w:pPr>
            <w:r>
              <w:rPr>
                <w:rFonts w:ascii="Arial" w:hAnsi="Arial"/>
                <w:color w:val="2D3748"/>
                <w:sz w:val="18"/>
              </w:rPr>
              <w:t>Institutional record tracking</w:t>
            </w:r>
          </w:p>
        </w:tc>
      </w:tr>
      <w:tr>
        <w:tc>
          <w:tcPr>
            <w:tcW w:type="dxa" w:w="2340"/>
            <w:shd w:fill="FFFFFF"/>
            <w:tcMar>
              <w:top w:w="80" w:type="dxa"/>
              <w:bottom w:w="80" w:type="dxa"/>
              <w:left w:w="100" w:type="dxa"/>
              <w:right w:w="100" w:type="dxa"/>
            </w:tcMar>
          </w:tcPr>
          <w:p>
            <w:pPr>
              <w:spacing w:after="0"/>
            </w:pPr>
            <w:r>
              <w:rPr>
                <w:rFonts w:ascii="Arial" w:hAnsi="Arial"/>
                <w:color w:val="2D3748"/>
                <w:sz w:val="18"/>
              </w:rPr>
              <w:t>Attendance</w:t>
            </w:r>
          </w:p>
        </w:tc>
        <w:tc>
          <w:tcPr>
            <w:tcW w:type="dxa" w:w="2340"/>
            <w:shd w:fill="FFFFFF"/>
            <w:tcMar>
              <w:top w:w="80" w:type="dxa"/>
              <w:bottom w:w="80" w:type="dxa"/>
              <w:left w:w="100" w:type="dxa"/>
              <w:right w:w="100" w:type="dxa"/>
            </w:tcMar>
          </w:tcPr>
          <w:p>
            <w:pPr>
              <w:spacing w:after="0"/>
            </w:pPr>
            <w:r>
              <w:rPr>
                <w:rFonts w:ascii="Arial" w:hAnsi="Arial"/>
                <w:color w:val="2D3748"/>
                <w:sz w:val="18"/>
              </w:rPr>
              <w:t>Float</w:t>
            </w:r>
          </w:p>
        </w:tc>
        <w:tc>
          <w:tcPr>
            <w:tcW w:type="dxa" w:w="2340"/>
            <w:shd w:fill="FFFFFF"/>
            <w:tcMar>
              <w:top w:w="80" w:type="dxa"/>
              <w:bottom w:w="80" w:type="dxa"/>
              <w:left w:w="100" w:type="dxa"/>
              <w:right w:w="100" w:type="dxa"/>
            </w:tcMar>
          </w:tcPr>
          <w:p>
            <w:pPr>
              <w:spacing w:after="0"/>
            </w:pPr>
            <w:r>
              <w:rPr>
                <w:rFonts w:ascii="Arial" w:hAnsi="Arial"/>
                <w:color w:val="2D3748"/>
                <w:sz w:val="18"/>
              </w:rPr>
              <w:t>0.0% to 100.0%</w:t>
            </w:r>
          </w:p>
        </w:tc>
        <w:tc>
          <w:tcPr>
            <w:tcW w:type="dxa" w:w="2340"/>
            <w:shd w:fill="FFFFFF"/>
            <w:tcMar>
              <w:top w:w="80" w:type="dxa"/>
              <w:bottom w:w="80" w:type="dxa"/>
              <w:left w:w="100" w:type="dxa"/>
              <w:right w:w="100" w:type="dxa"/>
            </w:tcMar>
          </w:tcPr>
          <w:p>
            <w:pPr>
              <w:spacing w:after="0"/>
            </w:pPr>
            <w:r>
              <w:rPr>
                <w:rFonts w:ascii="Arial" w:hAnsi="Arial"/>
                <w:color w:val="2D3748"/>
                <w:sz w:val="18"/>
              </w:rPr>
              <w:t>Lecture &amp; practical laboratory participation</w:t>
            </w:r>
          </w:p>
        </w:tc>
      </w:tr>
      <w:tr>
        <w:tc>
          <w:tcPr>
            <w:tcW w:type="dxa" w:w="2340"/>
            <w:shd w:fill="F7FAFC"/>
            <w:tcMar>
              <w:top w:w="80" w:type="dxa"/>
              <w:bottom w:w="80" w:type="dxa"/>
              <w:left w:w="100" w:type="dxa"/>
              <w:right w:w="100" w:type="dxa"/>
            </w:tcMar>
          </w:tcPr>
          <w:p>
            <w:pPr>
              <w:spacing w:after="0"/>
            </w:pPr>
            <w:r>
              <w:rPr>
                <w:rFonts w:ascii="Arial" w:hAnsi="Arial"/>
                <w:color w:val="2D3748"/>
                <w:sz w:val="18"/>
              </w:rPr>
              <w:t>Assignment Marks</w:t>
            </w:r>
          </w:p>
        </w:tc>
        <w:tc>
          <w:tcPr>
            <w:tcW w:type="dxa" w:w="2340"/>
            <w:shd w:fill="F7FAFC"/>
            <w:tcMar>
              <w:top w:w="80" w:type="dxa"/>
              <w:bottom w:w="80" w:type="dxa"/>
              <w:left w:w="100" w:type="dxa"/>
              <w:right w:w="100" w:type="dxa"/>
            </w:tcMar>
          </w:tcPr>
          <w:p>
            <w:pPr>
              <w:spacing w:after="0"/>
            </w:pPr>
            <w:r>
              <w:rPr>
                <w:rFonts w:ascii="Arial" w:hAnsi="Arial"/>
                <w:color w:val="2D3748"/>
                <w:sz w:val="18"/>
              </w:rPr>
              <w:t>Float</w:t>
            </w:r>
          </w:p>
        </w:tc>
        <w:tc>
          <w:tcPr>
            <w:tcW w:type="dxa" w:w="2340"/>
            <w:shd w:fill="F7FAFC"/>
            <w:tcMar>
              <w:top w:w="80" w:type="dxa"/>
              <w:bottom w:w="80" w:type="dxa"/>
              <w:left w:w="100" w:type="dxa"/>
              <w:right w:w="100" w:type="dxa"/>
            </w:tcMar>
          </w:tcPr>
          <w:p>
            <w:pPr>
              <w:spacing w:after="0"/>
            </w:pPr>
            <w:r>
              <w:rPr>
                <w:rFonts w:ascii="Arial" w:hAnsi="Arial"/>
                <w:color w:val="2D3748"/>
                <w:sz w:val="18"/>
              </w:rPr>
              <w:t>0.0 to 100.0</w:t>
            </w:r>
          </w:p>
        </w:tc>
        <w:tc>
          <w:tcPr>
            <w:tcW w:type="dxa" w:w="2340"/>
            <w:shd w:fill="F7FAFC"/>
            <w:tcMar>
              <w:top w:w="80" w:type="dxa"/>
              <w:bottom w:w="80" w:type="dxa"/>
              <w:left w:w="100" w:type="dxa"/>
              <w:right w:w="100" w:type="dxa"/>
            </w:tcMar>
          </w:tcPr>
          <w:p>
            <w:pPr>
              <w:spacing w:after="0"/>
            </w:pPr>
            <w:r>
              <w:rPr>
                <w:rFonts w:ascii="Arial" w:hAnsi="Arial"/>
                <w:color w:val="2D3748"/>
                <w:sz w:val="18"/>
              </w:rPr>
              <w:t>Periodic coursework, projects &amp; continuous credit</w:t>
            </w:r>
          </w:p>
        </w:tc>
      </w:tr>
      <w:tr>
        <w:tc>
          <w:tcPr>
            <w:tcW w:type="dxa" w:w="2340"/>
            <w:shd w:fill="FFFFFF"/>
            <w:tcMar>
              <w:top w:w="80" w:type="dxa"/>
              <w:bottom w:w="80" w:type="dxa"/>
              <w:left w:w="100" w:type="dxa"/>
              <w:right w:w="100" w:type="dxa"/>
            </w:tcMar>
          </w:tcPr>
          <w:p>
            <w:pPr>
              <w:spacing w:after="0"/>
            </w:pPr>
            <w:r>
              <w:rPr>
                <w:rFonts w:ascii="Arial" w:hAnsi="Arial"/>
                <w:color w:val="2D3748"/>
                <w:sz w:val="18"/>
              </w:rPr>
              <w:t>Internal Marks</w:t>
            </w:r>
          </w:p>
        </w:tc>
        <w:tc>
          <w:tcPr>
            <w:tcW w:type="dxa" w:w="2340"/>
            <w:shd w:fill="FFFFFF"/>
            <w:tcMar>
              <w:top w:w="80" w:type="dxa"/>
              <w:bottom w:w="80" w:type="dxa"/>
              <w:left w:w="100" w:type="dxa"/>
              <w:right w:w="100" w:type="dxa"/>
            </w:tcMar>
          </w:tcPr>
          <w:p>
            <w:pPr>
              <w:spacing w:after="0"/>
            </w:pPr>
            <w:r>
              <w:rPr>
                <w:rFonts w:ascii="Arial" w:hAnsi="Arial"/>
                <w:color w:val="2D3748"/>
                <w:sz w:val="18"/>
              </w:rPr>
              <w:t>Float</w:t>
            </w:r>
          </w:p>
        </w:tc>
        <w:tc>
          <w:tcPr>
            <w:tcW w:type="dxa" w:w="2340"/>
            <w:shd w:fill="FFFFFF"/>
            <w:tcMar>
              <w:top w:w="80" w:type="dxa"/>
              <w:bottom w:w="80" w:type="dxa"/>
              <w:left w:w="100" w:type="dxa"/>
              <w:right w:w="100" w:type="dxa"/>
            </w:tcMar>
          </w:tcPr>
          <w:p>
            <w:pPr>
              <w:spacing w:after="0"/>
            </w:pPr>
            <w:r>
              <w:rPr>
                <w:rFonts w:ascii="Arial" w:hAnsi="Arial"/>
                <w:color w:val="2D3748"/>
                <w:sz w:val="18"/>
              </w:rPr>
              <w:t>0.0 to 100.0</w:t>
            </w:r>
          </w:p>
        </w:tc>
        <w:tc>
          <w:tcPr>
            <w:tcW w:type="dxa" w:w="2340"/>
            <w:shd w:fill="FFFFFF"/>
            <w:tcMar>
              <w:top w:w="80" w:type="dxa"/>
              <w:bottom w:w="80" w:type="dxa"/>
              <w:left w:w="100" w:type="dxa"/>
              <w:right w:w="100" w:type="dxa"/>
            </w:tcMar>
          </w:tcPr>
          <w:p>
            <w:pPr>
              <w:spacing w:after="0"/>
            </w:pPr>
            <w:r>
              <w:rPr>
                <w:rFonts w:ascii="Arial" w:hAnsi="Arial"/>
                <w:color w:val="2D3748"/>
                <w:sz w:val="18"/>
              </w:rPr>
              <w:t>Mid-term &amp; continuous assessment evaluations</w:t>
            </w:r>
          </w:p>
        </w:tc>
      </w:tr>
      <w:tr>
        <w:tc>
          <w:tcPr>
            <w:tcW w:type="dxa" w:w="2340"/>
            <w:shd w:fill="F7FAFC"/>
            <w:tcMar>
              <w:top w:w="80" w:type="dxa"/>
              <w:bottom w:w="80" w:type="dxa"/>
              <w:left w:w="100" w:type="dxa"/>
              <w:right w:w="100" w:type="dxa"/>
            </w:tcMar>
          </w:tcPr>
          <w:p>
            <w:pPr>
              <w:spacing w:after="0"/>
            </w:pPr>
            <w:r>
              <w:rPr>
                <w:rFonts w:ascii="Arial" w:hAnsi="Arial"/>
                <w:color w:val="2D3748"/>
                <w:sz w:val="18"/>
              </w:rPr>
              <w:t>Study Hours</w:t>
            </w:r>
          </w:p>
        </w:tc>
        <w:tc>
          <w:tcPr>
            <w:tcW w:type="dxa" w:w="2340"/>
            <w:shd w:fill="F7FAFC"/>
            <w:tcMar>
              <w:top w:w="80" w:type="dxa"/>
              <w:bottom w:w="80" w:type="dxa"/>
              <w:left w:w="100" w:type="dxa"/>
              <w:right w:w="100" w:type="dxa"/>
            </w:tcMar>
          </w:tcPr>
          <w:p>
            <w:pPr>
              <w:spacing w:after="0"/>
            </w:pPr>
            <w:r>
              <w:rPr>
                <w:rFonts w:ascii="Arial" w:hAnsi="Arial"/>
                <w:color w:val="2D3748"/>
                <w:sz w:val="18"/>
              </w:rPr>
              <w:t>Float</w:t>
            </w:r>
          </w:p>
        </w:tc>
        <w:tc>
          <w:tcPr>
            <w:tcW w:type="dxa" w:w="2340"/>
            <w:shd w:fill="F7FAFC"/>
            <w:tcMar>
              <w:top w:w="80" w:type="dxa"/>
              <w:bottom w:w="80" w:type="dxa"/>
              <w:left w:w="100" w:type="dxa"/>
              <w:right w:w="100" w:type="dxa"/>
            </w:tcMar>
          </w:tcPr>
          <w:p>
            <w:pPr>
              <w:spacing w:after="0"/>
            </w:pPr>
            <w:r>
              <w:rPr>
                <w:rFonts w:ascii="Arial" w:hAnsi="Arial"/>
                <w:color w:val="2D3748"/>
                <w:sz w:val="18"/>
              </w:rPr>
              <w:t>0.0 to 16.0 hrs/day</w:t>
            </w:r>
          </w:p>
        </w:tc>
        <w:tc>
          <w:tcPr>
            <w:tcW w:type="dxa" w:w="2340"/>
            <w:shd w:fill="F7FAFC"/>
            <w:tcMar>
              <w:top w:w="80" w:type="dxa"/>
              <w:bottom w:w="80" w:type="dxa"/>
              <w:left w:w="100" w:type="dxa"/>
              <w:right w:w="100" w:type="dxa"/>
            </w:tcMar>
          </w:tcPr>
          <w:p>
            <w:pPr>
              <w:spacing w:after="0"/>
            </w:pPr>
            <w:r>
              <w:rPr>
                <w:rFonts w:ascii="Arial" w:hAnsi="Arial"/>
                <w:color w:val="2D3748"/>
                <w:sz w:val="18"/>
              </w:rPr>
              <w:t>Dedicated independent self-study duration</w:t>
            </w:r>
          </w:p>
        </w:tc>
      </w:tr>
    </w:tbl>
    <w:p>
      <w:pPr>
        <w:spacing w:after="160"/>
      </w:pPr>
    </w:p>
    <w:p>
      <w:pPr>
        <w:keepNext/>
        <w:spacing w:before="320" w:after="160"/>
      </w:pPr>
      <w:r>
        <w:rPr>
          <w:rFonts w:ascii="Arial" w:hAnsi="Arial"/>
          <w:b/>
          <w:color w:val="1B365D"/>
          <w:sz w:val="32"/>
        </w:rPr>
        <w:t>3. Task 2: Academic Metrics Considered &amp; Their Significance</w:t>
      </w:r>
    </w:p>
    <w:p>
      <w:pPr>
        <w:spacing w:line="276" w:lineRule="auto" w:after="120"/>
      </w:pPr>
      <w:r>
        <w:t>The performance predictor considers four critical academic dimensions. Each parameter captures a distinct facet of a student's cognitive engagement and educational discipline:</w:t>
      </w:r>
    </w:p>
    <w:p>
      <w:pPr>
        <w:spacing w:after="80" w:line="276" w:lineRule="auto"/>
      </w:pPr>
      <w:r>
        <w:rPr>
          <w:rFonts w:ascii="Arial" w:hAnsi="Arial"/>
          <w:b/>
          <w:color w:val="2B6CB0"/>
        </w:rPr>
        <w:t xml:space="preserve">1. Attendance Percentage (%): </w:t>
      </w:r>
      <w:r>
        <w:rPr>
          <w:rFonts w:ascii="Arial" w:hAnsi="Arial"/>
          <w:color w:val="2D3748"/>
        </w:rPr>
        <w:t>Measures physical presence and engagement across theory lectures and practical laboratories. In higher education, a strict statutory threshold (typically 75% or 80%) is required for examination eligibility. Regular attendance ensures continuous absorption of core concepts, active instructor contact, and timely awareness of syllabus milestones.</w:t>
      </w:r>
    </w:p>
    <w:p>
      <w:pPr>
        <w:spacing w:after="80" w:line="276" w:lineRule="auto"/>
      </w:pPr>
      <w:r>
        <w:rPr>
          <w:rFonts w:ascii="Arial" w:hAnsi="Arial"/>
          <w:b/>
          <w:color w:val="2B6CB0"/>
        </w:rPr>
        <w:t xml:space="preserve">2. Assignment Marks (out of 100): </w:t>
      </w:r>
      <w:r>
        <w:rPr>
          <w:rFonts w:ascii="Arial" w:hAnsi="Arial"/>
          <w:color w:val="2D3748"/>
        </w:rPr>
        <w:t>Reflects the student's ability to research, solve non-trivial problems, collaborate on project deliverables, and adhere to deadlines. Assignment grades highlight practical understanding and application ability, serving as a leading indicator of continuous academic effort rather than short-term rote memorization.</w:t>
      </w:r>
    </w:p>
    <w:p>
      <w:pPr>
        <w:spacing w:after="80" w:line="276" w:lineRule="auto"/>
      </w:pPr>
      <w:r>
        <w:rPr>
          <w:rFonts w:ascii="Arial" w:hAnsi="Arial"/>
          <w:b/>
          <w:color w:val="2B6CB0"/>
        </w:rPr>
        <w:t xml:space="preserve">3. Internal Marks (out of 100): </w:t>
      </w:r>
      <w:r>
        <w:rPr>
          <w:rFonts w:ascii="Arial" w:hAnsi="Arial"/>
          <w:color w:val="2D3748"/>
        </w:rPr>
        <w:t>Captures summative mid-term and sessional examination performance conducted under invigilated, timed test conditions. Internal tests assess depth of conceptual mastery, examination endurance, and analytical accuracy, showing strong correlation with final university board examination scores.</w:t>
      </w:r>
    </w:p>
    <w:p>
      <w:pPr>
        <w:spacing w:after="80" w:line="276" w:lineRule="auto"/>
      </w:pPr>
      <w:r>
        <w:rPr>
          <w:rFonts w:ascii="Arial" w:hAnsi="Arial"/>
          <w:b/>
          <w:color w:val="2B6CB0"/>
        </w:rPr>
        <w:t xml:space="preserve">4. Daily Study Hours (hrs/day): </w:t>
      </w:r>
      <w:r>
        <w:rPr>
          <w:rFonts w:ascii="Arial" w:hAnsi="Arial"/>
          <w:color w:val="2D3748"/>
        </w:rPr>
        <w:t>Quantifies self-directed learning time outside formal lecture hours. This metric reflects individual dedication, repetition, assignment completion, and mastery of difficult subjects. Research shows study hours have a high Gini gain in segmenting struggling students from high achievers.</w:t>
      </w:r>
    </w:p>
    <w:p>
      <w:pPr>
        <w:keepNext/>
        <w:spacing w:before="320" w:after="160"/>
      </w:pPr>
      <w:r>
        <w:rPr>
          <w:rFonts w:ascii="Arial" w:hAnsi="Arial"/>
          <w:b/>
          <w:color w:val="1B365D"/>
          <w:sz w:val="32"/>
        </w:rPr>
        <w:t>4. Task 3: Performance Prediction Classes &amp; Criteria</w:t>
      </w:r>
    </w:p>
    <w:p>
      <w:pPr>
        <w:spacing w:line="276" w:lineRule="auto" w:after="120"/>
      </w:pPr>
      <w:r>
        <w:t>The system formulates the prediction challenge as a 4-class multi-class classification problem. The target variable Y belongs to the set {Excellent, Good, Average, Poor}. Each class represents a distinct academic cohort requiring a differentiated pedagogical strategy:</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r>
              <w:rPr>
                <w:rFonts w:ascii="Arial" w:hAnsi="Arial"/>
                <w:b/>
                <w:color w:val="FFFFFF"/>
                <w:sz w:val="18"/>
              </w:rPr>
              <w:t>Performance Tier</w:t>
            </w:r>
          </w:p>
        </w:tc>
        <w:tc>
          <w:tcPr>
            <w:tcW w:type="dxa" w:w="2340"/>
            <w:shd w:fill="1B365D"/>
            <w:tcMar>
              <w:top w:w="100" w:type="dxa"/>
              <w:bottom w:w="100" w:type="dxa"/>
              <w:left w:w="120" w:type="dxa"/>
              <w:right w:w="120" w:type="dxa"/>
            </w:tcMar>
          </w:tcPr>
          <w:p>
            <w:r>
              <w:rPr>
                <w:rFonts w:ascii="Arial" w:hAnsi="Arial"/>
                <w:b/>
                <w:color w:val="FFFFFF"/>
                <w:sz w:val="18"/>
              </w:rPr>
              <w:t>Typical Score Bands</w:t>
            </w:r>
          </w:p>
        </w:tc>
        <w:tc>
          <w:tcPr>
            <w:tcW w:type="dxa" w:w="2340"/>
            <w:shd w:fill="1B365D"/>
            <w:tcMar>
              <w:top w:w="100" w:type="dxa"/>
              <w:bottom w:w="100" w:type="dxa"/>
              <w:left w:w="120" w:type="dxa"/>
              <w:right w:w="120" w:type="dxa"/>
            </w:tcMar>
          </w:tcPr>
          <w:p>
            <w:r>
              <w:rPr>
                <w:rFonts w:ascii="Arial" w:hAnsi="Arial"/>
                <w:b/>
                <w:color w:val="FFFFFF"/>
                <w:sz w:val="18"/>
              </w:rPr>
              <w:t>Study Habits</w:t>
            </w:r>
          </w:p>
        </w:tc>
        <w:tc>
          <w:tcPr>
            <w:tcW w:type="dxa" w:w="2340"/>
            <w:shd w:fill="1B365D"/>
            <w:tcMar>
              <w:top w:w="100" w:type="dxa"/>
              <w:bottom w:w="100" w:type="dxa"/>
              <w:left w:w="120" w:type="dxa"/>
              <w:right w:w="120" w:type="dxa"/>
            </w:tcMar>
          </w:tcPr>
          <w:p>
            <w:r>
              <w:rPr>
                <w:rFonts w:ascii="Arial" w:hAnsi="Arial"/>
                <w:b/>
                <w:color w:val="FFFFFF"/>
                <w:sz w:val="18"/>
              </w:rPr>
              <w:t>Academic Status &amp; Meaning</w:t>
            </w:r>
          </w:p>
        </w:tc>
      </w:tr>
      <w:tr>
        <w:tc>
          <w:tcPr>
            <w:tcW w:type="dxa" w:w="2340"/>
            <w:shd w:fill="F7FAFC"/>
            <w:tcMar>
              <w:top w:w="80" w:type="dxa"/>
              <w:bottom w:w="80" w:type="dxa"/>
              <w:left w:w="100" w:type="dxa"/>
              <w:right w:w="100" w:type="dxa"/>
            </w:tcMar>
          </w:tcPr>
          <w:p>
            <w:pPr>
              <w:spacing w:after="0"/>
            </w:pPr>
            <w:r>
              <w:rPr>
                <w:rFonts w:ascii="Arial" w:hAnsi="Arial"/>
                <w:b/>
                <w:color w:val="2D3748"/>
                <w:sz w:val="17"/>
              </w:rPr>
              <w:t>EXCELLENT</w:t>
            </w:r>
          </w:p>
        </w:tc>
        <w:tc>
          <w:tcPr>
            <w:tcW w:type="dxa" w:w="2340"/>
            <w:shd w:fill="F7FAFC"/>
            <w:tcMar>
              <w:top w:w="80" w:type="dxa"/>
              <w:bottom w:w="80" w:type="dxa"/>
              <w:left w:w="100" w:type="dxa"/>
              <w:right w:w="100" w:type="dxa"/>
            </w:tcMar>
          </w:tcPr>
          <w:p>
            <w:pPr>
              <w:spacing w:after="0"/>
            </w:pPr>
            <w:r>
              <w:rPr>
                <w:rFonts w:ascii="Arial" w:hAnsi="Arial"/>
                <w:color w:val="2D3748"/>
                <w:sz w:val="17"/>
              </w:rPr>
              <w:t>Marks: 85-100</w:t>
              <w:br/>
              <w:t>Att: 88-100%</w:t>
            </w:r>
          </w:p>
        </w:tc>
        <w:tc>
          <w:tcPr>
            <w:tcW w:type="dxa" w:w="2340"/>
            <w:shd w:fill="F7FAFC"/>
            <w:tcMar>
              <w:top w:w="80" w:type="dxa"/>
              <w:bottom w:w="80" w:type="dxa"/>
              <w:left w:w="100" w:type="dxa"/>
              <w:right w:w="100" w:type="dxa"/>
            </w:tcMar>
          </w:tcPr>
          <w:p>
            <w:pPr>
              <w:spacing w:after="0"/>
            </w:pPr>
            <w:r>
              <w:rPr>
                <w:rFonts w:ascii="Arial" w:hAnsi="Arial"/>
                <w:color w:val="2D3748"/>
                <w:sz w:val="17"/>
              </w:rPr>
              <w:t>7.0 to 9.5 hrs/day</w:t>
            </w:r>
          </w:p>
        </w:tc>
        <w:tc>
          <w:tcPr>
            <w:tcW w:type="dxa" w:w="2340"/>
            <w:shd w:fill="F7FAFC"/>
            <w:tcMar>
              <w:top w:w="80" w:type="dxa"/>
              <w:bottom w:w="80" w:type="dxa"/>
              <w:left w:w="100" w:type="dxa"/>
              <w:right w:w="100" w:type="dxa"/>
            </w:tcMar>
          </w:tcPr>
          <w:p>
            <w:pPr>
              <w:spacing w:after="0"/>
            </w:pPr>
            <w:r>
              <w:rPr>
                <w:rFonts w:ascii="Arial" w:hAnsi="Arial"/>
                <w:color w:val="2D3748"/>
                <w:sz w:val="17"/>
              </w:rPr>
              <w:t>Top-tier student; exemplary mastery and discipline. Candidates for academic honors and peer tutoring.</w:t>
            </w:r>
          </w:p>
        </w:tc>
      </w:tr>
      <w:tr>
        <w:tc>
          <w:tcPr>
            <w:tcW w:type="dxa" w:w="2340"/>
            <w:shd w:fill="FFFFFF"/>
            <w:tcMar>
              <w:top w:w="80" w:type="dxa"/>
              <w:bottom w:w="80" w:type="dxa"/>
              <w:left w:w="100" w:type="dxa"/>
              <w:right w:w="100" w:type="dxa"/>
            </w:tcMar>
          </w:tcPr>
          <w:p>
            <w:pPr>
              <w:spacing w:after="0"/>
            </w:pPr>
            <w:r>
              <w:rPr>
                <w:rFonts w:ascii="Arial" w:hAnsi="Arial"/>
                <w:b/>
                <w:color w:val="2D3748"/>
                <w:sz w:val="17"/>
              </w:rPr>
              <w:t>GOOD</w:t>
            </w:r>
          </w:p>
        </w:tc>
        <w:tc>
          <w:tcPr>
            <w:tcW w:type="dxa" w:w="2340"/>
            <w:shd w:fill="FFFFFF"/>
            <w:tcMar>
              <w:top w:w="80" w:type="dxa"/>
              <w:bottom w:w="80" w:type="dxa"/>
              <w:left w:w="100" w:type="dxa"/>
              <w:right w:w="100" w:type="dxa"/>
            </w:tcMar>
          </w:tcPr>
          <w:p>
            <w:pPr>
              <w:spacing w:after="0"/>
            </w:pPr>
            <w:r>
              <w:rPr>
                <w:rFonts w:ascii="Arial" w:hAnsi="Arial"/>
                <w:color w:val="2D3748"/>
                <w:sz w:val="17"/>
              </w:rPr>
              <w:t>Marks: 70-84</w:t>
              <w:br/>
              <w:t>Att: 75-87%</w:t>
            </w:r>
          </w:p>
        </w:tc>
        <w:tc>
          <w:tcPr>
            <w:tcW w:type="dxa" w:w="2340"/>
            <w:shd w:fill="FFFFFF"/>
            <w:tcMar>
              <w:top w:w="80" w:type="dxa"/>
              <w:bottom w:w="80" w:type="dxa"/>
              <w:left w:w="100" w:type="dxa"/>
              <w:right w:w="100" w:type="dxa"/>
            </w:tcMar>
          </w:tcPr>
          <w:p>
            <w:pPr>
              <w:spacing w:after="0"/>
            </w:pPr>
            <w:r>
              <w:rPr>
                <w:rFonts w:ascii="Arial" w:hAnsi="Arial"/>
                <w:color w:val="2D3748"/>
                <w:sz w:val="17"/>
              </w:rPr>
              <w:t>4.5 to 6.8 hrs/day</w:t>
            </w:r>
          </w:p>
        </w:tc>
        <w:tc>
          <w:tcPr>
            <w:tcW w:type="dxa" w:w="2340"/>
            <w:shd w:fill="FFFFFF"/>
            <w:tcMar>
              <w:top w:w="80" w:type="dxa"/>
              <w:bottom w:w="80" w:type="dxa"/>
              <w:left w:w="100" w:type="dxa"/>
              <w:right w:w="100" w:type="dxa"/>
            </w:tcMar>
          </w:tcPr>
          <w:p>
            <w:pPr>
              <w:spacing w:after="0"/>
            </w:pPr>
            <w:r>
              <w:rPr>
                <w:rFonts w:ascii="Arial" w:hAnsi="Arial"/>
                <w:color w:val="2D3748"/>
                <w:sz w:val="17"/>
              </w:rPr>
              <w:t>Above-average student; consistent performance. Minor refinements needed to push into the top honor tier.</w:t>
            </w:r>
          </w:p>
        </w:tc>
      </w:tr>
      <w:tr>
        <w:tc>
          <w:tcPr>
            <w:tcW w:type="dxa" w:w="2340"/>
            <w:shd w:fill="F7FAFC"/>
            <w:tcMar>
              <w:top w:w="80" w:type="dxa"/>
              <w:bottom w:w="80" w:type="dxa"/>
              <w:left w:w="100" w:type="dxa"/>
              <w:right w:w="100" w:type="dxa"/>
            </w:tcMar>
          </w:tcPr>
          <w:p>
            <w:pPr>
              <w:spacing w:after="0"/>
            </w:pPr>
            <w:r>
              <w:rPr>
                <w:rFonts w:ascii="Arial" w:hAnsi="Arial"/>
                <w:b/>
                <w:color w:val="2D3748"/>
                <w:sz w:val="17"/>
              </w:rPr>
              <w:t>AVERAGE</w:t>
            </w:r>
          </w:p>
        </w:tc>
        <w:tc>
          <w:tcPr>
            <w:tcW w:type="dxa" w:w="2340"/>
            <w:shd w:fill="F7FAFC"/>
            <w:tcMar>
              <w:top w:w="80" w:type="dxa"/>
              <w:bottom w:w="80" w:type="dxa"/>
              <w:left w:w="100" w:type="dxa"/>
              <w:right w:w="100" w:type="dxa"/>
            </w:tcMar>
          </w:tcPr>
          <w:p>
            <w:pPr>
              <w:spacing w:after="0"/>
            </w:pPr>
            <w:r>
              <w:rPr>
                <w:rFonts w:ascii="Arial" w:hAnsi="Arial"/>
                <w:color w:val="2D3748"/>
                <w:sz w:val="17"/>
              </w:rPr>
              <w:t>Marks: 50-69</w:t>
              <w:br/>
              <w:t>Att: 60-74%</w:t>
            </w:r>
          </w:p>
        </w:tc>
        <w:tc>
          <w:tcPr>
            <w:tcW w:type="dxa" w:w="2340"/>
            <w:shd w:fill="F7FAFC"/>
            <w:tcMar>
              <w:top w:w="80" w:type="dxa"/>
              <w:bottom w:w="80" w:type="dxa"/>
              <w:left w:w="100" w:type="dxa"/>
              <w:right w:w="100" w:type="dxa"/>
            </w:tcMar>
          </w:tcPr>
          <w:p>
            <w:pPr>
              <w:spacing w:after="0"/>
            </w:pPr>
            <w:r>
              <w:rPr>
                <w:rFonts w:ascii="Arial" w:hAnsi="Arial"/>
                <w:color w:val="2D3748"/>
                <w:sz w:val="17"/>
              </w:rPr>
              <w:t>2.8 to 4.5 hrs/day</w:t>
            </w:r>
          </w:p>
        </w:tc>
        <w:tc>
          <w:tcPr>
            <w:tcW w:type="dxa" w:w="2340"/>
            <w:shd w:fill="F7FAFC"/>
            <w:tcMar>
              <w:top w:w="80" w:type="dxa"/>
              <w:bottom w:w="80" w:type="dxa"/>
              <w:left w:w="100" w:type="dxa"/>
              <w:right w:w="100" w:type="dxa"/>
            </w:tcMar>
          </w:tcPr>
          <w:p>
            <w:pPr>
              <w:spacing w:after="0"/>
            </w:pPr>
            <w:r>
              <w:rPr>
                <w:rFonts w:ascii="Arial" w:hAnsi="Arial"/>
                <w:color w:val="2D3748"/>
                <w:sz w:val="17"/>
              </w:rPr>
              <w:t>Moderate performance; vulnerable to falling behind. Inconsistent attendance or exam preparation.</w:t>
            </w:r>
          </w:p>
        </w:tc>
      </w:tr>
      <w:tr>
        <w:tc>
          <w:tcPr>
            <w:tcW w:type="dxa" w:w="2340"/>
            <w:shd w:fill="FFFFFF"/>
            <w:tcMar>
              <w:top w:w="80" w:type="dxa"/>
              <w:bottom w:w="80" w:type="dxa"/>
              <w:left w:w="100" w:type="dxa"/>
              <w:right w:w="100" w:type="dxa"/>
            </w:tcMar>
          </w:tcPr>
          <w:p>
            <w:pPr>
              <w:spacing w:after="0"/>
            </w:pPr>
            <w:r>
              <w:rPr>
                <w:rFonts w:ascii="Arial" w:hAnsi="Arial"/>
                <w:b/>
                <w:color w:val="2D3748"/>
                <w:sz w:val="17"/>
              </w:rPr>
              <w:t>POOR</w:t>
            </w:r>
          </w:p>
        </w:tc>
        <w:tc>
          <w:tcPr>
            <w:tcW w:type="dxa" w:w="2340"/>
            <w:shd w:fill="FFFFFF"/>
            <w:tcMar>
              <w:top w:w="80" w:type="dxa"/>
              <w:bottom w:w="80" w:type="dxa"/>
              <w:left w:w="100" w:type="dxa"/>
              <w:right w:w="100" w:type="dxa"/>
            </w:tcMar>
          </w:tcPr>
          <w:p>
            <w:pPr>
              <w:spacing w:after="0"/>
            </w:pPr>
            <w:r>
              <w:rPr>
                <w:rFonts w:ascii="Arial" w:hAnsi="Arial"/>
                <w:color w:val="2D3748"/>
                <w:sz w:val="17"/>
              </w:rPr>
              <w:t>Marks: &lt; 50</w:t>
              <w:br/>
              <w:t>Att: &lt; 60%</w:t>
            </w:r>
          </w:p>
        </w:tc>
        <w:tc>
          <w:tcPr>
            <w:tcW w:type="dxa" w:w="2340"/>
            <w:shd w:fill="FFFFFF"/>
            <w:tcMar>
              <w:top w:w="80" w:type="dxa"/>
              <w:bottom w:w="80" w:type="dxa"/>
              <w:left w:w="100" w:type="dxa"/>
              <w:right w:w="100" w:type="dxa"/>
            </w:tcMar>
          </w:tcPr>
          <w:p>
            <w:pPr>
              <w:spacing w:after="0"/>
            </w:pPr>
            <w:r>
              <w:rPr>
                <w:rFonts w:ascii="Arial" w:hAnsi="Arial"/>
                <w:color w:val="2D3748"/>
                <w:sz w:val="17"/>
              </w:rPr>
              <w:t>&lt; 2.5 hrs/day</w:t>
            </w:r>
          </w:p>
        </w:tc>
        <w:tc>
          <w:tcPr>
            <w:tcW w:type="dxa" w:w="2340"/>
            <w:shd w:fill="FFFFFF"/>
            <w:tcMar>
              <w:top w:w="80" w:type="dxa"/>
              <w:bottom w:w="80" w:type="dxa"/>
              <w:left w:w="100" w:type="dxa"/>
              <w:right w:w="100" w:type="dxa"/>
            </w:tcMar>
          </w:tcPr>
          <w:p>
            <w:pPr>
              <w:spacing w:after="0"/>
            </w:pPr>
            <w:r>
              <w:rPr>
                <w:rFonts w:ascii="Arial" w:hAnsi="Arial"/>
                <w:color w:val="2D3748"/>
                <w:sz w:val="17"/>
              </w:rPr>
              <w:t>Critical academic risk; failure or examination debarment imminent without immediate structured intervention.</w:t>
            </w:r>
          </w:p>
        </w:tc>
      </w:tr>
    </w:tbl>
    <w:p>
      <w:pPr>
        <w:spacing w:after="160"/>
      </w:pPr>
    </w:p>
    <w:p>
      <w:pPr>
        <w:keepNext/>
        <w:spacing w:before="320" w:after="160"/>
      </w:pPr>
      <w:r>
        <w:rPr>
          <w:rFonts w:ascii="Arial" w:hAnsi="Arial"/>
          <w:b/>
          <w:color w:val="1B365D"/>
          <w:sz w:val="32"/>
        </w:rPr>
        <w:t>5. Task 4 &amp; Advanced Feature: Diagnostic Gap Analysis &amp; Suggestions</w:t>
      </w:r>
    </w:p>
    <w:p>
      <w:pPr>
        <w:spacing w:line="276" w:lineRule="auto" w:after="120"/>
      </w:pPr>
      <w:r>
        <w:t>A critical limitation of conventional ML prediction systems is that they output an opaque label (e.g. 'Poor') without explaining why the prediction was made or what actionable steps the student can take to improve. To solve this, our system introduces an Advanced Diagnostic Feature:</w:t>
      </w:r>
    </w:p>
    <w:p>
      <w:pPr>
        <w:pStyle w:val="ListBullet"/>
        <w:spacing w:after="60"/>
      </w:pPr>
      <w:r>
        <w:rPr>
          <w:b/>
        </w:rPr>
        <w:t xml:space="preserve">Parametric Gap Analysis: </w:t>
      </w:r>
      <w:r>
        <w:t>Each of the student's 4 metrics is compared against institutional excellence benchmarks.</w:t>
      </w:r>
    </w:p>
    <w:p>
      <w:pPr>
        <w:pStyle w:val="ListBullet"/>
        <w:spacing w:after="60"/>
      </w:pPr>
      <w:r>
        <w:rPr>
          <w:b/>
        </w:rPr>
        <w:t xml:space="preserve">Multi-Tier Severity Classification: </w:t>
      </w:r>
      <w:r>
        <w:t>Deficiencies are dynamically mapped to 'Critical', 'Moderate', or 'Minor' priority.</w:t>
      </w:r>
    </w:p>
    <w:p>
      <w:pPr>
        <w:pStyle w:val="ListBullet"/>
        <w:spacing w:after="60"/>
      </w:pPr>
      <w:r>
        <w:rPr>
          <w:b/>
        </w:rPr>
        <w:t xml:space="preserve">Prescriptive Action Planning: </w:t>
      </w:r>
      <w:r>
        <w:t>Generates a structured, numbered remediation plan with weekly targets.</w:t>
      </w:r>
    </w:p>
    <w:p>
      <w:pPr>
        <w:pStyle w:val="ListBullet"/>
        <w:spacing w:after="60"/>
      </w:pPr>
      <w:r>
        <w:rPr>
          <w:b/>
        </w:rPr>
        <w:t xml:space="preserve">Cross-Parameter Anomaly Detection: </w:t>
      </w:r>
      <w:r>
        <w:t>Detects cognitive imbalances, such as students who study long hours but score poorly on internal tests, signaling passive studying rather than active recall.</w:t>
      </w:r>
    </w:p>
    <w:p>
      <w:pPr>
        <w:spacing w:before="120" w:after="80"/>
      </w:pPr>
      <w:r>
        <w:t>Diagnostic Rule &amp; Severity Benchmark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r>
              <w:rPr>
                <w:rFonts w:ascii="Arial" w:hAnsi="Arial"/>
                <w:b/>
                <w:color w:val="FFFFFF"/>
                <w:sz w:val="18"/>
              </w:rPr>
              <w:t>Academic Metric</w:t>
            </w:r>
          </w:p>
        </w:tc>
        <w:tc>
          <w:tcPr>
            <w:tcW w:type="dxa" w:w="2340"/>
            <w:shd w:fill="1B365D"/>
            <w:tcMar>
              <w:top w:w="100" w:type="dxa"/>
              <w:bottom w:w="100" w:type="dxa"/>
              <w:left w:w="120" w:type="dxa"/>
              <w:right w:w="120" w:type="dxa"/>
            </w:tcMar>
          </w:tcPr>
          <w:p>
            <w:r>
              <w:rPr>
                <w:rFonts w:ascii="Arial" w:hAnsi="Arial"/>
                <w:b/>
                <w:color w:val="FFFFFF"/>
                <w:sz w:val="18"/>
              </w:rPr>
              <w:t>Critical Threshold</w:t>
            </w:r>
          </w:p>
        </w:tc>
        <w:tc>
          <w:tcPr>
            <w:tcW w:type="dxa" w:w="2340"/>
            <w:shd w:fill="1B365D"/>
            <w:tcMar>
              <w:top w:w="100" w:type="dxa"/>
              <w:bottom w:w="100" w:type="dxa"/>
              <w:left w:w="120" w:type="dxa"/>
              <w:right w:w="120" w:type="dxa"/>
            </w:tcMar>
          </w:tcPr>
          <w:p>
            <w:r>
              <w:rPr>
                <w:rFonts w:ascii="Arial" w:hAnsi="Arial"/>
                <w:b/>
                <w:color w:val="FFFFFF"/>
                <w:sz w:val="18"/>
              </w:rPr>
              <w:t>Moderate Threshold</w:t>
            </w:r>
          </w:p>
        </w:tc>
        <w:tc>
          <w:tcPr>
            <w:tcW w:type="dxa" w:w="2340"/>
            <w:shd w:fill="1B365D"/>
            <w:tcMar>
              <w:top w:w="100" w:type="dxa"/>
              <w:bottom w:w="100" w:type="dxa"/>
              <w:left w:w="120" w:type="dxa"/>
              <w:right w:w="120" w:type="dxa"/>
            </w:tcMar>
          </w:tcPr>
          <w:p>
            <w:r>
              <w:rPr>
                <w:rFonts w:ascii="Arial" w:hAnsi="Arial"/>
                <w:b/>
                <w:color w:val="FFFFFF"/>
                <w:sz w:val="18"/>
              </w:rPr>
              <w:t>Minor / Excellent Benchmark</w:t>
            </w:r>
          </w:p>
        </w:tc>
      </w:tr>
      <w:tr>
        <w:tc>
          <w:tcPr>
            <w:tcW w:type="dxa" w:w="2340"/>
            <w:shd w:fill="F7FAFC"/>
            <w:tcMar>
              <w:top w:w="80" w:type="dxa"/>
              <w:bottom w:w="80" w:type="dxa"/>
              <w:left w:w="100" w:type="dxa"/>
              <w:right w:w="100" w:type="dxa"/>
            </w:tcMar>
          </w:tcPr>
          <w:p>
            <w:pPr>
              <w:spacing w:after="0"/>
            </w:pPr>
            <w:r>
              <w:rPr>
                <w:rFonts w:ascii="Arial" w:hAnsi="Arial"/>
                <w:color w:val="2D3748"/>
                <w:sz w:val="17"/>
              </w:rPr>
              <w:t>Attendance (%)</w:t>
            </w:r>
          </w:p>
        </w:tc>
        <w:tc>
          <w:tcPr>
            <w:tcW w:type="dxa" w:w="2340"/>
            <w:shd w:fill="F7FAFC"/>
            <w:tcMar>
              <w:top w:w="80" w:type="dxa"/>
              <w:bottom w:w="80" w:type="dxa"/>
              <w:left w:w="100" w:type="dxa"/>
              <w:right w:w="100" w:type="dxa"/>
            </w:tcMar>
          </w:tcPr>
          <w:p>
            <w:pPr>
              <w:spacing w:after="0"/>
            </w:pPr>
            <w:r>
              <w:rPr>
                <w:rFonts w:ascii="Arial" w:hAnsi="Arial"/>
                <w:color w:val="2D3748"/>
                <w:sz w:val="17"/>
              </w:rPr>
              <w:t>&lt; 60.0% (Risk of debarment)</w:t>
            </w:r>
          </w:p>
        </w:tc>
        <w:tc>
          <w:tcPr>
            <w:tcW w:type="dxa" w:w="2340"/>
            <w:shd w:fill="F7FAFC"/>
            <w:tcMar>
              <w:top w:w="80" w:type="dxa"/>
              <w:bottom w:w="80" w:type="dxa"/>
              <w:left w:w="100" w:type="dxa"/>
              <w:right w:w="100" w:type="dxa"/>
            </w:tcMar>
          </w:tcPr>
          <w:p>
            <w:pPr>
              <w:spacing w:after="0"/>
            </w:pPr>
            <w:r>
              <w:rPr>
                <w:rFonts w:ascii="Arial" w:hAnsi="Arial"/>
                <w:color w:val="2D3748"/>
                <w:sz w:val="17"/>
              </w:rPr>
              <w:t>60.0% to 74.9% (Below standard)</w:t>
            </w:r>
          </w:p>
        </w:tc>
        <w:tc>
          <w:tcPr>
            <w:tcW w:type="dxa" w:w="2340"/>
            <w:shd w:fill="F7FAFC"/>
            <w:tcMar>
              <w:top w:w="80" w:type="dxa"/>
              <w:bottom w:w="80" w:type="dxa"/>
              <w:left w:w="100" w:type="dxa"/>
              <w:right w:w="100" w:type="dxa"/>
            </w:tcMar>
          </w:tcPr>
          <w:p>
            <w:pPr>
              <w:spacing w:after="0"/>
            </w:pPr>
            <w:r>
              <w:rPr>
                <w:rFonts w:ascii="Arial" w:hAnsi="Arial"/>
                <w:color w:val="2D3748"/>
                <w:sz w:val="17"/>
              </w:rPr>
              <w:t>75.0% to 87.9% (Target: &gt;= 88.0%)</w:t>
            </w:r>
          </w:p>
        </w:tc>
      </w:tr>
      <w:tr>
        <w:tc>
          <w:tcPr>
            <w:tcW w:type="dxa" w:w="2340"/>
            <w:shd w:fill="FFFFFF"/>
            <w:tcMar>
              <w:top w:w="80" w:type="dxa"/>
              <w:bottom w:w="80" w:type="dxa"/>
              <w:left w:w="100" w:type="dxa"/>
              <w:right w:w="100" w:type="dxa"/>
            </w:tcMar>
          </w:tcPr>
          <w:p>
            <w:pPr>
              <w:spacing w:after="0"/>
            </w:pPr>
            <w:r>
              <w:rPr>
                <w:rFonts w:ascii="Arial" w:hAnsi="Arial"/>
                <w:color w:val="2D3748"/>
                <w:sz w:val="17"/>
              </w:rPr>
              <w:t>Assignment Marks (/100)</w:t>
            </w:r>
          </w:p>
        </w:tc>
        <w:tc>
          <w:tcPr>
            <w:tcW w:type="dxa" w:w="2340"/>
            <w:shd w:fill="FFFFFF"/>
            <w:tcMar>
              <w:top w:w="80" w:type="dxa"/>
              <w:bottom w:w="80" w:type="dxa"/>
              <w:left w:w="100" w:type="dxa"/>
              <w:right w:w="100" w:type="dxa"/>
            </w:tcMar>
          </w:tcPr>
          <w:p>
            <w:pPr>
              <w:spacing w:after="0"/>
            </w:pPr>
            <w:r>
              <w:rPr>
                <w:rFonts w:ascii="Arial" w:hAnsi="Arial"/>
                <w:color w:val="2D3748"/>
                <w:sz w:val="17"/>
              </w:rPr>
              <w:t>&lt; 55.0 (Severe coursework deficit)</w:t>
            </w:r>
          </w:p>
        </w:tc>
        <w:tc>
          <w:tcPr>
            <w:tcW w:type="dxa" w:w="2340"/>
            <w:shd w:fill="FFFFFF"/>
            <w:tcMar>
              <w:top w:w="80" w:type="dxa"/>
              <w:bottom w:w="80" w:type="dxa"/>
              <w:left w:w="100" w:type="dxa"/>
              <w:right w:w="100" w:type="dxa"/>
            </w:tcMar>
          </w:tcPr>
          <w:p>
            <w:pPr>
              <w:spacing w:after="0"/>
            </w:pPr>
            <w:r>
              <w:rPr>
                <w:rFonts w:ascii="Arial" w:hAnsi="Arial"/>
                <w:color w:val="2D3748"/>
                <w:sz w:val="17"/>
              </w:rPr>
              <w:t>55.0 to 74.9 (Moderate gaps)</w:t>
            </w:r>
          </w:p>
        </w:tc>
        <w:tc>
          <w:tcPr>
            <w:tcW w:type="dxa" w:w="2340"/>
            <w:shd w:fill="FFFFFF"/>
            <w:tcMar>
              <w:top w:w="80" w:type="dxa"/>
              <w:bottom w:w="80" w:type="dxa"/>
              <w:left w:w="100" w:type="dxa"/>
              <w:right w:w="100" w:type="dxa"/>
            </w:tcMar>
          </w:tcPr>
          <w:p>
            <w:pPr>
              <w:spacing w:after="0"/>
            </w:pPr>
            <w:r>
              <w:rPr>
                <w:rFonts w:ascii="Arial" w:hAnsi="Arial"/>
                <w:color w:val="2D3748"/>
                <w:sz w:val="17"/>
              </w:rPr>
              <w:t>75.0 to 85.9 (Target: &gt;= 86.0)</w:t>
            </w:r>
          </w:p>
        </w:tc>
      </w:tr>
      <w:tr>
        <w:tc>
          <w:tcPr>
            <w:tcW w:type="dxa" w:w="2340"/>
            <w:shd w:fill="F7FAFC"/>
            <w:tcMar>
              <w:top w:w="80" w:type="dxa"/>
              <w:bottom w:w="80" w:type="dxa"/>
              <w:left w:w="100" w:type="dxa"/>
              <w:right w:w="100" w:type="dxa"/>
            </w:tcMar>
          </w:tcPr>
          <w:p>
            <w:pPr>
              <w:spacing w:after="0"/>
            </w:pPr>
            <w:r>
              <w:rPr>
                <w:rFonts w:ascii="Arial" w:hAnsi="Arial"/>
                <w:color w:val="2D3748"/>
                <w:sz w:val="17"/>
              </w:rPr>
              <w:t>Internal Marks (/100)</w:t>
            </w:r>
          </w:p>
        </w:tc>
        <w:tc>
          <w:tcPr>
            <w:tcW w:type="dxa" w:w="2340"/>
            <w:shd w:fill="F7FAFC"/>
            <w:tcMar>
              <w:top w:w="80" w:type="dxa"/>
              <w:bottom w:w="80" w:type="dxa"/>
              <w:left w:w="100" w:type="dxa"/>
              <w:right w:w="100" w:type="dxa"/>
            </w:tcMar>
          </w:tcPr>
          <w:p>
            <w:pPr>
              <w:spacing w:after="0"/>
            </w:pPr>
            <w:r>
              <w:rPr>
                <w:rFonts w:ascii="Arial" w:hAnsi="Arial"/>
                <w:color w:val="2D3748"/>
                <w:sz w:val="17"/>
              </w:rPr>
              <w:t>&lt; 55.0 (High exam failure risk)</w:t>
            </w:r>
          </w:p>
        </w:tc>
        <w:tc>
          <w:tcPr>
            <w:tcW w:type="dxa" w:w="2340"/>
            <w:shd w:fill="F7FAFC"/>
            <w:tcMar>
              <w:top w:w="80" w:type="dxa"/>
              <w:bottom w:w="80" w:type="dxa"/>
              <w:left w:w="100" w:type="dxa"/>
              <w:right w:w="100" w:type="dxa"/>
            </w:tcMar>
          </w:tcPr>
          <w:p>
            <w:pPr>
              <w:spacing w:after="0"/>
            </w:pPr>
            <w:r>
              <w:rPr>
                <w:rFonts w:ascii="Arial" w:hAnsi="Arial"/>
                <w:color w:val="2D3748"/>
                <w:sz w:val="17"/>
              </w:rPr>
              <w:t>55.0 to 74.9 (Conceptual lapses)</w:t>
            </w:r>
          </w:p>
        </w:tc>
        <w:tc>
          <w:tcPr>
            <w:tcW w:type="dxa" w:w="2340"/>
            <w:shd w:fill="F7FAFC"/>
            <w:tcMar>
              <w:top w:w="80" w:type="dxa"/>
              <w:bottom w:w="80" w:type="dxa"/>
              <w:left w:w="100" w:type="dxa"/>
              <w:right w:w="100" w:type="dxa"/>
            </w:tcMar>
          </w:tcPr>
          <w:p>
            <w:pPr>
              <w:spacing w:after="0"/>
            </w:pPr>
            <w:r>
              <w:rPr>
                <w:rFonts w:ascii="Arial" w:hAnsi="Arial"/>
                <w:color w:val="2D3748"/>
                <w:sz w:val="17"/>
              </w:rPr>
              <w:t>75.0 to 85.9 (Target: &gt;= 86.0)</w:t>
            </w:r>
          </w:p>
        </w:tc>
      </w:tr>
      <w:tr>
        <w:tc>
          <w:tcPr>
            <w:tcW w:type="dxa" w:w="2340"/>
            <w:shd w:fill="FFFFFF"/>
            <w:tcMar>
              <w:top w:w="80" w:type="dxa"/>
              <w:bottom w:w="80" w:type="dxa"/>
              <w:left w:w="100" w:type="dxa"/>
              <w:right w:w="100" w:type="dxa"/>
            </w:tcMar>
          </w:tcPr>
          <w:p>
            <w:pPr>
              <w:spacing w:after="0"/>
            </w:pPr>
            <w:r>
              <w:rPr>
                <w:rFonts w:ascii="Arial" w:hAnsi="Arial"/>
                <w:color w:val="2D3748"/>
                <w:sz w:val="17"/>
              </w:rPr>
              <w:t>Study Hours (hrs/day)</w:t>
            </w:r>
          </w:p>
        </w:tc>
        <w:tc>
          <w:tcPr>
            <w:tcW w:type="dxa" w:w="2340"/>
            <w:shd w:fill="FFFFFF"/>
            <w:tcMar>
              <w:top w:w="80" w:type="dxa"/>
              <w:bottom w:w="80" w:type="dxa"/>
              <w:left w:w="100" w:type="dxa"/>
              <w:right w:w="100" w:type="dxa"/>
            </w:tcMar>
          </w:tcPr>
          <w:p>
            <w:pPr>
              <w:spacing w:after="0"/>
            </w:pPr>
            <w:r>
              <w:rPr>
                <w:rFonts w:ascii="Arial" w:hAnsi="Arial"/>
                <w:color w:val="2D3748"/>
                <w:sz w:val="17"/>
              </w:rPr>
              <w:t>&lt; 2.5 h (Severe study deficit)</w:t>
            </w:r>
          </w:p>
        </w:tc>
        <w:tc>
          <w:tcPr>
            <w:tcW w:type="dxa" w:w="2340"/>
            <w:shd w:fill="FFFFFF"/>
            <w:tcMar>
              <w:top w:w="80" w:type="dxa"/>
              <w:bottom w:w="80" w:type="dxa"/>
              <w:left w:w="100" w:type="dxa"/>
              <w:right w:w="100" w:type="dxa"/>
            </w:tcMar>
          </w:tcPr>
          <w:p>
            <w:pPr>
              <w:spacing w:after="0"/>
            </w:pPr>
            <w:r>
              <w:rPr>
                <w:rFonts w:ascii="Arial" w:hAnsi="Arial"/>
                <w:color w:val="2D3748"/>
                <w:sz w:val="17"/>
              </w:rPr>
              <w:t>2.5 to 4.9 h (Average effort)</w:t>
            </w:r>
          </w:p>
        </w:tc>
        <w:tc>
          <w:tcPr>
            <w:tcW w:type="dxa" w:w="2340"/>
            <w:shd w:fill="FFFFFF"/>
            <w:tcMar>
              <w:top w:w="80" w:type="dxa"/>
              <w:bottom w:w="80" w:type="dxa"/>
              <w:left w:w="100" w:type="dxa"/>
              <w:right w:w="100" w:type="dxa"/>
            </w:tcMar>
          </w:tcPr>
          <w:p>
            <w:pPr>
              <w:spacing w:after="0"/>
            </w:pPr>
            <w:r>
              <w:rPr>
                <w:rFonts w:ascii="Arial" w:hAnsi="Arial"/>
                <w:color w:val="2D3748"/>
                <w:sz w:val="17"/>
              </w:rPr>
              <w:t>5.0 to 6.9 h (Target: &gt;= 7.0 h)</w:t>
            </w:r>
          </w:p>
        </w:tc>
      </w:tr>
    </w:tbl>
    <w:p>
      <w:pPr>
        <w:spacing w:after="160"/>
      </w:pPr>
    </w:p>
    <w:p>
      <w:pPr>
        <w:keepNext/>
        <w:spacing w:before="320" w:after="160"/>
      </w:pPr>
      <w:r>
        <w:rPr>
          <w:rFonts w:ascii="Arial" w:hAnsi="Arial"/>
          <w:b/>
          <w:color w:val="1B365D"/>
          <w:sz w:val="32"/>
        </w:rPr>
        <w:t>6. Task 5: Displaying Prediction Results (CLI &amp; Web UI)</w:t>
      </w:r>
    </w:p>
    <w:p>
      <w:pPr>
        <w:spacing w:line="276" w:lineRule="auto" w:after="120"/>
      </w:pPr>
      <w:r>
        <w:t>To ensure accessibility across all institutional user groups (students on mobile devices, faculty advisors on desktop computers, and researchers in shell environments), the system delivers prediction outputs through two clean presentation channels:</w:t>
      </w:r>
    </w:p>
    <w:p>
      <w:pPr>
        <w:spacing w:after="80"/>
      </w:pPr>
      <w:r>
        <w:t>1. Comprehensive CLI Report Card Format:</w:t>
      </w:r>
    </w:p>
    <w:tbl>
      <w:tblPr>
        <w:tblW w:type="auto" w:w="0"/>
        <w:jc w:val="center"/>
        <w:tblLook w:firstColumn="1" w:firstRow="1" w:lastColumn="0" w:lastRow="0" w:noHBand="0" w:noVBand="1" w:val="04A0"/>
      </w:tblPr>
      <w:tblGrid>
        <w:gridCol w:w="9360"/>
      </w:tblGrid>
      <w:tr>
        <w:tc>
          <w:tcPr>
            <w:tcW w:type="dxa" w:w="9360"/>
            <w:shd w:fill="1E293B"/>
            <w:tcMar>
              <w:top w:w="100" w:type="dxa"/>
              <w:bottom w:w="100" w:type="dxa"/>
              <w:left w:w="140" w:type="dxa"/>
              <w:right w:w="140" w:type="dxa"/>
            </w:tcMar>
          </w:tcPr>
          <w:p>
            <w:pPr>
              <w:spacing w:after="0"/>
            </w:pPr>
            <w:r>
              <w:rPr>
                <w:rFonts w:ascii="Courier New" w:hAnsi="Courier New"/>
                <w:color w:val="38BDF8"/>
                <w:sz w:val="16"/>
              </w:rPr>
              <w:t>========================================================================</w:t>
              <w:br/>
              <w:t xml:space="preserve">                     STUDENT PERFORMANCE REPORT                         </w:t>
              <w:br/>
              <w:t>========================================================================</w:t>
              <w:br/>
              <w:t xml:space="preserve">  Student Name      : Rohan Verma       | Student ID / Roll : STU-103</w:t>
              <w:br/>
              <w:t>------------------------------------------------------------------------</w:t>
              <w:br/>
              <w:t xml:space="preserve">  INPUT ACADEMIC METRICS:</w:t>
              <w:br/>
              <w:t xml:space="preserve">    1. Attendance       :   66.0 %      | 2. Assignment Marks :  61.0 / 100</w:t>
              <w:br/>
              <w:t xml:space="preserve">    3. Internal Marks   :   58.0 / 100  | 4. Study Hours      :   3.2 hrs/day</w:t>
              <w:br/>
              <w:t>------------------------------------------------------------------------</w:t>
              <w:br/>
              <w:t xml:space="preserve">  PREDICTED PERFORMANCE : AVERAGE       | STATUS: Needs Moderate Improvement</w:t>
              <w:br/>
              <w:t>------------------------------------------------------------------------</w:t>
              <w:br/>
              <w:t xml:space="preserve">  AREAS NEEDING IMPROVEMENT (Diagnostic Analysis):</w:t>
              <w:br/>
              <w:t xml:space="preserve">    Parameter            | Current        | Recommended      | Priority</w:t>
              <w:br/>
              <w:t xml:space="preserve">    Attendance           | 66.0%          | 80.0%+           | Moderate</w:t>
              <w:br/>
              <w:t xml:space="preserve">    Assignment Marks     | 61.0/100       | 80.0/100+        | Moderate</w:t>
              <w:br/>
              <w:t xml:space="preserve">    Internal Marks       | 58.0/100       | 82.0/100+        | Moderate</w:t>
              <w:br/>
              <w:t xml:space="preserve">    Study Hours          | 3.2 hrs/day    | 5.5 - 7.0 hrs/day| Moderate</w:t>
              <w:br/>
              <w:t>------------------------------------------------------------------------</w:t>
              <w:br/>
              <w:t xml:space="preserve">  RECOMMENDED ACTION PLAN:</w:t>
              <w:br/>
              <w:t xml:space="preserve">    [1] Improve weekly attendance to &gt;= 80% to strengthen classroom comprehension.</w:t>
              <w:br/>
              <w:t xml:space="preserve">    [2] Revise past assignment feedback to achieve 80+ in coursework.</w:t>
              <w:br/>
              <w:t xml:space="preserve">    [3] Expand daily independent study from 3.2 hrs to 6.0 hrs/day.</w:t>
              <w:br/>
              <w:t>========================================================================</w:t>
            </w:r>
          </w:p>
        </w:tc>
      </w:tr>
    </w:tbl>
    <w:p>
      <w:pPr>
        <w:spacing w:after="120"/>
      </w:pPr>
    </w:p>
    <w:p>
      <w:pPr>
        <w:spacing w:after="80"/>
      </w:pPr>
      <w:r>
        <w:t>2. Interactive Web Dashboard (web_app.py):</w:t>
      </w:r>
    </w:p>
    <w:p>
      <w:pPr>
        <w:pStyle w:val="ListBullet"/>
        <w:spacing w:after="40"/>
      </w:pPr>
      <w:r>
        <w:rPr>
          <w:b/>
        </w:rPr>
        <w:t xml:space="preserve">Real-Time Metric Sliders: </w:t>
      </w:r>
      <w:r>
        <w:t>Sliders synchronized with numeric input boxes for intuitive manipulation.</w:t>
      </w:r>
    </w:p>
    <w:p>
      <w:pPr>
        <w:pStyle w:val="ListBullet"/>
        <w:spacing w:after="40"/>
      </w:pPr>
      <w:r>
        <w:rPr>
          <w:b/>
        </w:rPr>
        <w:t xml:space="preserve">Preset Academic Profiles: </w:t>
      </w:r>
      <w:r>
        <w:t>One-click loading for Excellent (Aarav), Good (Priya), Average (Rohan), and Poor (Kabir).</w:t>
      </w:r>
    </w:p>
    <w:p>
      <w:pPr>
        <w:pStyle w:val="ListBullet"/>
        <w:spacing w:after="40"/>
      </w:pPr>
      <w:r>
        <w:rPr>
          <w:b/>
        </w:rPr>
        <w:t xml:space="preserve">Color-Coded Visual Badges: </w:t>
      </w:r>
      <w:r>
        <w:t>Emerald Green (Excellent), Sky Blue (Good), Amber (Average), and Rose Red (Poor).</w:t>
      </w:r>
    </w:p>
    <w:p>
      <w:pPr>
        <w:pStyle w:val="ListBullet"/>
        <w:spacing w:after="40"/>
      </w:pPr>
      <w:r>
        <w:rPr>
          <w:b/>
        </w:rPr>
        <w:t xml:space="preserve">Diagnostic Gap Table: </w:t>
      </w:r>
      <w:r>
        <w:t>Displays metrics, targets, and priority badges dynamically.</w:t>
      </w:r>
    </w:p>
    <w:p>
      <w:pPr>
        <w:pStyle w:val="ListBullet"/>
        <w:spacing w:after="40"/>
      </w:pPr>
      <w:r>
        <w:rPr>
          <w:b/>
        </w:rPr>
        <w:t xml:space="preserve">One-Click Report Printing: </w:t>
      </w:r>
      <w:r>
        <w:t>Specialized CSS media query for instant PDF export of student report cards.</w:t>
      </w:r>
    </w:p>
    <w:p>
      <w:pPr>
        <w:keepNext/>
        <w:spacing w:before="320" w:after="160"/>
      </w:pPr>
      <w:r>
        <w:rPr>
          <w:rFonts w:ascii="Arial" w:hAnsi="Arial"/>
          <w:b/>
          <w:color w:val="1B365D"/>
          <w:sz w:val="32"/>
        </w:rPr>
        <w:t>7. AI Concepts Used: Classification &amp; Decision Trees</w:t>
      </w:r>
    </w:p>
    <w:p>
      <w:pPr>
        <w:spacing w:line="276" w:lineRule="auto" w:after="120"/>
      </w:pPr>
      <w:r>
        <w:t>7.1 Machine Learning Classification: Supervised classification is an AI methodology where an algorithm learns a mapping function from training instances characterized by continuous or discrete feature vectors to a set of discrete target labels. In our system, the input vector x = [Attendance, Assignment, Internal, Study_Hours]^T is mapped to y in {Excellent, Good, Average, Poor}.</w:t>
      </w:r>
    </w:p>
    <w:p>
      <w:pPr>
        <w:spacing w:line="276" w:lineRule="auto" w:after="80"/>
      </w:pPr>
      <w:r>
        <w:t>7.2 Why Decision Trees? Decision Trees (CART - Classification and Regression Trees) offer compelling structural advantages over alternative algorithms (such as Deep Neural Networks, Support Vector Machines, or Naive Bayes) in educational settings:</w:t>
      </w:r>
    </w:p>
    <w:p>
      <w:pPr>
        <w:pStyle w:val="ListBullet"/>
        <w:spacing w:after="40"/>
      </w:pPr>
      <w:r>
        <w:rPr>
          <w:b/>
        </w:rPr>
        <w:t xml:space="preserve">Complete White-Box Explainability: </w:t>
      </w:r>
      <w:r>
        <w:t>Unlike black-box models, every classification path can be directly translated into plain-language logical rules (IF ... AND ... THEN).</w:t>
      </w:r>
    </w:p>
    <w:p>
      <w:pPr>
        <w:pStyle w:val="ListBullet"/>
        <w:spacing w:after="40"/>
      </w:pPr>
      <w:r>
        <w:rPr>
          <w:b/>
        </w:rPr>
        <w:t xml:space="preserve">Invariance to Monotonic Transformations: </w:t>
      </w:r>
      <w:r>
        <w:t>Features with differing units (percentages 0-100% vs hours 0-16) do not require normalization or standardization.</w:t>
      </w:r>
    </w:p>
    <w:p>
      <w:pPr>
        <w:pStyle w:val="ListBullet"/>
        <w:spacing w:after="40"/>
      </w:pPr>
      <w:r>
        <w:rPr>
          <w:b/>
        </w:rPr>
        <w:t xml:space="preserve">Handling of Threshold Non-Linearities: </w:t>
      </w:r>
      <w:r>
        <w:t>Institutional rules (such as 75% minimum attendance requirement) naturally manifest as orthogonal tree splits.</w:t>
      </w:r>
    </w:p>
    <w:p>
      <w:pPr>
        <w:pStyle w:val="ListBullet"/>
        <w:spacing w:after="40"/>
      </w:pPr>
      <w:r>
        <w:rPr>
          <w:b/>
        </w:rPr>
        <w:t xml:space="preserve">Rapid Training &amp; Inference: </w:t>
      </w:r>
      <w:r>
        <w:t>Trees compute inferences in O(depth) time, enabling sub-millisecond real-time prediction.</w:t>
      </w:r>
    </w:p>
    <w:p>
      <w:pPr>
        <w:spacing w:after="80"/>
      </w:pPr>
      <w:r>
        <w:t>7.3 Mathematical Splitting Criterion: Gini Impurity: The CART algorithm recursively partitions nodes to minimize Gini Impurity. For a node D containing samples across K = 4 classes, Gini Impurity is defined as: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Arial" w:hAnsi="Arial"/>
                <w:b/>
                <w:color w:val="1B365D"/>
                <w:sz w:val="20"/>
              </w:rPr>
              <w:t xml:space="preserve">[MATHEMATICAL CRITERION] </w:t>
            </w:r>
            <w:r>
              <w:rPr>
                <w:rFonts w:ascii="Arial" w:hAnsi="Arial"/>
                <w:color w:val="2D3748"/>
                <w:sz w:val="19"/>
              </w:rPr>
              <w:t>Gini Impurity Formula:</w:t>
              <w:br/>
              <w:t xml:space="preserve">   IG(D) = 1 - sum_{k=1}^K (p_k)^2</w:t>
              <w:br/>
              <w:br/>
              <w:t>Weighted Gini of Candidate Split on Feature j at Threshold theta:</w:t>
              <w:br/>
              <w:t xml:space="preserve">   IG(D, j, theta) = (|D_L| / |D|) * IG(D_L) + (|D_R| / |D|) * IG(D_R)</w:t>
              <w:br/>
              <w:br/>
              <w:t>Gini Information Gain to Maximize:</w:t>
              <w:br/>
              <w:t xml:space="preserve">   Delta IG = IG(D) - IG(D, j, theta)</w:t>
            </w:r>
          </w:p>
        </w:tc>
      </w:tr>
    </w:tbl>
    <w:p>
      <w:pPr>
        <w:spacing w:before="0" w:after="120"/>
      </w:pPr>
    </w:p>
    <w:p>
      <w:pPr>
        <w:spacing w:after="80"/>
      </w:pPr>
      <w:r>
        <w:t>7.4 Learned Feature Importances:</w:t>
      </w:r>
    </w:p>
    <w:p>
      <w:pPr>
        <w:spacing w:after="80"/>
      </w:pPr>
      <w:r>
        <w:t>Feature importances represent the total normalized reduction in Gini Impurity contributed by each parameter across all tree nodes:</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80" w:type="dxa"/>
              <w:bottom w:w="80" w:type="dxa"/>
              <w:left w:w="100" w:type="dxa"/>
              <w:right w:w="100" w:type="dxa"/>
            </w:tcMar>
          </w:tcPr>
          <w:p>
            <w:r>
              <w:rPr>
                <w:rFonts w:ascii="Arial" w:hAnsi="Arial"/>
                <w:b/>
                <w:color w:val="FFFFFF"/>
                <w:sz w:val="18"/>
              </w:rPr>
              <w:t>Academic Parameter</w:t>
            </w:r>
          </w:p>
        </w:tc>
        <w:tc>
          <w:tcPr>
            <w:tcW w:type="dxa" w:w="3120"/>
            <w:shd w:fill="1B365D"/>
            <w:tcMar>
              <w:top w:w="80" w:type="dxa"/>
              <w:bottom w:w="80" w:type="dxa"/>
              <w:left w:w="100" w:type="dxa"/>
              <w:right w:w="100" w:type="dxa"/>
            </w:tcMar>
          </w:tcPr>
          <w:p>
            <w:r>
              <w:rPr>
                <w:rFonts w:ascii="Arial" w:hAnsi="Arial"/>
                <w:b/>
                <w:color w:val="FFFFFF"/>
                <w:sz w:val="18"/>
              </w:rPr>
              <w:t>Importance Weight (%)</w:t>
            </w:r>
          </w:p>
        </w:tc>
        <w:tc>
          <w:tcPr>
            <w:tcW w:type="dxa" w:w="3120"/>
            <w:shd w:fill="1B365D"/>
            <w:tcMar>
              <w:top w:w="80" w:type="dxa"/>
              <w:bottom w:w="80" w:type="dxa"/>
              <w:left w:w="100" w:type="dxa"/>
              <w:right w:w="100" w:type="dxa"/>
            </w:tcMar>
          </w:tcPr>
          <w:p>
            <w:r>
              <w:rPr>
                <w:rFonts w:ascii="Arial" w:hAnsi="Arial"/>
                <w:b/>
                <w:color w:val="FFFFFF"/>
                <w:sz w:val="18"/>
              </w:rPr>
              <w:t>Visual Representation</w:t>
            </w:r>
          </w:p>
        </w:tc>
      </w:tr>
      <w:tr>
        <w:tc>
          <w:tcPr>
            <w:tcW w:type="dxa" w:w="3120"/>
            <w:shd w:fill="F7FAFC"/>
            <w:tcMar>
              <w:top w:w="80" w:type="dxa"/>
              <w:bottom w:w="80" w:type="dxa"/>
              <w:left w:w="100" w:type="dxa"/>
              <w:right w:w="100" w:type="dxa"/>
            </w:tcMar>
          </w:tcPr>
          <w:p>
            <w:pPr>
              <w:spacing w:after="0"/>
            </w:pPr>
            <w:r>
              <w:rPr>
                <w:rFonts w:ascii="Arial" w:hAnsi="Arial"/>
                <w:color w:val="2D3748"/>
                <w:sz w:val="17"/>
              </w:rPr>
              <w:t>Daily Study Hours</w:t>
            </w:r>
          </w:p>
        </w:tc>
        <w:tc>
          <w:tcPr>
            <w:tcW w:type="dxa" w:w="3120"/>
            <w:shd w:fill="F7FAFC"/>
            <w:tcMar>
              <w:top w:w="80" w:type="dxa"/>
              <w:bottom w:w="80" w:type="dxa"/>
              <w:left w:w="100" w:type="dxa"/>
              <w:right w:w="100" w:type="dxa"/>
            </w:tcMar>
          </w:tcPr>
          <w:p>
            <w:pPr>
              <w:spacing w:after="0"/>
            </w:pPr>
            <w:r>
              <w:rPr>
                <w:rFonts w:ascii="Arial" w:hAnsi="Arial"/>
                <w:b/>
                <w:color w:val="2D3748"/>
                <w:sz w:val="17"/>
              </w:rPr>
              <w:t>59.0%</w:t>
            </w:r>
          </w:p>
        </w:tc>
        <w:tc>
          <w:tcPr>
            <w:tcW w:type="dxa" w:w="3120"/>
            <w:shd w:fill="F7FAFC"/>
            <w:tcMar>
              <w:top w:w="80" w:type="dxa"/>
              <w:bottom w:w="80" w:type="dxa"/>
              <w:left w:w="100" w:type="dxa"/>
              <w:right w:w="100" w:type="dxa"/>
            </w:tcMar>
          </w:tcPr>
          <w:p>
            <w:pPr>
              <w:spacing w:after="0"/>
            </w:pPr>
            <w:r>
              <w:rPr>
                <w:rFonts w:ascii="Arial" w:hAnsi="Arial"/>
                <w:color w:val="2D3748"/>
                <w:sz w:val="17"/>
              </w:rPr>
              <w:t>################## (Primary Discriminator)</w:t>
            </w:r>
          </w:p>
        </w:tc>
      </w:tr>
      <w:tr>
        <w:tc>
          <w:tcPr>
            <w:tcW w:type="dxa" w:w="3120"/>
            <w:shd w:fill="FFFFFF"/>
            <w:tcMar>
              <w:top w:w="80" w:type="dxa"/>
              <w:bottom w:w="80" w:type="dxa"/>
              <w:left w:w="100" w:type="dxa"/>
              <w:right w:w="100" w:type="dxa"/>
            </w:tcMar>
          </w:tcPr>
          <w:p>
            <w:pPr>
              <w:spacing w:after="0"/>
            </w:pPr>
            <w:r>
              <w:rPr>
                <w:rFonts w:ascii="Arial" w:hAnsi="Arial"/>
                <w:color w:val="2D3748"/>
                <w:sz w:val="17"/>
              </w:rPr>
              <w:t>Internal Marks</w:t>
            </w:r>
          </w:p>
        </w:tc>
        <w:tc>
          <w:tcPr>
            <w:tcW w:type="dxa" w:w="3120"/>
            <w:shd w:fill="FFFFFF"/>
            <w:tcMar>
              <w:top w:w="80" w:type="dxa"/>
              <w:bottom w:w="80" w:type="dxa"/>
              <w:left w:w="100" w:type="dxa"/>
              <w:right w:w="100" w:type="dxa"/>
            </w:tcMar>
          </w:tcPr>
          <w:p>
            <w:pPr>
              <w:spacing w:after="0"/>
            </w:pPr>
            <w:r>
              <w:rPr>
                <w:rFonts w:ascii="Arial" w:hAnsi="Arial"/>
                <w:b/>
                <w:color w:val="2D3748"/>
                <w:sz w:val="17"/>
              </w:rPr>
              <w:t>32.1%</w:t>
            </w:r>
          </w:p>
        </w:tc>
        <w:tc>
          <w:tcPr>
            <w:tcW w:type="dxa" w:w="3120"/>
            <w:shd w:fill="FFFFFF"/>
            <w:tcMar>
              <w:top w:w="80" w:type="dxa"/>
              <w:bottom w:w="80" w:type="dxa"/>
              <w:left w:w="100" w:type="dxa"/>
              <w:right w:w="100" w:type="dxa"/>
            </w:tcMar>
          </w:tcPr>
          <w:p>
            <w:pPr>
              <w:spacing w:after="0"/>
            </w:pPr>
            <w:r>
              <w:rPr>
                <w:rFonts w:ascii="Arial" w:hAnsi="Arial"/>
                <w:color w:val="2D3748"/>
                <w:sz w:val="17"/>
              </w:rPr>
              <w:t>########## (Strong Midterm Predictor)</w:t>
            </w:r>
          </w:p>
        </w:tc>
      </w:tr>
      <w:tr>
        <w:tc>
          <w:tcPr>
            <w:tcW w:type="dxa" w:w="3120"/>
            <w:shd w:fill="F7FAFC"/>
            <w:tcMar>
              <w:top w:w="80" w:type="dxa"/>
              <w:bottom w:w="80" w:type="dxa"/>
              <w:left w:w="100" w:type="dxa"/>
              <w:right w:w="100" w:type="dxa"/>
            </w:tcMar>
          </w:tcPr>
          <w:p>
            <w:pPr>
              <w:spacing w:after="0"/>
            </w:pPr>
            <w:r>
              <w:rPr>
                <w:rFonts w:ascii="Arial" w:hAnsi="Arial"/>
                <w:color w:val="2D3748"/>
                <w:sz w:val="17"/>
              </w:rPr>
              <w:t>Assignment Marks</w:t>
            </w:r>
          </w:p>
        </w:tc>
        <w:tc>
          <w:tcPr>
            <w:tcW w:type="dxa" w:w="3120"/>
            <w:shd w:fill="F7FAFC"/>
            <w:tcMar>
              <w:top w:w="80" w:type="dxa"/>
              <w:bottom w:w="80" w:type="dxa"/>
              <w:left w:w="100" w:type="dxa"/>
              <w:right w:w="100" w:type="dxa"/>
            </w:tcMar>
          </w:tcPr>
          <w:p>
            <w:pPr>
              <w:spacing w:after="0"/>
            </w:pPr>
            <w:r>
              <w:rPr>
                <w:rFonts w:ascii="Arial" w:hAnsi="Arial"/>
                <w:b/>
                <w:color w:val="2D3748"/>
                <w:sz w:val="17"/>
              </w:rPr>
              <w:t>8.8%</w:t>
            </w:r>
          </w:p>
        </w:tc>
        <w:tc>
          <w:tcPr>
            <w:tcW w:type="dxa" w:w="3120"/>
            <w:shd w:fill="F7FAFC"/>
            <w:tcMar>
              <w:top w:w="80" w:type="dxa"/>
              <w:bottom w:w="80" w:type="dxa"/>
              <w:left w:w="100" w:type="dxa"/>
              <w:right w:w="100" w:type="dxa"/>
            </w:tcMar>
          </w:tcPr>
          <w:p>
            <w:pPr>
              <w:spacing w:after="0"/>
            </w:pPr>
            <w:r>
              <w:rPr>
                <w:rFonts w:ascii="Arial" w:hAnsi="Arial"/>
                <w:color w:val="2D3748"/>
                <w:sz w:val="17"/>
              </w:rPr>
              <w:t>### (Coursework Baseline)</w:t>
            </w:r>
          </w:p>
        </w:tc>
      </w:tr>
      <w:tr>
        <w:tc>
          <w:tcPr>
            <w:tcW w:type="dxa" w:w="3120"/>
            <w:shd w:fill="FFFFFF"/>
            <w:tcMar>
              <w:top w:w="80" w:type="dxa"/>
              <w:bottom w:w="80" w:type="dxa"/>
              <w:left w:w="100" w:type="dxa"/>
              <w:right w:w="100" w:type="dxa"/>
            </w:tcMar>
          </w:tcPr>
          <w:p>
            <w:pPr>
              <w:spacing w:after="0"/>
            </w:pPr>
            <w:r>
              <w:rPr>
                <w:rFonts w:ascii="Arial" w:hAnsi="Arial"/>
                <w:color w:val="2D3748"/>
                <w:sz w:val="17"/>
              </w:rPr>
              <w:t>Attendance Percentage</w:t>
            </w:r>
          </w:p>
        </w:tc>
        <w:tc>
          <w:tcPr>
            <w:tcW w:type="dxa" w:w="3120"/>
            <w:shd w:fill="FFFFFF"/>
            <w:tcMar>
              <w:top w:w="80" w:type="dxa"/>
              <w:bottom w:w="80" w:type="dxa"/>
              <w:left w:w="100" w:type="dxa"/>
              <w:right w:w="100" w:type="dxa"/>
            </w:tcMar>
          </w:tcPr>
          <w:p>
            <w:pPr>
              <w:spacing w:after="0"/>
            </w:pPr>
            <w:r>
              <w:rPr>
                <w:rFonts w:ascii="Arial" w:hAnsi="Arial"/>
                <w:b/>
                <w:color w:val="2D3748"/>
                <w:sz w:val="17"/>
              </w:rPr>
              <w:t>0.0%</w:t>
            </w:r>
          </w:p>
        </w:tc>
        <w:tc>
          <w:tcPr>
            <w:tcW w:type="dxa" w:w="3120"/>
            <w:shd w:fill="FFFFFF"/>
            <w:tcMar>
              <w:top w:w="80" w:type="dxa"/>
              <w:bottom w:w="80" w:type="dxa"/>
              <w:left w:w="100" w:type="dxa"/>
              <w:right w:w="100" w:type="dxa"/>
            </w:tcMar>
          </w:tcPr>
          <w:p>
            <w:pPr>
              <w:spacing w:after="0"/>
            </w:pPr>
            <w:r>
              <w:rPr>
                <w:rFonts w:ascii="Arial" w:hAnsi="Arial"/>
                <w:color w:val="2D3748"/>
                <w:sz w:val="17"/>
              </w:rPr>
              <w:t>Threshold Gatekeeper</w:t>
            </w:r>
          </w:p>
        </w:tc>
      </w:tr>
    </w:tbl>
    <w:p>
      <w:pPr>
        <w:spacing w:after="120"/>
      </w:pPr>
    </w:p>
    <w:p>
      <w:pPr>
        <w:spacing w:after="80"/>
      </w:pPr>
      <w:r>
        <w:t>7.5 Full Extracted Decision Tree Rules:</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0"/>
            </w:pPr>
            <w:r>
              <w:rPr>
                <w:rFonts w:ascii="Courier New" w:hAnsi="Courier New"/>
                <w:color w:val="38BDF8"/>
                <w:sz w:val="17"/>
              </w:rPr>
              <w:t>|--- Study_Hours &lt;= 4.20</w:t>
              <w:br/>
              <w:t>|   |--- Internal_Marks &lt;= 49.00</w:t>
              <w:br/>
              <w:t>|   |   |--- class: Poor</w:t>
              <w:br/>
              <w:t>|   |--- Internal_Marks &gt;  49.00</w:t>
              <w:br/>
              <w:t>|   |   |--- Assignment_Marks &lt;= 46.50</w:t>
              <w:br/>
              <w:t>|   |   |   |--- class: Poor</w:t>
              <w:br/>
              <w:t>|   |   |--- Assignment_Marks &gt;  46.50</w:t>
              <w:br/>
              <w:t>|   |   |   |--- class: Average</w:t>
              <w:br/>
              <w:t>|--- Study_Hours &gt;  4.20</w:t>
              <w:br/>
              <w:t>|   |--- Study_Hours &lt;= 6.70</w:t>
              <w:br/>
              <w:t>|   |   |--- Assignment_Marks &lt;= 68.00</w:t>
              <w:br/>
              <w:t>|   |   |   |--- class: Average</w:t>
              <w:br/>
              <w:t>|   |   |--- Assignment_Marks &gt;  68.00</w:t>
              <w:br/>
              <w:t>|   |   |   |--- class: Good</w:t>
              <w:br/>
              <w:t>|   |--- Study_Hours &gt;  6.70</w:t>
              <w:br/>
              <w:t>|   |   |--- Internal_Marks &lt;= 80.50</w:t>
              <w:br/>
              <w:t>|   |   |   |--- class: Good</w:t>
              <w:br/>
              <w:t>|   |   |--- Internal_Marks &gt;  80.50</w:t>
              <w:br/>
              <w:t>|   |   |   |--- class: Excellent</w:t>
            </w:r>
          </w:p>
        </w:tc>
      </w:tr>
    </w:tbl>
    <w:p>
      <w:pPr>
        <w:spacing w:after="160"/>
      </w:pPr>
    </w:p>
    <w:p>
      <w:pPr>
        <w:keepNext/>
        <w:spacing w:before="320" w:after="160"/>
      </w:pPr>
      <w:r>
        <w:rPr>
          <w:rFonts w:ascii="Arial" w:hAnsi="Arial"/>
          <w:b/>
          <w:color w:val="1B365D"/>
          <w:sz w:val="32"/>
        </w:rPr>
        <w:t>8. Software Architecture &amp; Implementation Files</w:t>
      </w:r>
    </w:p>
    <w:p>
      <w:pPr>
        <w:spacing w:line="276" w:lineRule="auto" w:after="120"/>
      </w:pPr>
      <w:r>
        <w:t>The project has been architected with high modularity, zero mandatory third-party dependencies, and published on GitHub at https://github.com/etherialspace/student-performance-prediction.</w:t>
      </w:r>
    </w:p>
    <w:tbl>
      <w:tblPr>
        <w:tblW w:type="auto" w:w="0"/>
        <w:jc w:val="center"/>
        <w:tblLook w:firstColumn="1" w:firstRow="1" w:lastColumn="0" w:lastRow="0" w:noHBand="0" w:noVBand="1" w:val="04A0"/>
      </w:tblPr>
      <w:tblGrid>
        <w:gridCol w:w="4680"/>
        <w:gridCol w:w="4680"/>
      </w:tblGrid>
      <w:tr>
        <w:tc>
          <w:tcPr>
            <w:tcW w:type="dxa" w:w="4680"/>
            <w:shd w:fill="1B365D"/>
            <w:tcMar>
              <w:top w:w="80" w:type="dxa"/>
              <w:bottom w:w="80" w:type="dxa"/>
              <w:left w:w="100" w:type="dxa"/>
              <w:right w:w="100" w:type="dxa"/>
            </w:tcMar>
          </w:tcPr>
          <w:p>
            <w:r>
              <w:rPr>
                <w:rFonts w:ascii="Arial" w:hAnsi="Arial"/>
                <w:b/>
                <w:color w:val="FFFFFF"/>
                <w:sz w:val="18"/>
              </w:rPr>
              <w:t>File Name</w:t>
            </w:r>
          </w:p>
        </w:tc>
        <w:tc>
          <w:tcPr>
            <w:tcW w:type="dxa" w:w="4680"/>
            <w:shd w:fill="1B365D"/>
            <w:tcMar>
              <w:top w:w="80" w:type="dxa"/>
              <w:bottom w:w="80" w:type="dxa"/>
              <w:left w:w="100" w:type="dxa"/>
              <w:right w:w="100" w:type="dxa"/>
            </w:tcMar>
          </w:tcPr>
          <w:p>
            <w:r>
              <w:rPr>
                <w:rFonts w:ascii="Arial" w:hAnsi="Arial"/>
                <w:b/>
                <w:color w:val="FFFFFF"/>
                <w:sz w:val="18"/>
              </w:rPr>
              <w:t>Role in System</w:t>
            </w:r>
          </w:p>
        </w:tc>
      </w:tr>
      <w:tr>
        <w:tc>
          <w:tcPr>
            <w:tcW w:type="dxa" w:w="3312"/>
            <w:shd w:fill="F7FAFC"/>
            <w:tcMar>
              <w:top w:w="60" w:type="dxa"/>
              <w:bottom w:w="60" w:type="dxa"/>
              <w:left w:w="80" w:type="dxa"/>
              <w:right w:w="80" w:type="dxa"/>
            </w:tcMar>
          </w:tcPr>
          <w:p>
            <w:pPr>
              <w:spacing w:after="0"/>
            </w:pPr>
            <w:r>
              <w:rPr>
                <w:rFonts w:ascii="Courier New" w:hAnsi="Courier New"/>
                <w:b/>
                <w:color w:val="1B365D"/>
                <w:sz w:val="17"/>
              </w:rPr>
              <w:t>student_performance_predictor.py</w:t>
            </w:r>
          </w:p>
        </w:tc>
        <w:tc>
          <w:tcPr>
            <w:tcW w:type="dxa" w:w="6048"/>
            <w:shd w:fill="F7FAFC"/>
            <w:tcMar>
              <w:top w:w="60" w:type="dxa"/>
              <w:bottom w:w="60" w:type="dxa"/>
              <w:left w:w="80" w:type="dxa"/>
              <w:right w:w="80" w:type="dxa"/>
            </w:tcMar>
          </w:tcPr>
          <w:p>
            <w:pPr>
              <w:spacing w:after="0"/>
            </w:pPr>
            <w:r>
              <w:rPr>
                <w:rFonts w:ascii="Arial" w:hAnsi="Arial"/>
                <w:color w:val="2D3748"/>
                <w:sz w:val="17"/>
              </w:rPr>
              <w:t>Core AI script containing both the production scikit-learn model and the pure Python CART fallback classifier, diagnostic engine, and interactive CLI.</w:t>
            </w:r>
          </w:p>
        </w:tc>
      </w:tr>
      <w:tr>
        <w:tc>
          <w:tcPr>
            <w:tcW w:type="dxa" w:w="3312"/>
            <w:shd w:fill="FFFFFF"/>
            <w:tcMar>
              <w:top w:w="60" w:type="dxa"/>
              <w:bottom w:w="60" w:type="dxa"/>
              <w:left w:w="80" w:type="dxa"/>
              <w:right w:w="80" w:type="dxa"/>
            </w:tcMar>
          </w:tcPr>
          <w:p>
            <w:pPr>
              <w:spacing w:after="0"/>
            </w:pPr>
            <w:r>
              <w:rPr>
                <w:rFonts w:ascii="Courier New" w:hAnsi="Courier New"/>
                <w:b/>
                <w:color w:val="1B365D"/>
                <w:sz w:val="17"/>
              </w:rPr>
              <w:t>web_app.py</w:t>
            </w:r>
          </w:p>
        </w:tc>
        <w:tc>
          <w:tcPr>
            <w:tcW w:type="dxa" w:w="6048"/>
            <w:shd w:fill="FFFFFF"/>
            <w:tcMar>
              <w:top w:w="60" w:type="dxa"/>
              <w:bottom w:w="60" w:type="dxa"/>
              <w:left w:w="80" w:type="dxa"/>
              <w:right w:w="80" w:type="dxa"/>
            </w:tcMar>
          </w:tcPr>
          <w:p>
            <w:pPr>
              <w:spacing w:after="0"/>
            </w:pPr>
            <w:r>
              <w:rPr>
                <w:rFonts w:ascii="Arial" w:hAnsi="Arial"/>
                <w:color w:val="2D3748"/>
                <w:sz w:val="17"/>
              </w:rPr>
              <w:t>Lightweight HTTP server built on Python standard library (http.server). Delivers REST endpoints (/api/predict, /api/model-info) and the interactive browser dashboard.</w:t>
            </w:r>
          </w:p>
        </w:tc>
      </w:tr>
      <w:tr>
        <w:tc>
          <w:tcPr>
            <w:tcW w:type="dxa" w:w="3312"/>
            <w:shd w:fill="F7FAFC"/>
            <w:tcMar>
              <w:top w:w="60" w:type="dxa"/>
              <w:bottom w:w="60" w:type="dxa"/>
              <w:left w:w="80" w:type="dxa"/>
              <w:right w:w="80" w:type="dxa"/>
            </w:tcMar>
          </w:tcPr>
          <w:p>
            <w:pPr>
              <w:spacing w:after="0"/>
            </w:pPr>
            <w:r>
              <w:rPr>
                <w:rFonts w:ascii="Courier New" w:hAnsi="Courier New"/>
                <w:b/>
                <w:color w:val="1B365D"/>
                <w:sz w:val="17"/>
              </w:rPr>
              <w:t>test_student_performance.py</w:t>
            </w:r>
          </w:p>
        </w:tc>
        <w:tc>
          <w:tcPr>
            <w:tcW w:type="dxa" w:w="6048"/>
            <w:shd w:fill="F7FAFC"/>
            <w:tcMar>
              <w:top w:w="60" w:type="dxa"/>
              <w:bottom w:w="60" w:type="dxa"/>
              <w:left w:w="80" w:type="dxa"/>
              <w:right w:w="80" w:type="dxa"/>
            </w:tcMar>
          </w:tcPr>
          <w:p>
            <w:pPr>
              <w:spacing w:after="0"/>
            </w:pPr>
            <w:r>
              <w:rPr>
                <w:rFonts w:ascii="Arial" w:hAnsi="Arial"/>
                <w:color w:val="2D3748"/>
                <w:sz w:val="17"/>
              </w:rPr>
              <w:t>Automated test suite using unittest framework. Runs 8 test cases validating model initialization, predictions across all 4 tiers, feature importances, and diagnostic triggers.</w:t>
            </w:r>
          </w:p>
        </w:tc>
      </w:tr>
      <w:tr>
        <w:tc>
          <w:tcPr>
            <w:tcW w:type="dxa" w:w="3312"/>
            <w:shd w:fill="FFFFFF"/>
            <w:tcMar>
              <w:top w:w="60" w:type="dxa"/>
              <w:bottom w:w="60" w:type="dxa"/>
              <w:left w:w="80" w:type="dxa"/>
              <w:right w:w="80" w:type="dxa"/>
            </w:tcMar>
          </w:tcPr>
          <w:p>
            <w:pPr>
              <w:spacing w:after="0"/>
            </w:pPr>
            <w:r>
              <w:rPr>
                <w:rFonts w:ascii="Courier New" w:hAnsi="Courier New"/>
                <w:b/>
                <w:color w:val="1B365D"/>
                <w:sz w:val="17"/>
              </w:rPr>
              <w:t>student_dataset.csv</w:t>
            </w:r>
          </w:p>
        </w:tc>
        <w:tc>
          <w:tcPr>
            <w:tcW w:type="dxa" w:w="6048"/>
            <w:shd w:fill="FFFFFF"/>
            <w:tcMar>
              <w:top w:w="60" w:type="dxa"/>
              <w:bottom w:w="60" w:type="dxa"/>
              <w:left w:w="80" w:type="dxa"/>
              <w:right w:w="80" w:type="dxa"/>
            </w:tcMar>
          </w:tcPr>
          <w:p>
            <w:pPr>
              <w:spacing w:after="0"/>
            </w:pPr>
            <w:r>
              <w:rPr>
                <w:rFonts w:ascii="Arial" w:hAnsi="Arial"/>
                <w:color w:val="2D3748"/>
                <w:sz w:val="17"/>
              </w:rPr>
              <w:t>Curated dataset of 56 student records distributed across all 4 performance tiers.</w:t>
            </w:r>
          </w:p>
        </w:tc>
      </w:tr>
      <w:tr>
        <w:tc>
          <w:tcPr>
            <w:tcW w:type="dxa" w:w="3312"/>
            <w:shd w:fill="F7FAFC"/>
            <w:tcMar>
              <w:top w:w="60" w:type="dxa"/>
              <w:bottom w:w="60" w:type="dxa"/>
              <w:left w:w="80" w:type="dxa"/>
              <w:right w:w="80" w:type="dxa"/>
            </w:tcMar>
          </w:tcPr>
          <w:p>
            <w:pPr>
              <w:spacing w:after="0"/>
            </w:pPr>
            <w:r>
              <w:rPr>
                <w:rFonts w:ascii="Courier New" w:hAnsi="Courier New"/>
                <w:b/>
                <w:color w:val="1B365D"/>
                <w:sz w:val="17"/>
              </w:rPr>
              <w:t>PROJECT_REPORT.md</w:t>
            </w:r>
          </w:p>
        </w:tc>
        <w:tc>
          <w:tcPr>
            <w:tcW w:type="dxa" w:w="6048"/>
            <w:shd w:fill="F7FAFC"/>
            <w:tcMar>
              <w:top w:w="60" w:type="dxa"/>
              <w:bottom w:w="60" w:type="dxa"/>
              <w:left w:w="80" w:type="dxa"/>
              <w:right w:w="80" w:type="dxa"/>
            </w:tcMar>
          </w:tcPr>
          <w:p>
            <w:pPr>
              <w:spacing w:after="0"/>
            </w:pPr>
            <w:r>
              <w:rPr>
                <w:rFonts w:ascii="Arial" w:hAnsi="Arial"/>
                <w:color w:val="2D3748"/>
                <w:sz w:val="17"/>
              </w:rPr>
              <w:t>Complete academic project documentation in Markdown format.</w:t>
            </w:r>
          </w:p>
        </w:tc>
      </w:tr>
      <w:tr>
        <w:tc>
          <w:tcPr>
            <w:tcW w:type="dxa" w:w="3312"/>
            <w:shd w:fill="FFFFFF"/>
            <w:tcMar>
              <w:top w:w="60" w:type="dxa"/>
              <w:bottom w:w="60" w:type="dxa"/>
              <w:left w:w="80" w:type="dxa"/>
              <w:right w:w="80" w:type="dxa"/>
            </w:tcMar>
          </w:tcPr>
          <w:p>
            <w:pPr>
              <w:spacing w:after="0"/>
            </w:pPr>
            <w:r>
              <w:rPr>
                <w:rFonts w:ascii="Courier New" w:hAnsi="Courier New"/>
                <w:b/>
                <w:color w:val="1B365D"/>
                <w:sz w:val="17"/>
              </w:rPr>
              <w:t>requirements.txt</w:t>
            </w:r>
          </w:p>
        </w:tc>
        <w:tc>
          <w:tcPr>
            <w:tcW w:type="dxa" w:w="6048"/>
            <w:shd w:fill="FFFFFF"/>
            <w:tcMar>
              <w:top w:w="60" w:type="dxa"/>
              <w:bottom w:w="60" w:type="dxa"/>
              <w:left w:w="80" w:type="dxa"/>
              <w:right w:w="80" w:type="dxa"/>
            </w:tcMar>
          </w:tcPr>
          <w:p>
            <w:pPr>
              <w:spacing w:after="0"/>
            </w:pPr>
            <w:r>
              <w:rPr>
                <w:rFonts w:ascii="Arial" w:hAnsi="Arial"/>
                <w:color w:val="2D3748"/>
                <w:sz w:val="17"/>
              </w:rPr>
              <w:t>Optional dependency declaration (scikit-learn).</w:t>
            </w:r>
          </w:p>
        </w:tc>
      </w:tr>
    </w:tbl>
    <w:p>
      <w:pPr>
        <w:spacing w:after="160"/>
      </w:pPr>
    </w:p>
    <w:p>
      <w:pPr>
        <w:keepNext/>
        <w:spacing w:before="320" w:after="160"/>
      </w:pPr>
      <w:r>
        <w:rPr>
          <w:rFonts w:ascii="Arial" w:hAnsi="Arial"/>
          <w:b/>
          <w:color w:val="1B365D"/>
          <w:sz w:val="32"/>
        </w:rPr>
        <w:t>9. Question-by-Question Viva Voce &amp; Evaluation Guide</w:t>
      </w:r>
    </w:p>
    <w:p>
      <w:pPr>
        <w:spacing w:line="276" w:lineRule="auto" w:after="120"/>
      </w:pPr>
      <w:r>
        <w:t>Below is a direct, question-by-question response guide addressing each facet of the project problem statement and typical defense questions posed by university examination committees:</w:t>
      </w:r>
    </w:p>
    <w:p>
      <w:pPr>
        <w:spacing w:before="160" w:after="40"/>
      </w:pPr>
      <w:r>
        <w:rPr>
          <w:rFonts w:ascii="Arial" w:hAnsi="Arial"/>
          <w:b/>
          <w:color w:val="2B6CB0"/>
          <w:sz w:val="20"/>
        </w:rPr>
        <w:t>Q1: How does the system handle Task 1 (Student Details Input)?</w:t>
      </w:r>
    </w:p>
    <w:p>
      <w:pPr>
        <w:spacing w:before="0" w:after="120" w:line="276" w:lineRule="auto"/>
      </w:pPr>
      <w:r>
        <w:rPr>
          <w:rFonts w:ascii="Arial" w:hAnsi="Arial"/>
          <w:color w:val="2D3748"/>
          <w:sz w:val="19"/>
        </w:rPr>
        <w:t>The system provides input validation through both interactive terminal prompts (prompt_float) and the Web API. It collects student identifier metadata (Name, Roll ID) alongside four continuous parameters. Numeric inputs are validated against real-world physical bounds (Attendance 0-100%, Assignment Marks 0-100, Internal Marks 0-100, and Study Hours 0-16 hrs/day). Non-numeric and out-of-bound inputs are intercepted with helpful error messages.</w:t>
      </w:r>
    </w:p>
    <w:p>
      <w:pPr>
        <w:spacing w:before="160" w:after="40"/>
      </w:pPr>
      <w:r>
        <w:rPr>
          <w:rFonts w:ascii="Arial" w:hAnsi="Arial"/>
          <w:b/>
          <w:color w:val="2B6CB0"/>
          <w:sz w:val="20"/>
        </w:rPr>
        <w:t>Q2: How does the system evaluate Task 2 (Attendance, Assignment, Internal, and Study Hours)?</w:t>
      </w:r>
    </w:p>
    <w:p>
      <w:pPr>
        <w:spacing w:before="0" w:after="120" w:line="276" w:lineRule="auto"/>
      </w:pPr>
      <w:r>
        <w:rPr>
          <w:rFonts w:ascii="Arial" w:hAnsi="Arial"/>
          <w:color w:val="2D3748"/>
          <w:sz w:val="19"/>
        </w:rPr>
        <w:t>The model treats these four parameters as continuous input dimensions in a 4-dimensional vector space. Rather than using arbitrary manual score weights, the Decision Tree applies information theory (Gini Impurity reduction) to discover optimal splitting thresholds from empirical student records. Study hours (59.0% importance) and internal marks (32.1% importance) were discovered to have the greatest discriminative power in partitioning performance.</w:t>
      </w:r>
    </w:p>
    <w:p>
      <w:pPr>
        <w:spacing w:before="160" w:after="40"/>
      </w:pPr>
      <w:r>
        <w:rPr>
          <w:rFonts w:ascii="Arial" w:hAnsi="Arial"/>
          <w:b/>
          <w:color w:val="2B6CB0"/>
          <w:sz w:val="20"/>
        </w:rPr>
        <w:t>Q3: How is Task 3 (Performance Prediction into 4 Tiers) executed mathematically?</w:t>
      </w:r>
    </w:p>
    <w:p>
      <w:pPr>
        <w:spacing w:before="0" w:after="120" w:line="276" w:lineRule="auto"/>
      </w:pPr>
      <w:r>
        <w:rPr>
          <w:rFonts w:ascii="Arial" w:hAnsi="Arial"/>
          <w:color w:val="2D3748"/>
          <w:sz w:val="19"/>
        </w:rPr>
        <w:t>The model traverses the binary Decision Tree from the root node down to a leaf node. At each internal node, the student's parameter is evaluated against the optimal threshold theta (e.g., Study_Hours &lt;= 4.20). The traversal terminates at a leaf node containing the majority performance class (Excellent, Good, Average, or Poor) and computes class probability distributions.</w:t>
      </w:r>
    </w:p>
    <w:p>
      <w:pPr>
        <w:spacing w:before="160" w:after="40"/>
      </w:pPr>
      <w:r>
        <w:rPr>
          <w:rFonts w:ascii="Arial" w:hAnsi="Arial"/>
          <w:b/>
          <w:color w:val="2B6CB0"/>
          <w:sz w:val="20"/>
        </w:rPr>
        <w:t>Q4: How does Task 4 (Give Suggestions for Improvement) work?</w:t>
      </w:r>
    </w:p>
    <w:p>
      <w:pPr>
        <w:spacing w:before="0" w:after="120" w:line="276" w:lineRule="auto"/>
      </w:pPr>
      <w:r>
        <w:rPr>
          <w:rFonts w:ascii="Arial" w:hAnsi="Arial"/>
          <w:color w:val="2D3748"/>
          <w:sz w:val="19"/>
        </w:rPr>
        <w:t>The system invokes its diagnostic rule engine which compares each student metric against institutional benchmarks. Deficiencies are prioritized into Critical, Moderate, or Minor severities. The engine dynamically produces personalized suggestions and a concrete, numbered action plan (e.g., adopting Pomodoro intervals, collecting missed lecture notes, timed mock internal tests).</w:t>
      </w:r>
    </w:p>
    <w:p>
      <w:pPr>
        <w:spacing w:before="160" w:after="40"/>
      </w:pPr>
      <w:r>
        <w:rPr>
          <w:rFonts w:ascii="Arial" w:hAnsi="Arial"/>
          <w:b/>
          <w:color w:val="2B6CB0"/>
          <w:sz w:val="20"/>
        </w:rPr>
        <w:t>Q5: How does Task 5 (Display Prediction Result) present information?</w:t>
      </w:r>
    </w:p>
    <w:p>
      <w:pPr>
        <w:spacing w:before="0" w:after="120" w:line="276" w:lineRule="auto"/>
      </w:pPr>
      <w:r>
        <w:rPr>
          <w:rFonts w:ascii="Arial" w:hAnsi="Arial"/>
          <w:color w:val="2D3748"/>
          <w:sz w:val="19"/>
        </w:rPr>
        <w:t>Results are rendered across two interfaces: (1) An ASCII formatted terminal report card displaying metrics, tier badges, diagnostic tables, and action plans; and (2) A responsive web dashboard (web_app.py) with interactive sliders, color-coded badges (Emerald, Blue, Amber, Red), real-time tree rule inspector, and an instant print-to-PDF report generator.</w:t>
      </w:r>
    </w:p>
    <w:p>
      <w:pPr>
        <w:spacing w:before="160" w:after="40"/>
      </w:pPr>
      <w:r>
        <w:rPr>
          <w:rFonts w:ascii="Arial" w:hAnsi="Arial"/>
          <w:b/>
          <w:color w:val="2B6CB0"/>
          <w:sz w:val="20"/>
        </w:rPr>
        <w:t>Q6: Explain the AI concepts: Machine Learning Classification and Decision Trees.</w:t>
      </w:r>
    </w:p>
    <w:p>
      <w:pPr>
        <w:spacing w:before="0" w:after="120" w:line="276" w:lineRule="auto"/>
      </w:pPr>
      <w:r>
        <w:rPr>
          <w:rFonts w:ascii="Arial" w:hAnsi="Arial"/>
          <w:color w:val="2D3748"/>
          <w:sz w:val="19"/>
        </w:rPr>
        <w:t>Machine Learning Classification is supervised learning where models infer a mapping function from training data to discrete classes. A Decision Tree (CART) is chosen because it creates interpretable, white-box orthogonal partitions using Gini Impurity (IG = 1 - sum p_i^2). It does not require feature scaling and directly mirrors human educational decision-making.</w:t>
      </w:r>
    </w:p>
    <w:p>
      <w:pPr>
        <w:spacing w:before="160" w:after="40"/>
      </w:pPr>
      <w:r>
        <w:rPr>
          <w:rFonts w:ascii="Arial" w:hAnsi="Arial"/>
          <w:b/>
          <w:color w:val="2B6CB0"/>
          <w:sz w:val="20"/>
        </w:rPr>
        <w:t>Q7: What constitutes the Advanced Feature in this project?</w:t>
      </w:r>
    </w:p>
    <w:p>
      <w:pPr>
        <w:spacing w:before="0" w:after="120" w:line="276" w:lineRule="auto"/>
      </w:pPr>
      <w:r>
        <w:rPr>
          <w:rFonts w:ascii="Arial" w:hAnsi="Arial"/>
          <w:color w:val="2D3748"/>
          <w:sz w:val="19"/>
        </w:rPr>
        <w:t>The Advanced Feature is the Diagnostic Improvement Engine. Unlike standard classifiers that merely assign a label, our engine conducts multi-tier parametric gap analysis, assigns priority severity tags, produces cross-metric cognitive insights (e.g., detecting high study hours coupled with low exam marks), and crafts an actionable remediation schedule.</w:t>
      </w:r>
    </w:p>
    <w:p>
      <w:pPr>
        <w:keepNext/>
        <w:spacing w:before="320" w:after="160"/>
      </w:pPr>
      <w:r>
        <w:rPr>
          <w:rFonts w:ascii="Arial" w:hAnsi="Arial"/>
          <w:b/>
          <w:color w:val="1B365D"/>
          <w:sz w:val="32"/>
        </w:rPr>
        <w:t>10. Conclusion &amp; Project Deliverables</w:t>
      </w:r>
    </w:p>
    <w:p>
      <w:pPr>
        <w:spacing w:line="276" w:lineRule="auto" w:after="200"/>
      </w:pPr>
      <w:r>
        <w:t>The Intelligent Student Performance Prediction System fully realizes all functional tasks, machine learning concepts, and advanced diagnostic features mandated by the project specification. With 100% pass rates across automated unit tests, a resilient dual-engine architecture (scikit-learn + built-in CART), an interactive web interface, and full source code published to GitHub, the project stands complete and ready for academic submission and defense.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Arial" w:hAnsi="Arial"/>
                <w:b/>
                <w:color w:val="1B365D"/>
                <w:sz w:val="20"/>
              </w:rPr>
              <w:t xml:space="preserve">[ONLINE REPOSITORY VERIFICATION] </w:t>
            </w:r>
            <w:r>
              <w:rPr>
                <w:rFonts w:ascii="Arial" w:hAnsi="Arial"/>
                <w:color w:val="2D3748"/>
                <w:sz w:val="19"/>
              </w:rPr>
              <w:t>GitHub Repository: https://github.com/etherialspace/student-performance-prediction</w:t>
              <w:br/>
              <w:t>Branch: main | Fully committed with web application, unit tests, and dataset.</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