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60" w:after="80"/>
        <w:jc w:val="center"/>
        <w:rPr/>
      </w:pPr>
      <w:r>
        <w:rPr>
          <w:rFonts w:eastAsia="Arial" w:cs="Arial"/>
          <w:b/>
          <w:bCs/>
          <w:color w:val="897148"/>
          <w:sz w:val="56"/>
          <w:szCs w:val="56"/>
        </w:rPr>
        <w:t>ETHERNAL FUND</w:t>
      </w:r>
    </w:p>
    <w:p>
      <w:pPr>
        <w:pStyle w:val="Normal"/>
        <w:spacing w:before="0" w:after="80"/>
        <w:jc w:val="center"/>
        <w:rPr/>
      </w:pPr>
      <w:r>
        <w:rPr>
          <w:rFonts w:eastAsia="Arial" w:cs="Arial"/>
          <w:b/>
          <w:bCs/>
          <w:color w:val="0D0D0D"/>
          <w:sz w:val="36"/>
          <w:szCs w:val="36"/>
        </w:rPr>
        <w:t>TOKEN SALE AGREEMENT</w:t>
      </w:r>
    </w:p>
    <w:p>
      <w:pPr>
        <w:pStyle w:val="Normal"/>
        <w:spacing w:before="0" w:after="80"/>
        <w:jc w:val="center"/>
        <w:rPr/>
      </w:pPr>
      <w:r>
        <w:rPr>
          <w:rFonts w:eastAsia="Arial" w:cs="Arial"/>
          <w:color w:val="555555"/>
          <w:sz w:val="24"/>
          <w:szCs w:val="24"/>
        </w:rPr>
        <w:t>Términos y Condiciones de Venta — ETRF Seed Round v1.0</w:t>
      </w:r>
    </w:p>
    <w:p>
      <w:pPr>
        <w:pStyle w:val="Normal"/>
        <w:pBdr>
          <w:bottom w:val="single" w:sz="2" w:space="8" w:color="EEEEEE"/>
        </w:pBdr>
        <w:spacing w:before="0" w:after="60"/>
        <w:jc w:val="center"/>
        <w:rPr/>
      </w:pPr>
      <w:r>
        <w:rPr/>
      </w:r>
    </w:p>
    <w:p>
      <w:pPr>
        <w:pStyle w:val="Normal"/>
        <w:spacing w:before="0" w:after="120"/>
        <w:rPr/>
      </w:pPr>
      <w:r>
        <w:rPr/>
      </w:r>
    </w:p>
    <w:p>
      <w:pPr>
        <w:pStyle w:val="Normal"/>
        <w:spacing w:before="0" w:after="80"/>
        <w:jc w:val="center"/>
        <w:rPr/>
      </w:pPr>
      <w:r>
        <w:rPr>
          <w:rFonts w:eastAsia="Arial" w:cs="Arial"/>
          <w:color w:val="AAAAAA"/>
          <w:sz w:val="20"/>
          <w:szCs w:val="20"/>
        </w:rPr>
        <w:t>Versión 1.0  ·  Mayo 202</w:t>
      </w:r>
      <w:r>
        <w:rPr>
          <w:rFonts w:eastAsia="Arial" w:cs="Arial"/>
          <w:color w:val="AAAAAA"/>
          <w:sz w:val="20"/>
          <w:szCs w:val="20"/>
        </w:rPr>
        <w:t>6</w:t>
      </w:r>
    </w:p>
    <w:p>
      <w:pPr>
        <w:pStyle w:val="Normal"/>
        <w:spacing w:before="0" w:after="560"/>
        <w:jc w:val="center"/>
        <w:rPr/>
      </w:pPr>
      <w:r>
        <w:rPr>
          <w:rFonts w:eastAsia="Arial" w:cs="Arial"/>
          <w:color w:val="897148"/>
          <w:sz w:val="20"/>
          <w:szCs w:val="20"/>
        </w:rPr>
        <w:t>ethernal.fund</w:t>
      </w:r>
    </w:p>
    <w:p>
      <w:pPr>
        <w:pStyle w:val="Normal"/>
        <w:pBdr>
          <w:top w:val="single" w:sz="6" w:space="4" w:color="897148"/>
          <w:bottom w:val="single" w:sz="6" w:space="4" w:color="897148"/>
        </w:pBdr>
        <w:spacing w:before="200" w:after="80"/>
        <w:rPr/>
      </w:pPr>
      <w:r>
        <w:rPr>
          <w:rFonts w:eastAsia="Arial" w:cs="Arial"/>
          <w:b/>
          <w:bCs/>
          <w:color w:val="897148"/>
          <w:sz w:val="22"/>
          <w:szCs w:val="22"/>
        </w:rPr>
        <w:t>AVISO IMPORTANTE — LEER ANTES DE CONTINUAR</w:t>
      </w:r>
    </w:p>
    <w:p>
      <w:pPr>
        <w:pStyle w:val="Normal"/>
        <w:spacing w:before="0" w:after="200"/>
        <w:jc w:val="both"/>
        <w:rPr/>
      </w:pPr>
      <w:r>
        <w:rPr>
          <w:rFonts w:eastAsia="Arial" w:cs="Arial"/>
          <w:i/>
          <w:iCs/>
          <w:color w:val="555555"/>
          <w:sz w:val="21"/>
          <w:szCs w:val="21"/>
        </w:rPr>
        <w:t>Este documento contiene información legal relevante sobre la adquisición de tokens ETRF. La participación en esta venta implica riesgo de pérdida total del capital invertido. Los tokens ETRF son tokens de utilidad y NO constituyen instrumentos financieros, valores negociables, acciones ni participación en las ganancias del protocolo. Leé este documento en su totalidad antes de realizar cualquier transacción.</w:t>
      </w:r>
    </w:p>
    <w:p>
      <w:pPr>
        <w:pStyle w:val="Heading1"/>
        <w:pBdr>
          <w:bottom w:val="single" w:sz="4" w:space="6" w:color="897148"/>
        </w:pBdr>
        <w:spacing w:before="400" w:after="160"/>
        <w:rPr/>
      </w:pPr>
      <w:r>
        <w:rPr>
          <w:rFonts w:eastAsia="Arial" w:cs="Arial" w:ascii="Arial" w:hAnsi="Arial"/>
          <w:b/>
          <w:bCs/>
          <w:color w:val="0D0D0D"/>
          <w:sz w:val="28"/>
          <w:szCs w:val="28"/>
        </w:rPr>
        <w:t>1. DEFINICIONES</w:t>
      </w:r>
    </w:p>
    <w:p>
      <w:pPr>
        <w:pStyle w:val="Normal"/>
        <w:spacing w:before="0" w:after="160"/>
        <w:jc w:val="both"/>
        <w:rPr/>
      </w:pPr>
      <w:r>
        <w:rPr>
          <w:rFonts w:eastAsia="Arial" w:cs="Arial"/>
          <w:b w:val="false"/>
          <w:bCs w:val="false"/>
          <w:i w:val="false"/>
          <w:iCs w:val="false"/>
          <w:color w:val="0D0D0D"/>
          <w:sz w:val="22"/>
          <w:szCs w:val="22"/>
        </w:rPr>
        <w:t>A los efectos del presente documento, los siguientes términos tendrán el significado que se indica:</w:t>
      </w:r>
    </w:p>
    <w:p>
      <w:pPr>
        <w:pStyle w:val="Normal"/>
        <w:spacing w:before="0" w:after="120"/>
        <w:rPr/>
      </w:pPr>
      <w:r>
        <w:rPr/>
      </w:r>
    </w:p>
    <w:p>
      <w:pPr>
        <w:pStyle w:val="Normal"/>
        <w:spacing w:before="0" w:after="160"/>
        <w:jc w:val="both"/>
        <w:rPr/>
      </w:pPr>
      <w:r>
        <w:rPr>
          <w:rFonts w:eastAsia="Arial" w:cs="Arial"/>
          <w:b w:val="false"/>
          <w:bCs w:val="false"/>
          <w:i w:val="false"/>
          <w:iCs w:val="false"/>
          <w:color w:val="0D0D0D"/>
          <w:sz w:val="22"/>
          <w:szCs w:val="22"/>
        </w:rPr>
        <w:t>"Ethernal Fund" o "el Emisor": el protocolo descentralizado de ahorro para el retiro personal construido sobre la red Arbitrum, desarrollado y mantenido por el equipo fundador liderado por Cristian F. Taborda.</w:t>
      </w:r>
    </w:p>
    <w:p>
      <w:pPr>
        <w:pStyle w:val="Normal"/>
        <w:spacing w:before="0" w:after="160"/>
        <w:jc w:val="both"/>
        <w:rPr/>
      </w:pPr>
      <w:r>
        <w:rPr>
          <w:rFonts w:eastAsia="Arial" w:cs="Arial"/>
          <w:b w:val="false"/>
          <w:bCs w:val="false"/>
          <w:i w:val="false"/>
          <w:iCs w:val="false"/>
          <w:color w:val="0D0D0D"/>
          <w:sz w:val="22"/>
          <w:szCs w:val="22"/>
        </w:rPr>
        <w:t>"ETRF": el token de utilidad nativo del protocolo Ethernal Fund, implementado como contrato inteligente en la red Arbitrum.</w:t>
      </w:r>
    </w:p>
    <w:p>
      <w:pPr>
        <w:pStyle w:val="Normal"/>
        <w:spacing w:before="0" w:after="160"/>
        <w:jc w:val="both"/>
        <w:rPr/>
      </w:pPr>
      <w:r>
        <w:rPr>
          <w:rFonts w:eastAsia="Arial" w:cs="Arial"/>
          <w:b w:val="false"/>
          <w:bCs w:val="false"/>
          <w:i w:val="false"/>
          <w:iCs w:val="false"/>
          <w:color w:val="0D0D0D"/>
          <w:sz w:val="22"/>
          <w:szCs w:val="22"/>
        </w:rPr>
        <w:t>"Token Sale" o "Seed Round": el evento de venta primaria de tokens ETRF descripto en este documento, correspondiente a la primera ronda de financiamiento del protocolo.</w:t>
      </w:r>
    </w:p>
    <w:p>
      <w:pPr>
        <w:pStyle w:val="Normal"/>
        <w:spacing w:before="0" w:after="160"/>
        <w:jc w:val="both"/>
        <w:rPr/>
      </w:pPr>
      <w:r>
        <w:rPr>
          <w:rFonts w:eastAsia="Arial" w:cs="Arial"/>
          <w:b w:val="false"/>
          <w:bCs w:val="false"/>
          <w:i w:val="false"/>
          <w:iCs w:val="false"/>
          <w:color w:val="0D0D0D"/>
          <w:sz w:val="22"/>
          <w:szCs w:val="22"/>
        </w:rPr>
        <w:t>"Participante": toda persona física o jurídica que adquiera tokens ETRF a través del contrato inteligente oficial durante el período de la Token Sale.</w:t>
      </w:r>
    </w:p>
    <w:p>
      <w:pPr>
        <w:pStyle w:val="Normal"/>
        <w:spacing w:before="0" w:after="160"/>
        <w:jc w:val="both"/>
        <w:rPr/>
      </w:pPr>
      <w:r>
        <w:rPr>
          <w:rFonts w:eastAsia="Arial" w:cs="Arial"/>
          <w:b w:val="false"/>
          <w:bCs w:val="false"/>
          <w:i w:val="false"/>
          <w:iCs w:val="false"/>
          <w:color w:val="0D0D0D"/>
          <w:sz w:val="22"/>
          <w:szCs w:val="22"/>
        </w:rPr>
        <w:t>"Smart Contract": el programa informático desplegado en la blockchain de Arbitrum que ejecuta de forma autónoma y verificable las condiciones de la Token Sale, el vesting y el claim de tokens.</w:t>
      </w:r>
    </w:p>
    <w:p>
      <w:pPr>
        <w:pStyle w:val="Normal"/>
        <w:spacing w:before="0" w:after="160"/>
        <w:jc w:val="both"/>
        <w:rPr/>
      </w:pPr>
      <w:r>
        <w:rPr>
          <w:rFonts w:eastAsia="Arial" w:cs="Arial"/>
          <w:b w:val="false"/>
          <w:bCs w:val="false"/>
          <w:i w:val="false"/>
          <w:iCs w:val="false"/>
          <w:color w:val="0D0D0D"/>
          <w:sz w:val="22"/>
          <w:szCs w:val="22"/>
        </w:rPr>
        <w:t>"USDC": el stablecoin USD Coin emitido por Circle Financial, LLC, utilizado como único medio de pago aceptado en esta Token Sale.</w:t>
      </w:r>
    </w:p>
    <w:p>
      <w:pPr>
        <w:pStyle w:val="Normal"/>
        <w:spacing w:before="0" w:after="160"/>
        <w:jc w:val="both"/>
        <w:rPr/>
      </w:pPr>
      <w:r>
        <w:rPr>
          <w:rFonts w:eastAsia="Arial" w:cs="Arial"/>
          <w:b w:val="false"/>
          <w:bCs w:val="false"/>
          <w:i w:val="false"/>
          <w:iCs w:val="false"/>
          <w:color w:val="0D0D0D"/>
          <w:sz w:val="22"/>
          <w:szCs w:val="22"/>
        </w:rPr>
        <w:t>"Vesting": el mecanismo de liberación gradual y lineal de tokens ETRF durante un período determinado, una vez superado el período de cliff.</w:t>
      </w:r>
    </w:p>
    <w:p>
      <w:pPr>
        <w:pStyle w:val="Normal"/>
        <w:spacing w:before="0" w:after="160"/>
        <w:jc w:val="both"/>
        <w:rPr/>
      </w:pPr>
      <w:r>
        <w:rPr>
          <w:rFonts w:eastAsia="Arial" w:cs="Arial"/>
          <w:b w:val="false"/>
          <w:bCs w:val="false"/>
          <w:i w:val="false"/>
          <w:iCs w:val="false"/>
          <w:color w:val="0D0D0D"/>
          <w:sz w:val="22"/>
          <w:szCs w:val="22"/>
        </w:rPr>
        <w:t>"Cliff": el período inicial de bloqueo total de tokens, durante el cual el Participante no puede reclamar ninguna fracción de sus tokens adquiridos.</w:t>
      </w:r>
    </w:p>
    <w:p>
      <w:pPr>
        <w:pStyle w:val="Normal"/>
        <w:spacing w:before="0" w:after="160"/>
        <w:jc w:val="both"/>
        <w:rPr/>
      </w:pPr>
      <w:r>
        <w:rPr>
          <w:rFonts w:eastAsia="Arial" w:cs="Arial"/>
          <w:b w:val="false"/>
          <w:bCs w:val="false"/>
          <w:i w:val="false"/>
          <w:iCs w:val="false"/>
          <w:color w:val="0D0D0D"/>
          <w:sz w:val="22"/>
          <w:szCs w:val="22"/>
        </w:rPr>
        <w:t>"Wallet": la dirección de blockchain compatible con EVM controlada por el Participante, utilizada para interactuar con el Contrato Inteligente.</w:t>
      </w:r>
    </w:p>
    <w:p>
      <w:pPr>
        <w:pStyle w:val="Normal"/>
        <w:spacing w:before="0" w:after="160"/>
        <w:jc w:val="both"/>
        <w:rPr/>
      </w:pPr>
      <w:r>
        <w:rPr>
          <w:rFonts w:eastAsia="Arial" w:cs="Arial"/>
          <w:b w:val="false"/>
          <w:bCs w:val="false"/>
          <w:i w:val="false"/>
          <w:iCs w:val="false"/>
          <w:color w:val="0D0D0D"/>
          <w:sz w:val="22"/>
          <w:szCs w:val="22"/>
        </w:rPr>
        <w:t>"Whitepaper": el documento técnico y económico que describe en detalle el protocolo Ethernal Fund, disponible en ethernal.fund/whitepaper.</w:t>
      </w:r>
    </w:p>
    <w:p>
      <w:pPr>
        <w:pStyle w:val="Heading1"/>
        <w:pBdr>
          <w:bottom w:val="single" w:sz="4" w:space="6" w:color="897148"/>
        </w:pBdr>
        <w:spacing w:before="400" w:after="160"/>
        <w:rPr/>
      </w:pPr>
      <w:r>
        <w:rPr>
          <w:rFonts w:eastAsia="Arial" w:cs="Arial" w:ascii="Arial" w:hAnsi="Arial"/>
          <w:b/>
          <w:bCs/>
          <w:color w:val="0D0D0D"/>
          <w:sz w:val="28"/>
          <w:szCs w:val="28"/>
        </w:rPr>
        <w:t>2. NATURALEZA DEL TOKEN ETRF</w:t>
      </w:r>
    </w:p>
    <w:p>
      <w:pPr>
        <w:pStyle w:val="Heading2"/>
        <w:spacing w:before="280" w:after="120"/>
        <w:rPr/>
      </w:pPr>
      <w:r>
        <w:rPr>
          <w:rFonts w:eastAsia="Arial" w:cs="Arial" w:ascii="Arial" w:hAnsi="Arial"/>
          <w:b/>
          <w:bCs/>
          <w:color w:val="0D0D0D"/>
          <w:sz w:val="24"/>
          <w:szCs w:val="24"/>
        </w:rPr>
        <w:t>2.1 Token de Utilidad</w:t>
      </w:r>
    </w:p>
    <w:p>
      <w:pPr>
        <w:pStyle w:val="Normal"/>
        <w:spacing w:before="0" w:after="160"/>
        <w:jc w:val="both"/>
        <w:rPr/>
      </w:pPr>
      <w:r>
        <w:rPr>
          <w:rFonts w:eastAsia="Arial" w:cs="Arial"/>
          <w:b w:val="false"/>
          <w:bCs w:val="false"/>
          <w:i w:val="false"/>
          <w:iCs w:val="false"/>
          <w:color w:val="0D0D0D"/>
          <w:sz w:val="22"/>
          <w:szCs w:val="22"/>
        </w:rPr>
        <w:t>El token ETRF es un token de utilidad (utility token) diseñado exclusivamente para ser utilizado dentro del ecosistema del protocolo Ethernal Fund. Su función principal es otorgar acceso a funcionalidades del protocolo, incluyendo pero no limitado a: participación en la gobernanza, acceso a funciones premium, y uso como unidad de cuenta interna del protocolo.</w:t>
      </w:r>
    </w:p>
    <w:p>
      <w:pPr>
        <w:pStyle w:val="Normal"/>
        <w:spacing w:before="0" w:after="120"/>
        <w:rPr/>
      </w:pPr>
      <w:r>
        <w:rPr/>
      </w:r>
    </w:p>
    <w:p>
      <w:pPr>
        <w:pStyle w:val="Heading2"/>
        <w:spacing w:before="280" w:after="120"/>
        <w:rPr/>
      </w:pPr>
      <w:r>
        <w:rPr>
          <w:rFonts w:eastAsia="Arial" w:cs="Arial" w:ascii="Arial" w:hAnsi="Arial"/>
          <w:b/>
          <w:bCs/>
          <w:color w:val="0D0D0D"/>
          <w:sz w:val="24"/>
          <w:szCs w:val="24"/>
        </w:rPr>
        <w:t>2.2 No es un Valor Negociable</w:t>
      </w:r>
    </w:p>
    <w:p>
      <w:pPr>
        <w:pStyle w:val="Normal"/>
        <w:spacing w:before="0" w:after="160"/>
        <w:jc w:val="both"/>
        <w:rPr/>
      </w:pPr>
      <w:r>
        <w:rPr>
          <w:rFonts w:eastAsia="Arial" w:cs="Arial"/>
          <w:b w:val="false"/>
          <w:bCs w:val="false"/>
          <w:i w:val="false"/>
          <w:iCs w:val="false"/>
          <w:color w:val="0D0D0D"/>
          <w:sz w:val="22"/>
          <w:szCs w:val="22"/>
        </w:rPr>
        <w:t>LA ADQUISICIÓN DE TOKENS ETRF NO CONSTITUYE NI DEBE INTERPRETARSE COMO:</w:t>
      </w:r>
    </w:p>
    <w:p>
      <w:pPr>
        <w:pStyle w:val="ListParagraph"/>
        <w:numPr>
          <w:ilvl w:val="0"/>
          <w:numId w:val="3"/>
        </w:numPr>
        <w:spacing w:before="0" w:after="100"/>
        <w:jc w:val="both"/>
        <w:rPr/>
      </w:pPr>
      <w:r>
        <w:rPr>
          <w:rFonts w:eastAsia="Arial" w:cs="Arial"/>
          <w:color w:val="0D0D0D"/>
          <w:sz w:val="22"/>
          <w:szCs w:val="22"/>
        </w:rPr>
        <w:t>Una inversión en valores negociables, acciones, bonos o cualquier instrumento financiero regulado.</w:t>
      </w:r>
    </w:p>
    <w:p>
      <w:pPr>
        <w:pStyle w:val="ListParagraph"/>
        <w:numPr>
          <w:ilvl w:val="0"/>
          <w:numId w:val="1"/>
        </w:numPr>
        <w:spacing w:before="0" w:after="100"/>
        <w:jc w:val="both"/>
        <w:rPr/>
      </w:pPr>
      <w:r>
        <w:rPr>
          <w:rFonts w:eastAsia="Arial" w:cs="Arial"/>
          <w:color w:val="0D0D0D"/>
          <w:sz w:val="22"/>
          <w:szCs w:val="22"/>
        </w:rPr>
        <w:t>Una participación en las ganancias, dividendos o flujos de caja del Emisor o del protocolo.</w:t>
      </w:r>
    </w:p>
    <w:p>
      <w:pPr>
        <w:pStyle w:val="ListParagraph"/>
        <w:numPr>
          <w:ilvl w:val="0"/>
          <w:numId w:val="1"/>
        </w:numPr>
        <w:spacing w:before="0" w:after="100"/>
        <w:jc w:val="both"/>
        <w:rPr/>
      </w:pPr>
      <w:r>
        <w:rPr>
          <w:rFonts w:eastAsia="Arial" w:cs="Arial"/>
          <w:color w:val="0D0D0D"/>
          <w:sz w:val="22"/>
          <w:szCs w:val="22"/>
        </w:rPr>
        <w:t>Un derecho de propiedad, voto o control sobre Ethernal Fund como entidad.</w:t>
      </w:r>
    </w:p>
    <w:p>
      <w:pPr>
        <w:pStyle w:val="ListParagraph"/>
        <w:numPr>
          <w:ilvl w:val="0"/>
          <w:numId w:val="1"/>
        </w:numPr>
        <w:spacing w:before="0" w:after="100"/>
        <w:jc w:val="both"/>
        <w:rPr/>
      </w:pPr>
      <w:r>
        <w:rPr>
          <w:rFonts w:eastAsia="Arial" w:cs="Arial"/>
          <w:color w:val="0D0D0D"/>
          <w:sz w:val="22"/>
          <w:szCs w:val="22"/>
        </w:rPr>
        <w:t>Una promesa o garantía de retorno económico, apreciación de valor o liquidez futura.</w:t>
      </w:r>
    </w:p>
    <w:p>
      <w:pPr>
        <w:pStyle w:val="ListParagraph"/>
        <w:numPr>
          <w:ilvl w:val="0"/>
          <w:numId w:val="1"/>
        </w:numPr>
        <w:spacing w:before="0" w:after="100"/>
        <w:jc w:val="both"/>
        <w:rPr/>
      </w:pPr>
      <w:r>
        <w:rPr>
          <w:rFonts w:eastAsia="Arial" w:cs="Arial"/>
          <w:color w:val="0D0D0D"/>
          <w:sz w:val="22"/>
          <w:szCs w:val="22"/>
        </w:rPr>
        <w:t>Un depósito bancario, producto de ahorro o instrumento de inversión colectiva.</w:t>
      </w:r>
    </w:p>
    <w:p>
      <w:pPr>
        <w:pStyle w:val="Normal"/>
        <w:spacing w:before="0" w:after="120"/>
        <w:rPr/>
      </w:pPr>
      <w:r>
        <w:rPr/>
      </w:r>
    </w:p>
    <w:p>
      <w:pPr>
        <w:pStyle w:val="Normal"/>
        <w:spacing w:before="40" w:after="140"/>
        <w:jc w:val="both"/>
        <w:rPr/>
      </w:pPr>
      <w:r>
        <w:rPr>
          <w:rFonts w:eastAsia="Arial" w:cs="Arial"/>
          <w:i/>
          <w:iCs/>
          <w:color w:val="555555"/>
          <w:sz w:val="20"/>
          <w:szCs w:val="20"/>
        </w:rPr>
        <w:t>La calificación final de ETRF como utility token o security dependerá de la jurisdicción del Participante y de la interpretación regulatoria aplicable. Es responsabilidad exclusiva del Participante consultar con asesores legales en su jurisdicción antes de participar.</w:t>
      </w:r>
    </w:p>
    <w:p>
      <w:pPr>
        <w:pStyle w:val="Heading1"/>
        <w:pBdr>
          <w:bottom w:val="single" w:sz="4" w:space="6" w:color="897148"/>
        </w:pBdr>
        <w:spacing w:before="400" w:after="160"/>
        <w:rPr/>
      </w:pPr>
      <w:r>
        <w:rPr>
          <w:rFonts w:eastAsia="Arial" w:cs="Arial" w:ascii="Arial" w:hAnsi="Arial"/>
          <w:b/>
          <w:bCs/>
          <w:color w:val="0D0D0D"/>
          <w:sz w:val="28"/>
          <w:szCs w:val="28"/>
        </w:rPr>
        <w:t>3. CONDICIONES DE PARTICIPACIÓN</w:t>
      </w:r>
    </w:p>
    <w:p>
      <w:pPr>
        <w:pStyle w:val="Heading2"/>
        <w:spacing w:before="280" w:after="120"/>
        <w:rPr/>
      </w:pPr>
      <w:r>
        <w:rPr>
          <w:rFonts w:eastAsia="Arial" w:cs="Arial" w:ascii="Arial" w:hAnsi="Arial"/>
          <w:b/>
          <w:bCs/>
          <w:color w:val="0D0D0D"/>
          <w:sz w:val="24"/>
          <w:szCs w:val="24"/>
        </w:rPr>
        <w:t>3.1 Elegibilidad</w:t>
      </w:r>
    </w:p>
    <w:p>
      <w:pPr>
        <w:pStyle w:val="Normal"/>
        <w:spacing w:before="0" w:after="160"/>
        <w:jc w:val="both"/>
        <w:rPr/>
      </w:pPr>
      <w:r>
        <w:rPr>
          <w:rFonts w:eastAsia="Arial" w:cs="Arial"/>
          <w:b w:val="false"/>
          <w:bCs w:val="false"/>
          <w:i w:val="false"/>
          <w:iCs w:val="false"/>
          <w:color w:val="0D0D0D"/>
          <w:sz w:val="22"/>
          <w:szCs w:val="22"/>
        </w:rPr>
        <w:t>Podrán participar en la Token Sale únicamente aquellas personas que cumplan TODAS las siguientes condiciones:</w:t>
      </w:r>
    </w:p>
    <w:p>
      <w:pPr>
        <w:pStyle w:val="ListParagraph"/>
        <w:numPr>
          <w:ilvl w:val="0"/>
          <w:numId w:val="1"/>
        </w:numPr>
        <w:spacing w:before="0" w:after="100"/>
        <w:jc w:val="both"/>
        <w:rPr/>
      </w:pPr>
      <w:r>
        <w:rPr>
          <w:rFonts w:eastAsia="Arial" w:cs="Arial"/>
          <w:color w:val="0D0D0D"/>
          <w:sz w:val="22"/>
          <w:szCs w:val="22"/>
        </w:rPr>
        <w:t>Ser mayor de 18 años o tener la mayoría de edad legal en su jurisdicción de residencia.</w:t>
      </w:r>
    </w:p>
    <w:p>
      <w:pPr>
        <w:pStyle w:val="ListParagraph"/>
        <w:numPr>
          <w:ilvl w:val="0"/>
          <w:numId w:val="1"/>
        </w:numPr>
        <w:spacing w:before="0" w:after="100"/>
        <w:jc w:val="both"/>
        <w:rPr/>
      </w:pPr>
      <w:r>
        <w:rPr>
          <w:rFonts w:eastAsia="Arial" w:cs="Arial"/>
          <w:color w:val="0D0D0D"/>
          <w:sz w:val="22"/>
          <w:szCs w:val="22"/>
        </w:rPr>
        <w:t>No residir ni estar ubicado en ninguna jurisdicción excluida (ver Sección 3.2).</w:t>
      </w:r>
    </w:p>
    <w:p>
      <w:pPr>
        <w:pStyle w:val="ListParagraph"/>
        <w:numPr>
          <w:ilvl w:val="0"/>
          <w:numId w:val="1"/>
        </w:numPr>
        <w:spacing w:before="0" w:after="100"/>
        <w:jc w:val="both"/>
        <w:rPr/>
      </w:pPr>
      <w:r>
        <w:rPr>
          <w:rFonts w:eastAsia="Arial" w:cs="Arial"/>
          <w:color w:val="0D0D0D"/>
          <w:sz w:val="22"/>
          <w:szCs w:val="22"/>
        </w:rPr>
        <w:t>Contar con una wallet EVM compatible y el saldo de USDC necesario para la transacción.</w:t>
      </w:r>
    </w:p>
    <w:p>
      <w:pPr>
        <w:pStyle w:val="ListParagraph"/>
        <w:numPr>
          <w:ilvl w:val="0"/>
          <w:numId w:val="1"/>
        </w:numPr>
        <w:spacing w:before="0" w:after="100"/>
        <w:jc w:val="both"/>
        <w:rPr/>
      </w:pPr>
      <w:r>
        <w:rPr>
          <w:rFonts w:eastAsia="Arial" w:cs="Arial"/>
          <w:color w:val="0D0D0D"/>
          <w:sz w:val="22"/>
          <w:szCs w:val="22"/>
        </w:rPr>
        <w:t>Haber leído, comprendido y aceptado la totalidad de este documento, el Whitepaper y la Política de Privacidad.</w:t>
      </w:r>
    </w:p>
    <w:p>
      <w:pPr>
        <w:pStyle w:val="ListParagraph"/>
        <w:numPr>
          <w:ilvl w:val="0"/>
          <w:numId w:val="1"/>
        </w:numPr>
        <w:spacing w:before="0" w:after="100"/>
        <w:jc w:val="both"/>
        <w:rPr/>
      </w:pPr>
      <w:r>
        <w:rPr>
          <w:rFonts w:eastAsia="Arial" w:cs="Arial"/>
          <w:color w:val="0D0D0D"/>
          <w:sz w:val="22"/>
          <w:szCs w:val="22"/>
        </w:rPr>
        <w:t>No estar incluido en listas de sanciones internacionales (OFAC, ONU, UE, u otras).</w:t>
      </w:r>
    </w:p>
    <w:p>
      <w:pPr>
        <w:pStyle w:val="ListParagraph"/>
        <w:numPr>
          <w:ilvl w:val="0"/>
          <w:numId w:val="1"/>
        </w:numPr>
        <w:spacing w:before="0" w:after="100"/>
        <w:jc w:val="both"/>
        <w:rPr/>
      </w:pPr>
      <w:r>
        <w:rPr>
          <w:rFonts w:eastAsia="Arial" w:cs="Arial"/>
          <w:color w:val="0D0D0D"/>
          <w:sz w:val="22"/>
          <w:szCs w:val="22"/>
        </w:rPr>
        <w:t>Participar con fondos de origen lícito y verificable.</w:t>
      </w:r>
    </w:p>
    <w:p>
      <w:pPr>
        <w:pStyle w:val="Normal"/>
        <w:spacing w:before="0" w:after="120"/>
        <w:rPr/>
      </w:pPr>
      <w:r>
        <w:rPr/>
      </w:r>
    </w:p>
    <w:p>
      <w:pPr>
        <w:pStyle w:val="Heading2"/>
        <w:spacing w:before="280" w:after="120"/>
        <w:rPr/>
      </w:pPr>
      <w:r>
        <w:rPr>
          <w:rFonts w:eastAsia="Arial" w:cs="Arial" w:ascii="Arial" w:hAnsi="Arial"/>
          <w:b/>
          <w:bCs/>
          <w:color w:val="0D0D0D"/>
          <w:sz w:val="24"/>
          <w:szCs w:val="24"/>
        </w:rPr>
        <w:t>3.2 Jurisdicciones Excluidas</w:t>
      </w:r>
    </w:p>
    <w:p>
      <w:pPr>
        <w:pStyle w:val="Normal"/>
        <w:spacing w:before="0" w:after="160"/>
        <w:jc w:val="both"/>
        <w:rPr/>
      </w:pPr>
      <w:r>
        <w:rPr>
          <w:rFonts w:eastAsia="Arial" w:cs="Arial"/>
          <w:b w:val="false"/>
          <w:bCs w:val="false"/>
          <w:i w:val="false"/>
          <w:iCs w:val="false"/>
          <w:color w:val="0D0D0D"/>
          <w:sz w:val="22"/>
          <w:szCs w:val="22"/>
        </w:rPr>
        <w:t>Está PROHIBIDA la participación de personas residentes, ciudadanas o ubicadas en las siguientes jurisdicciones:</w:t>
      </w:r>
    </w:p>
    <w:p>
      <w:pPr>
        <w:pStyle w:val="ListParagraph"/>
        <w:numPr>
          <w:ilvl w:val="0"/>
          <w:numId w:val="1"/>
        </w:numPr>
        <w:spacing w:before="0" w:after="100"/>
        <w:jc w:val="both"/>
        <w:rPr/>
      </w:pPr>
      <w:r>
        <w:rPr>
          <w:rFonts w:eastAsia="Arial" w:cs="Arial"/>
          <w:color w:val="0D0D0D"/>
          <w:sz w:val="22"/>
          <w:szCs w:val="22"/>
        </w:rPr>
        <w:t>Estados Unidos de América y sus territorios (por restricciones de la SEC).</w:t>
      </w:r>
    </w:p>
    <w:p>
      <w:pPr>
        <w:pStyle w:val="ListParagraph"/>
        <w:numPr>
          <w:ilvl w:val="0"/>
          <w:numId w:val="1"/>
        </w:numPr>
        <w:spacing w:before="0" w:after="100"/>
        <w:jc w:val="both"/>
        <w:rPr/>
      </w:pPr>
      <w:r>
        <w:rPr>
          <w:rFonts w:eastAsia="Arial" w:cs="Arial"/>
          <w:color w:val="0D0D0D"/>
          <w:sz w:val="22"/>
          <w:szCs w:val="22"/>
        </w:rPr>
        <w:t>República Popular China.</w:t>
      </w:r>
    </w:p>
    <w:p>
      <w:pPr>
        <w:pStyle w:val="ListParagraph"/>
        <w:numPr>
          <w:ilvl w:val="0"/>
          <w:numId w:val="1"/>
        </w:numPr>
        <w:spacing w:before="0" w:after="100"/>
        <w:jc w:val="both"/>
        <w:rPr/>
      </w:pPr>
      <w:r>
        <w:rPr>
          <w:rFonts w:eastAsia="Arial" w:cs="Arial"/>
          <w:color w:val="0D0D0D"/>
          <w:sz w:val="22"/>
          <w:szCs w:val="22"/>
        </w:rPr>
        <w:t>Corea del Norte (RPDC).</w:t>
      </w:r>
    </w:p>
    <w:p>
      <w:pPr>
        <w:pStyle w:val="ListParagraph"/>
        <w:numPr>
          <w:ilvl w:val="0"/>
          <w:numId w:val="1"/>
        </w:numPr>
        <w:spacing w:before="0" w:after="100"/>
        <w:jc w:val="both"/>
        <w:rPr/>
      </w:pPr>
      <w:r>
        <w:rPr>
          <w:rFonts w:eastAsia="Arial" w:cs="Arial"/>
          <w:color w:val="0D0D0D"/>
          <w:sz w:val="22"/>
          <w:szCs w:val="22"/>
        </w:rPr>
        <w:t>Irán, Cuba, Siria y Venezuela.</w:t>
      </w:r>
    </w:p>
    <w:p>
      <w:pPr>
        <w:pStyle w:val="ListParagraph"/>
        <w:numPr>
          <w:ilvl w:val="0"/>
          <w:numId w:val="1"/>
        </w:numPr>
        <w:spacing w:before="0" w:after="100"/>
        <w:jc w:val="both"/>
        <w:rPr/>
      </w:pPr>
      <w:r>
        <w:rPr>
          <w:rFonts w:eastAsia="Arial" w:cs="Arial"/>
          <w:color w:val="0D0D0D"/>
          <w:sz w:val="22"/>
          <w:szCs w:val="22"/>
        </w:rPr>
        <w:t>Cualquier país sometido a sanciones completas de la OFAC.</w:t>
      </w:r>
    </w:p>
    <w:p>
      <w:pPr>
        <w:pStyle w:val="ListParagraph"/>
        <w:numPr>
          <w:ilvl w:val="0"/>
          <w:numId w:val="1"/>
        </w:numPr>
        <w:spacing w:before="0" w:after="100"/>
        <w:jc w:val="both"/>
        <w:rPr/>
      </w:pPr>
      <w:r>
        <w:rPr>
          <w:rFonts w:eastAsia="Arial" w:cs="Arial"/>
          <w:color w:val="0D0D0D"/>
          <w:sz w:val="22"/>
          <w:szCs w:val="22"/>
        </w:rPr>
        <w:t>Cualquier jurisdicción donde la compra, tenencia o uso de tokens criptográficos esté expresamente prohibida por ley.</w:t>
      </w:r>
    </w:p>
    <w:p>
      <w:pPr>
        <w:pStyle w:val="Normal"/>
        <w:spacing w:before="0" w:after="120"/>
        <w:rPr/>
      </w:pPr>
      <w:r>
        <w:rPr/>
      </w:r>
    </w:p>
    <w:p>
      <w:pPr>
        <w:pStyle w:val="Normal"/>
        <w:spacing w:before="40" w:after="140"/>
        <w:jc w:val="both"/>
        <w:rPr/>
      </w:pPr>
      <w:r>
        <w:rPr>
          <w:rFonts w:eastAsia="Arial" w:cs="Arial"/>
          <w:i/>
          <w:iCs/>
          <w:color w:val="555555"/>
          <w:sz w:val="20"/>
          <w:szCs w:val="20"/>
        </w:rPr>
        <w:t>Al conectar tu wallet e interactuar con el Contrato Inteligente, declarás bajo responsabilidad personal que no pertenecés a ninguna de las jurisdicciones excluidas.</w:t>
      </w:r>
    </w:p>
    <w:p>
      <w:pPr>
        <w:pStyle w:val="Normal"/>
        <w:spacing w:before="0" w:after="120"/>
        <w:rPr/>
      </w:pPr>
      <w:r>
        <w:rPr/>
      </w:r>
    </w:p>
    <w:p>
      <w:pPr>
        <w:pStyle w:val="Heading2"/>
        <w:spacing w:before="280" w:after="120"/>
        <w:rPr/>
      </w:pPr>
      <w:r>
        <w:rPr>
          <w:rFonts w:eastAsia="Arial" w:cs="Arial" w:ascii="Arial" w:hAnsi="Arial"/>
          <w:b/>
          <w:bCs/>
          <w:color w:val="0D0D0D"/>
          <w:sz w:val="24"/>
          <w:szCs w:val="24"/>
        </w:rPr>
        <w:t>3.3 Aceptación de Términos</w:t>
      </w:r>
    </w:p>
    <w:p>
      <w:pPr>
        <w:pStyle w:val="Normal"/>
        <w:spacing w:before="0" w:after="160"/>
        <w:jc w:val="both"/>
        <w:rPr/>
      </w:pPr>
      <w:r>
        <w:rPr>
          <w:rFonts w:eastAsia="Arial" w:cs="Arial"/>
          <w:b w:val="false"/>
          <w:bCs w:val="false"/>
          <w:i w:val="false"/>
          <w:iCs w:val="false"/>
          <w:color w:val="0D0D0D"/>
          <w:sz w:val="22"/>
          <w:szCs w:val="22"/>
        </w:rPr>
        <w:t>La ejecución de cualquier transacción con el Contrato Inteligente de la Token Sale implica la aceptación plena, incondicional y sin reservas de todos los términos contenidos en este documento.</w:t>
      </w:r>
    </w:p>
    <w:p>
      <w:pPr>
        <w:pStyle w:val="Heading1"/>
        <w:pBdr>
          <w:bottom w:val="single" w:sz="4" w:space="6" w:color="897148"/>
        </w:pBdr>
        <w:spacing w:before="400" w:after="160"/>
        <w:rPr/>
      </w:pPr>
      <w:r>
        <w:rPr>
          <w:rFonts w:eastAsia="Arial" w:cs="Arial" w:ascii="Arial" w:hAnsi="Arial"/>
          <w:b/>
          <w:bCs/>
          <w:color w:val="0D0D0D"/>
          <w:sz w:val="28"/>
          <w:szCs w:val="28"/>
        </w:rPr>
        <w:t>4. CONDICIONES DE LA TOKEN SALE</w:t>
      </w:r>
    </w:p>
    <w:p>
      <w:pPr>
        <w:pStyle w:val="Heading2"/>
        <w:spacing w:before="280" w:after="120"/>
        <w:rPr/>
      </w:pPr>
      <w:r>
        <w:rPr>
          <w:rFonts w:eastAsia="Arial" w:cs="Arial" w:ascii="Arial" w:hAnsi="Arial"/>
          <w:b/>
          <w:bCs/>
          <w:color w:val="0D0D0D"/>
          <w:sz w:val="24"/>
          <w:szCs w:val="24"/>
        </w:rPr>
        <w:t>4.1 Estructura del Seed Round</w:t>
      </w:r>
    </w:p>
    <w:p>
      <w:pPr>
        <w:pStyle w:val="ListParagraph"/>
        <w:numPr>
          <w:ilvl w:val="0"/>
          <w:numId w:val="1"/>
        </w:numPr>
        <w:spacing w:before="0" w:after="100"/>
        <w:jc w:val="both"/>
        <w:rPr/>
      </w:pPr>
      <w:r>
        <w:rPr>
          <w:rFonts w:eastAsia="Arial" w:cs="Arial"/>
          <w:color w:val="0D0D0D"/>
          <w:sz w:val="22"/>
          <w:szCs w:val="22"/>
        </w:rPr>
        <w:t>Tokens disponibles: 100.000.000 ETRF (cien millones de tokens).</w:t>
      </w:r>
    </w:p>
    <w:p>
      <w:pPr>
        <w:pStyle w:val="ListParagraph"/>
        <w:numPr>
          <w:ilvl w:val="0"/>
          <w:numId w:val="1"/>
        </w:numPr>
        <w:spacing w:before="0" w:after="100"/>
        <w:jc w:val="both"/>
        <w:rPr/>
      </w:pPr>
      <w:r>
        <w:rPr>
          <w:rFonts w:eastAsia="Arial" w:cs="Arial"/>
          <w:color w:val="0D0D0D"/>
          <w:sz w:val="22"/>
          <w:szCs w:val="22"/>
        </w:rPr>
        <w:t>Precio por token: USD 0,01 pagadero en USDC en la red Arbitrum.</w:t>
      </w:r>
    </w:p>
    <w:p>
      <w:pPr>
        <w:pStyle w:val="ListParagraph"/>
        <w:numPr>
          <w:ilvl w:val="0"/>
          <w:numId w:val="1"/>
        </w:numPr>
        <w:spacing w:before="0" w:after="100"/>
        <w:jc w:val="both"/>
        <w:rPr/>
      </w:pPr>
      <w:r>
        <w:rPr>
          <w:rFonts w:eastAsia="Arial" w:cs="Arial"/>
          <w:color w:val="0D0D0D"/>
          <w:sz w:val="22"/>
          <w:szCs w:val="22"/>
        </w:rPr>
        <w:t>Hard Cap: monto máximo de recaudación definido en el Contrato Inteligente.</w:t>
      </w:r>
    </w:p>
    <w:p>
      <w:pPr>
        <w:pStyle w:val="ListParagraph"/>
        <w:numPr>
          <w:ilvl w:val="0"/>
          <w:numId w:val="1"/>
        </w:numPr>
        <w:spacing w:before="0" w:after="100"/>
        <w:jc w:val="both"/>
        <w:rPr/>
      </w:pPr>
      <w:r>
        <w:rPr>
          <w:rFonts w:eastAsia="Arial" w:cs="Arial"/>
          <w:color w:val="0D0D0D"/>
          <w:sz w:val="22"/>
          <w:szCs w:val="22"/>
        </w:rPr>
        <w:t>Cap por wallet: monto máximo de USDC por dirección de blockchain, definido en el Contrato Inteligente.</w:t>
      </w:r>
    </w:p>
    <w:p>
      <w:pPr>
        <w:pStyle w:val="ListParagraph"/>
        <w:numPr>
          <w:ilvl w:val="0"/>
          <w:numId w:val="1"/>
        </w:numPr>
        <w:spacing w:before="0" w:after="100"/>
        <w:jc w:val="both"/>
        <w:rPr/>
      </w:pPr>
      <w:r>
        <w:rPr>
          <w:rFonts w:eastAsia="Arial" w:cs="Arial"/>
          <w:color w:val="0D0D0D"/>
          <w:sz w:val="22"/>
          <w:szCs w:val="22"/>
        </w:rPr>
        <w:t>Medio de pago aceptado: USDC exclusivamente.</w:t>
      </w:r>
    </w:p>
    <w:p>
      <w:pPr>
        <w:pStyle w:val="ListParagraph"/>
        <w:numPr>
          <w:ilvl w:val="0"/>
          <w:numId w:val="1"/>
        </w:numPr>
        <w:spacing w:before="0" w:after="100"/>
        <w:jc w:val="both"/>
        <w:rPr/>
      </w:pPr>
      <w:r>
        <w:rPr>
          <w:rFonts w:eastAsia="Arial" w:cs="Arial"/>
          <w:color w:val="0D0D0D"/>
          <w:sz w:val="22"/>
          <w:szCs w:val="22"/>
        </w:rPr>
        <w:t>Cliff y vesting: según parámetros inmutables definidos en el Contrato Inteligente al despliegue.</w:t>
      </w:r>
    </w:p>
    <w:p>
      <w:pPr>
        <w:pStyle w:val="Normal"/>
        <w:spacing w:before="0" w:after="120"/>
        <w:rPr/>
      </w:pPr>
      <w:r>
        <w:rPr/>
      </w:r>
    </w:p>
    <w:p>
      <w:pPr>
        <w:pStyle w:val="Heading2"/>
        <w:spacing w:before="280" w:after="120"/>
        <w:rPr/>
      </w:pPr>
      <w:r>
        <w:rPr>
          <w:rFonts w:eastAsia="Arial" w:cs="Arial" w:ascii="Arial" w:hAnsi="Arial"/>
          <w:b/>
          <w:bCs/>
          <w:color w:val="0D0D0D"/>
          <w:sz w:val="24"/>
          <w:szCs w:val="24"/>
        </w:rPr>
        <w:t>4.2 Proceso de Compra</w:t>
      </w:r>
    </w:p>
    <w:p>
      <w:pPr>
        <w:pStyle w:val="ListParagraph"/>
        <w:numPr>
          <w:ilvl w:val="0"/>
          <w:numId w:val="1"/>
        </w:numPr>
        <w:spacing w:before="0" w:after="100"/>
        <w:jc w:val="both"/>
        <w:rPr/>
      </w:pPr>
      <w:r>
        <w:rPr>
          <w:rFonts w:eastAsia="Arial" w:cs="Arial"/>
          <w:color w:val="0D0D0D"/>
          <w:sz w:val="22"/>
          <w:szCs w:val="22"/>
        </w:rPr>
        <w:t>El Participante aprueba el gasto de USDC al Contrato Inteligente.</w:t>
      </w:r>
    </w:p>
    <w:p>
      <w:pPr>
        <w:pStyle w:val="ListParagraph"/>
        <w:numPr>
          <w:ilvl w:val="0"/>
          <w:numId w:val="1"/>
        </w:numPr>
        <w:spacing w:before="0" w:after="100"/>
        <w:jc w:val="both"/>
        <w:rPr/>
      </w:pPr>
      <w:r>
        <w:rPr>
          <w:rFonts w:eastAsia="Arial" w:cs="Arial"/>
          <w:color w:val="0D0D0D"/>
          <w:sz w:val="22"/>
          <w:szCs w:val="22"/>
        </w:rPr>
        <w:t>El Contrato verifica que la ronda esté activa, el monto sea válido y no exceda el cap por wallet.</w:t>
      </w:r>
    </w:p>
    <w:p>
      <w:pPr>
        <w:pStyle w:val="ListParagraph"/>
        <w:numPr>
          <w:ilvl w:val="0"/>
          <w:numId w:val="1"/>
        </w:numPr>
        <w:spacing w:before="0" w:after="100"/>
        <w:jc w:val="both"/>
        <w:rPr/>
      </w:pPr>
      <w:r>
        <w:rPr>
          <w:rFonts w:eastAsia="Arial" w:cs="Arial"/>
          <w:color w:val="0D0D0D"/>
          <w:sz w:val="22"/>
          <w:szCs w:val="22"/>
        </w:rPr>
        <w:t>El Contrato recibe el USDC y registra la compra con el cronograma de vesting correspondiente.</w:t>
      </w:r>
    </w:p>
    <w:p>
      <w:pPr>
        <w:pStyle w:val="ListParagraph"/>
        <w:numPr>
          <w:ilvl w:val="0"/>
          <w:numId w:val="1"/>
        </w:numPr>
        <w:spacing w:before="0" w:after="100"/>
        <w:jc w:val="both"/>
        <w:rPr/>
      </w:pPr>
      <w:r>
        <w:rPr>
          <w:rFonts w:eastAsia="Arial" w:cs="Arial"/>
          <w:color w:val="0D0D0D"/>
          <w:sz w:val="22"/>
          <w:szCs w:val="22"/>
        </w:rPr>
        <w:t>El Participante puede monitorear y reclamar tokens desde ethernal.fund/sale.</w:t>
      </w:r>
    </w:p>
    <w:p>
      <w:pPr>
        <w:pStyle w:val="Normal"/>
        <w:spacing w:before="0" w:after="120"/>
        <w:rPr/>
      </w:pPr>
      <w:r>
        <w:rPr/>
      </w:r>
    </w:p>
    <w:p>
      <w:pPr>
        <w:pStyle w:val="Heading2"/>
        <w:spacing w:before="280" w:after="120"/>
        <w:rPr/>
      </w:pPr>
      <w:r>
        <w:rPr>
          <w:rFonts w:eastAsia="Arial" w:cs="Arial" w:ascii="Arial" w:hAnsi="Arial"/>
          <w:b/>
          <w:bCs/>
          <w:color w:val="0D0D0D"/>
          <w:sz w:val="24"/>
          <w:szCs w:val="24"/>
        </w:rPr>
        <w:t>4.3 Vesting y Cliff</w:t>
      </w:r>
    </w:p>
    <w:p>
      <w:pPr>
        <w:pStyle w:val="ListParagraph"/>
        <w:numPr>
          <w:ilvl w:val="0"/>
          <w:numId w:val="1"/>
        </w:numPr>
        <w:spacing w:before="0" w:after="100"/>
        <w:jc w:val="both"/>
        <w:rPr/>
      </w:pPr>
      <w:r>
        <w:rPr>
          <w:rFonts w:eastAsia="Arial" w:cs="Arial"/>
          <w:color w:val="0D0D0D"/>
          <w:sz w:val="22"/>
          <w:szCs w:val="22"/>
        </w:rPr>
        <w:t>Durante el cliff, ningún token puede ser reclamado.</w:t>
      </w:r>
    </w:p>
    <w:p>
      <w:pPr>
        <w:pStyle w:val="ListParagraph"/>
        <w:numPr>
          <w:ilvl w:val="0"/>
          <w:numId w:val="1"/>
        </w:numPr>
        <w:spacing w:before="0" w:after="100"/>
        <w:jc w:val="both"/>
        <w:rPr/>
      </w:pPr>
      <w:r>
        <w:rPr>
          <w:rFonts w:eastAsia="Arial" w:cs="Arial"/>
          <w:color w:val="0D0D0D"/>
          <w:sz w:val="22"/>
          <w:szCs w:val="22"/>
        </w:rPr>
        <w:t>Superado el cliff, los tokens se liberan linealmente durante el período de vesting.</w:t>
      </w:r>
    </w:p>
    <w:p>
      <w:pPr>
        <w:pStyle w:val="ListParagraph"/>
        <w:numPr>
          <w:ilvl w:val="0"/>
          <w:numId w:val="1"/>
        </w:numPr>
        <w:spacing w:before="0" w:after="100"/>
        <w:jc w:val="both"/>
        <w:rPr/>
      </w:pPr>
      <w:r>
        <w:rPr>
          <w:rFonts w:eastAsia="Arial" w:cs="Arial"/>
          <w:color w:val="0D0D0D"/>
          <w:sz w:val="22"/>
          <w:szCs w:val="22"/>
        </w:rPr>
        <w:t>El cronograma corre desde el momento de la compra individual de cada Participante.</w:t>
      </w:r>
    </w:p>
    <w:p>
      <w:pPr>
        <w:pStyle w:val="ListParagraph"/>
        <w:numPr>
          <w:ilvl w:val="0"/>
          <w:numId w:val="1"/>
        </w:numPr>
        <w:spacing w:before="0" w:after="100"/>
        <w:jc w:val="both"/>
        <w:rPr/>
      </w:pPr>
      <w:r>
        <w:rPr>
          <w:rFonts w:eastAsia="Arial" w:cs="Arial"/>
          <w:color w:val="0D0D0D"/>
          <w:sz w:val="22"/>
          <w:szCs w:val="22"/>
        </w:rPr>
        <w:t>El claim es una acción que el Participante debe ejecutar manualmente.</w:t>
      </w:r>
    </w:p>
    <w:p>
      <w:pPr>
        <w:pStyle w:val="ListParagraph"/>
        <w:numPr>
          <w:ilvl w:val="0"/>
          <w:numId w:val="1"/>
        </w:numPr>
        <w:spacing w:before="0" w:after="100"/>
        <w:jc w:val="both"/>
        <w:rPr/>
      </w:pPr>
      <w:r>
        <w:rPr>
          <w:rFonts w:eastAsia="Arial" w:cs="Arial"/>
          <w:color w:val="0D0D0D"/>
          <w:sz w:val="22"/>
          <w:szCs w:val="22"/>
        </w:rPr>
        <w:t>Los tokens no reclamados no caducan y permanecen disponibles en el contrato.</w:t>
      </w:r>
    </w:p>
    <w:p>
      <w:pPr>
        <w:pStyle w:val="Normal"/>
        <w:spacing w:before="0" w:after="120"/>
        <w:rPr/>
      </w:pPr>
      <w:r>
        <w:rPr/>
      </w:r>
    </w:p>
    <w:p>
      <w:pPr>
        <w:pStyle w:val="Heading2"/>
        <w:spacing w:before="280" w:after="120"/>
        <w:rPr/>
      </w:pPr>
      <w:r>
        <w:rPr>
          <w:rFonts w:eastAsia="Arial" w:cs="Arial" w:ascii="Arial" w:hAnsi="Arial"/>
          <w:b/>
          <w:bCs/>
          <w:color w:val="0D0D0D"/>
          <w:sz w:val="24"/>
          <w:szCs w:val="24"/>
        </w:rPr>
        <w:t>4.4 Irreversibilidad de las Transacciones</w:t>
      </w:r>
    </w:p>
    <w:p>
      <w:pPr>
        <w:pStyle w:val="Normal"/>
        <w:spacing w:before="0" w:after="160"/>
        <w:jc w:val="both"/>
        <w:rPr/>
      </w:pPr>
      <w:r>
        <w:rPr>
          <w:rFonts w:eastAsia="Arial" w:cs="Arial"/>
          <w:b w:val="false"/>
          <w:bCs w:val="false"/>
          <w:i w:val="false"/>
          <w:iCs w:val="false"/>
          <w:color w:val="0D0D0D"/>
          <w:sz w:val="22"/>
          <w:szCs w:val="22"/>
        </w:rPr>
        <w:t>Todas las transacciones ejecutadas en la blockchain de Arbitrum son irreversibles. Una vez transferido el USDC al Contrato Inteligente, no existe mecanismo de reembolso, reversión ni cancelación. El Emisor no tiene capacidad técnica para revertir transacciones on-chain.</w:t>
      </w:r>
    </w:p>
    <w:p>
      <w:pPr>
        <w:pStyle w:val="Normal"/>
        <w:spacing w:before="0" w:after="160"/>
        <w:jc w:val="both"/>
        <w:rPr>
          <w:rFonts w:ascii="Arial" w:hAnsi="Arial" w:eastAsia="Arial" w:cs="Arial"/>
          <w:b w:val="false"/>
          <w:bCs w:val="false"/>
          <w:i w:val="false"/>
          <w:i w:val="false"/>
          <w:iCs w:val="false"/>
          <w:color w:val="0D0D0D"/>
          <w:sz w:val="22"/>
          <w:szCs w:val="22"/>
        </w:rPr>
      </w:pPr>
      <w:r>
        <w:rPr/>
      </w:r>
    </w:p>
    <w:p>
      <w:pPr>
        <w:pStyle w:val="Heading2"/>
        <w:keepNext w:val="true"/>
        <w:widowControl/>
        <w:bidi w:val="0"/>
        <w:jc w:val="left"/>
        <w:rPr>
          <w:rFonts w:ascii="Arial" w:hAnsi="Arial"/>
        </w:rPr>
      </w:pPr>
      <w:r>
        <w:rPr>
          <w:rFonts w:ascii="Arial" w:hAnsi="Arial"/>
        </w:rPr>
        <w:t>4.5 Uso del Dinero Recaudado</w:t>
      </w:r>
    </w:p>
    <w:p>
      <w:pPr>
        <w:pStyle w:val="BodyText"/>
        <w:spacing w:before="0" w:after="160"/>
        <w:jc w:val="both"/>
        <w:rPr/>
      </w:pPr>
      <w:r>
        <w:rPr>
          <w:rFonts w:eastAsia="Arial" w:cs="Arial"/>
          <w:b w:val="false"/>
          <w:bCs w:val="false"/>
          <w:i w:val="false"/>
          <w:iCs w:val="false"/>
          <w:color w:val="0D0D0D"/>
          <w:sz w:val="22"/>
          <w:szCs w:val="22"/>
        </w:rPr>
        <w:t>Los fondos obtenidos en esta Seed Round serán utilizados principalmente para:</w:t>
      </w:r>
    </w:p>
    <w:p>
      <w:pPr>
        <w:pStyle w:val="ListParagraph"/>
        <w:widowControl/>
        <w:numPr>
          <w:ilvl w:val="0"/>
          <w:numId w:val="1"/>
        </w:numPr>
        <w:bidi w:val="0"/>
        <w:spacing w:before="0" w:after="100"/>
        <w:jc w:val="both"/>
        <w:rPr>
          <w:rFonts w:ascii="Arial" w:hAnsi="Arial" w:eastAsia="Arial" w:cs="Arial"/>
          <w:color w:val="0D0D0D"/>
          <w:sz w:val="22"/>
          <w:szCs w:val="22"/>
        </w:rPr>
      </w:pPr>
      <w:r>
        <w:rPr>
          <w:rFonts w:eastAsia="Arial" w:cs="Arial"/>
          <w:color w:val="0D0D0D"/>
          <w:sz w:val="22"/>
          <w:szCs w:val="22"/>
        </w:rPr>
        <w:t xml:space="preserve">Realizar múltiples auditorías de seguridad de smart contracts por firmas de primer nivel. </w:t>
      </w:r>
    </w:p>
    <w:p>
      <w:pPr>
        <w:pStyle w:val="ListParagraph"/>
        <w:widowControl/>
        <w:numPr>
          <w:ilvl w:val="0"/>
          <w:numId w:val="1"/>
        </w:numPr>
        <w:bidi w:val="0"/>
        <w:spacing w:before="0" w:after="100"/>
        <w:jc w:val="both"/>
        <w:rPr>
          <w:rFonts w:ascii="Arial" w:hAnsi="Arial" w:eastAsia="Arial" w:cs="Arial"/>
          <w:color w:val="0D0D0D"/>
          <w:sz w:val="22"/>
          <w:szCs w:val="22"/>
        </w:rPr>
      </w:pPr>
      <w:r>
        <w:rPr>
          <w:rFonts w:eastAsia="Arial" w:cs="Arial"/>
          <w:color w:val="0D0D0D"/>
          <w:sz w:val="22"/>
          <w:szCs w:val="22"/>
        </w:rPr>
        <w:t xml:space="preserve">Contratar una auditoría económica y de tokenomics. </w:t>
      </w:r>
    </w:p>
    <w:p>
      <w:pPr>
        <w:pStyle w:val="ListParagraph"/>
        <w:widowControl/>
        <w:numPr>
          <w:ilvl w:val="0"/>
          <w:numId w:val="1"/>
        </w:numPr>
        <w:bidi w:val="0"/>
        <w:spacing w:before="0" w:after="100"/>
        <w:jc w:val="both"/>
        <w:rPr>
          <w:rFonts w:ascii="Arial" w:hAnsi="Arial" w:eastAsia="Arial" w:cs="Arial"/>
          <w:color w:val="0D0D0D"/>
          <w:sz w:val="22"/>
          <w:szCs w:val="22"/>
        </w:rPr>
      </w:pPr>
      <w:r>
        <w:rPr>
          <w:rFonts w:eastAsia="Arial" w:cs="Arial"/>
          <w:color w:val="0D0D0D"/>
          <w:sz w:val="22"/>
          <w:szCs w:val="22"/>
        </w:rPr>
        <w:t xml:space="preserve">Desarrollo técnico y crecimiento del protocolo. </w:t>
      </w:r>
    </w:p>
    <w:p>
      <w:pPr>
        <w:pStyle w:val="ListParagraph"/>
        <w:widowControl/>
        <w:numPr>
          <w:ilvl w:val="0"/>
          <w:numId w:val="1"/>
        </w:numPr>
        <w:bidi w:val="0"/>
        <w:spacing w:before="0" w:after="100"/>
        <w:jc w:val="both"/>
        <w:rPr>
          <w:rFonts w:ascii="Arial" w:hAnsi="Arial" w:eastAsia="Arial" w:cs="Arial"/>
          <w:color w:val="0D0D0D"/>
          <w:sz w:val="22"/>
          <w:szCs w:val="22"/>
        </w:rPr>
      </w:pPr>
      <w:r>
        <w:rPr>
          <w:rFonts w:eastAsia="Arial" w:cs="Arial"/>
          <w:color w:val="0D0D0D"/>
          <w:sz w:val="22"/>
          <w:szCs w:val="22"/>
        </w:rPr>
        <w:t xml:space="preserve">Reservas de liquidez y operaciones. </w:t>
      </w:r>
    </w:p>
    <w:p>
      <w:pPr>
        <w:pStyle w:val="BodyText"/>
        <w:ind w:hanging="0" w:left="0" w:right="0"/>
        <w:rPr/>
      </w:pPr>
      <w:r>
        <w:rPr/>
        <w:t>Se publicará un reporte de uso de fondos una vez completadas las auditorías principales.</w:t>
      </w:r>
    </w:p>
    <w:p>
      <w:pPr>
        <w:pStyle w:val="Normal"/>
        <w:spacing w:before="0" w:after="160"/>
        <w:jc w:val="both"/>
        <w:rPr>
          <w:rFonts w:ascii="Arial" w:hAnsi="Arial" w:eastAsia="Arial" w:cs="Arial"/>
          <w:b w:val="false"/>
          <w:bCs w:val="false"/>
          <w:i w:val="false"/>
          <w:i w:val="false"/>
          <w:iCs w:val="false"/>
          <w:color w:val="0D0D0D"/>
          <w:sz w:val="22"/>
          <w:szCs w:val="22"/>
        </w:rPr>
      </w:pPr>
      <w:r>
        <w:rPr/>
      </w:r>
    </w:p>
    <w:p>
      <w:pPr>
        <w:pStyle w:val="Heading1"/>
        <w:pBdr>
          <w:bottom w:val="single" w:sz="4" w:space="6" w:color="897148"/>
        </w:pBdr>
        <w:spacing w:before="400" w:after="160"/>
        <w:rPr/>
      </w:pPr>
      <w:r>
        <w:rPr>
          <w:rFonts w:eastAsia="Arial" w:cs="Arial" w:ascii="Arial" w:hAnsi="Arial"/>
          <w:b/>
          <w:bCs/>
          <w:color w:val="0D0D0D"/>
          <w:sz w:val="28"/>
          <w:szCs w:val="28"/>
        </w:rPr>
        <w:t>5. FACTORES DE RIESGO</w:t>
      </w:r>
    </w:p>
    <w:p>
      <w:pPr>
        <w:pStyle w:val="Normal"/>
        <w:spacing w:before="0" w:after="160"/>
        <w:jc w:val="both"/>
        <w:rPr/>
      </w:pPr>
      <w:r>
        <w:rPr>
          <w:rFonts w:eastAsia="Arial" w:cs="Arial"/>
          <w:b w:val="false"/>
          <w:bCs w:val="false"/>
          <w:i w:val="false"/>
          <w:iCs w:val="false"/>
          <w:color w:val="0D0D0D"/>
          <w:sz w:val="22"/>
          <w:szCs w:val="22"/>
        </w:rPr>
        <w:t>La participación en la Token Sale implica riesgos significativos. El Participante declara conocer y aceptar los siguientes riesgos:</w:t>
      </w:r>
    </w:p>
    <w:p>
      <w:pPr>
        <w:pStyle w:val="Normal"/>
        <w:spacing w:before="0" w:after="120"/>
        <w:rPr/>
      </w:pPr>
      <w:r>
        <w:rPr/>
      </w:r>
    </w:p>
    <w:p>
      <w:pPr>
        <w:pStyle w:val="Heading2"/>
        <w:spacing w:before="280" w:after="120"/>
        <w:rPr/>
      </w:pPr>
      <w:r>
        <w:rPr>
          <w:rFonts w:eastAsia="Arial" w:cs="Arial" w:ascii="Arial" w:hAnsi="Arial"/>
          <w:b/>
          <w:bCs/>
          <w:color w:val="0D0D0D"/>
          <w:sz w:val="24"/>
          <w:szCs w:val="24"/>
        </w:rPr>
        <w:t>5.1 Pérdida Total de Capital</w:t>
      </w:r>
    </w:p>
    <w:p>
      <w:pPr>
        <w:pStyle w:val="Normal"/>
        <w:spacing w:before="0" w:after="160"/>
        <w:jc w:val="both"/>
        <w:rPr/>
      </w:pPr>
      <w:r>
        <w:rPr>
          <w:rFonts w:eastAsia="Arial" w:cs="Arial"/>
          <w:b w:val="false"/>
          <w:bCs w:val="false"/>
          <w:i w:val="false"/>
          <w:iCs w:val="false"/>
          <w:color w:val="0D0D0D"/>
          <w:sz w:val="22"/>
          <w:szCs w:val="22"/>
        </w:rPr>
        <w:t>El valor de los tokens ETRF puede caer a cero. El Participante debe tener capacidad económica para absorber la pérdida total del monto invertido.</w:t>
      </w:r>
    </w:p>
    <w:p>
      <w:pPr>
        <w:pStyle w:val="Heading2"/>
        <w:spacing w:before="280" w:after="120"/>
        <w:rPr/>
      </w:pPr>
      <w:r>
        <w:rPr>
          <w:rFonts w:eastAsia="Arial" w:cs="Arial" w:ascii="Arial" w:hAnsi="Arial"/>
          <w:b/>
          <w:bCs/>
          <w:color w:val="0D0D0D"/>
          <w:sz w:val="24"/>
          <w:szCs w:val="24"/>
        </w:rPr>
        <w:t>5.2 Riesgo de Smart Contract</w:t>
      </w:r>
    </w:p>
    <w:p>
      <w:pPr>
        <w:pStyle w:val="BodyText"/>
        <w:spacing w:before="0" w:after="160"/>
        <w:jc w:val="both"/>
        <w:rPr/>
      </w:pPr>
      <w:r>
        <w:rPr>
          <w:rFonts w:eastAsia="Arial" w:cs="Arial"/>
          <w:b w:val="false"/>
          <w:bCs w:val="false"/>
          <w:i w:val="false"/>
          <w:iCs w:val="false"/>
          <w:color w:val="0D0D0D"/>
          <w:sz w:val="22"/>
          <w:szCs w:val="22"/>
        </w:rPr>
        <w:t xml:space="preserve">El equipo tiene la intención de realizar múltiples auditorías de seguridad de alto nivel (incluyendo firmas como Trail of Bits, Certora, CertiK u otras de similar reputación) y una auditoría económica/tokenomics una vez finalizada la Seed Round. Los fondos recaudados se destinarán principalmente a estas auditorías y al desarrollo del protocolo. </w:t>
      </w:r>
      <w:r>
        <w:rPr>
          <w:rFonts w:eastAsia="Arial" w:cs="Arial"/>
          <w:b w:val="false"/>
          <w:bCs w:val="false"/>
          <w:i w:val="false"/>
          <w:iCs w:val="false"/>
          <w:color w:val="0D0D0D"/>
          <w:sz w:val="22"/>
          <w:szCs w:val="22"/>
        </w:rPr>
        <w:t xml:space="preserve">Ninguna auditoría garantiza la ausencia de bugs o vulnerabilidades. Un exploit podría resultar en la pérdida parcial o total de fondos.</w:t>
      </w:r>
    </w:p>
    <w:p>
      <w:pPr>
        <w:pStyle w:val="Heading2"/>
        <w:spacing w:before="280" w:after="120"/>
        <w:rPr/>
      </w:pPr>
      <w:r>
        <w:rPr>
          <w:rFonts w:eastAsia="Arial" w:cs="Arial" w:ascii="Arial" w:hAnsi="Arial"/>
          <w:b/>
          <w:bCs/>
          <w:color w:val="0D0D0D"/>
          <w:sz w:val="24"/>
          <w:szCs w:val="24"/>
        </w:rPr>
        <w:t>5.3 Riesgo Regulatorio</w:t>
      </w:r>
    </w:p>
    <w:p>
      <w:pPr>
        <w:pStyle w:val="Normal"/>
        <w:spacing w:before="0" w:after="160"/>
        <w:jc w:val="both"/>
        <w:rPr/>
      </w:pPr>
      <w:r>
        <w:rPr>
          <w:rFonts w:eastAsia="Arial" w:cs="Arial"/>
          <w:b w:val="false"/>
          <w:bCs w:val="false"/>
          <w:i w:val="false"/>
          <w:iCs w:val="false"/>
          <w:color w:val="0D0D0D"/>
          <w:sz w:val="22"/>
          <w:szCs w:val="22"/>
        </w:rPr>
        <w:t>El marco regulatorio de los criptoactivos es incierto y cambia constantemente. Cambios futuros podrían afectar la operación del protocolo, la utilidad del token o la capacidad de transferirlos.</w:t>
      </w:r>
    </w:p>
    <w:p>
      <w:pPr>
        <w:pStyle w:val="Heading2"/>
        <w:spacing w:before="280" w:after="120"/>
        <w:rPr/>
      </w:pPr>
      <w:r>
        <w:rPr>
          <w:rFonts w:eastAsia="Arial" w:cs="Arial" w:ascii="Arial" w:hAnsi="Arial"/>
          <w:b/>
          <w:bCs/>
          <w:color w:val="0D0D0D"/>
          <w:sz w:val="24"/>
          <w:szCs w:val="24"/>
        </w:rPr>
        <w:t>5.4 Riesgo de Liquidez</w:t>
      </w:r>
    </w:p>
    <w:p>
      <w:pPr>
        <w:pStyle w:val="Normal"/>
        <w:spacing w:before="0" w:after="160"/>
        <w:jc w:val="both"/>
        <w:rPr/>
      </w:pPr>
      <w:r>
        <w:rPr>
          <w:rFonts w:eastAsia="Arial" w:cs="Arial"/>
          <w:b w:val="false"/>
          <w:bCs w:val="false"/>
          <w:i w:val="false"/>
          <w:iCs w:val="false"/>
          <w:color w:val="0D0D0D"/>
          <w:sz w:val="22"/>
          <w:szCs w:val="22"/>
        </w:rPr>
        <w:t>No existe garantía de que los tokens ETRF vayan a cotizar en ningún exchange ni de que exista mercado secundario con liquidez suficiente.</w:t>
      </w:r>
    </w:p>
    <w:p>
      <w:pPr>
        <w:pStyle w:val="Heading2"/>
        <w:spacing w:before="280" w:after="120"/>
        <w:rPr/>
      </w:pPr>
      <w:r>
        <w:rPr>
          <w:rFonts w:eastAsia="Arial" w:cs="Arial" w:ascii="Arial" w:hAnsi="Arial"/>
          <w:b/>
          <w:bCs/>
          <w:color w:val="0D0D0D"/>
          <w:sz w:val="24"/>
          <w:szCs w:val="24"/>
        </w:rPr>
        <w:t>5.5 Riesgo Tecnológico</w:t>
      </w:r>
    </w:p>
    <w:p>
      <w:pPr>
        <w:pStyle w:val="Normal"/>
        <w:spacing w:before="0" w:after="160"/>
        <w:jc w:val="both"/>
        <w:rPr/>
      </w:pPr>
      <w:r>
        <w:rPr>
          <w:rFonts w:eastAsia="Arial" w:cs="Arial"/>
          <w:b w:val="false"/>
          <w:bCs w:val="false"/>
          <w:i w:val="false"/>
          <w:iCs w:val="false"/>
          <w:color w:val="0D0D0D"/>
          <w:sz w:val="22"/>
          <w:szCs w:val="22"/>
        </w:rPr>
        <w:t>El protocolo depende de la red Arbitrum y Ethereum. Fallas, actualizaciones incompatibles o ataques en estas redes podrían afectar la disponibilidad del protocolo.</w:t>
      </w:r>
    </w:p>
    <w:p>
      <w:pPr>
        <w:pStyle w:val="Heading2"/>
        <w:spacing w:before="280" w:after="120"/>
        <w:rPr/>
      </w:pPr>
      <w:r>
        <w:rPr>
          <w:rFonts w:eastAsia="Arial" w:cs="Arial" w:ascii="Arial" w:hAnsi="Arial"/>
          <w:b/>
          <w:bCs/>
          <w:color w:val="0D0D0D"/>
          <w:sz w:val="24"/>
          <w:szCs w:val="24"/>
        </w:rPr>
        <w:t>5.6 Riesgo de Proyecto</w:t>
      </w:r>
    </w:p>
    <w:p>
      <w:pPr>
        <w:pStyle w:val="Normal"/>
        <w:spacing w:before="0" w:after="160"/>
        <w:jc w:val="both"/>
        <w:rPr/>
      </w:pPr>
      <w:r>
        <w:rPr>
          <w:rFonts w:eastAsia="Arial" w:cs="Arial"/>
          <w:b w:val="false"/>
          <w:bCs w:val="false"/>
          <w:i w:val="false"/>
          <w:iCs w:val="false"/>
          <w:color w:val="0D0D0D"/>
          <w:sz w:val="22"/>
          <w:szCs w:val="22"/>
        </w:rPr>
        <w:t>El equipo puede no lograr ejecutar el roadmap por razones técnicas, financieras, regulatorias o personales. El protocolo puede no alcanzar adopción suficiente para sostenerse.</w:t>
      </w:r>
    </w:p>
    <w:p>
      <w:pPr>
        <w:pStyle w:val="Heading2"/>
        <w:spacing w:before="280" w:after="120"/>
        <w:rPr/>
      </w:pPr>
      <w:r>
        <w:rPr>
          <w:rFonts w:eastAsia="Arial" w:cs="Arial" w:ascii="Arial" w:hAnsi="Arial"/>
          <w:b/>
          <w:bCs/>
          <w:color w:val="0D0D0D"/>
          <w:sz w:val="24"/>
          <w:szCs w:val="24"/>
        </w:rPr>
        <w:t>5.7 Riesgo de Custodia</w:t>
      </w:r>
    </w:p>
    <w:p>
      <w:pPr>
        <w:pStyle w:val="Normal"/>
        <w:spacing w:before="0" w:after="160"/>
        <w:jc w:val="both"/>
        <w:rPr/>
      </w:pPr>
      <w:r>
        <w:rPr>
          <w:rFonts w:eastAsia="Arial" w:cs="Arial"/>
          <w:b w:val="false"/>
          <w:bCs w:val="false"/>
          <w:i w:val="false"/>
          <w:iCs w:val="false"/>
          <w:color w:val="0D0D0D"/>
          <w:sz w:val="22"/>
          <w:szCs w:val="22"/>
        </w:rPr>
        <w:t>Los tokens son mantenidos en la wallet del Participante. El Emisor no tiene acceso a claves privadas. La pérdida de acceso a la wallet implica la pérdida permanente de los tokens.</w:t>
      </w:r>
    </w:p>
    <w:p>
      <w:pPr>
        <w:pStyle w:val="Heading1"/>
        <w:pBdr>
          <w:bottom w:val="single" w:sz="4" w:space="6" w:color="897148"/>
        </w:pBdr>
        <w:spacing w:before="400" w:after="160"/>
        <w:rPr/>
      </w:pPr>
      <w:r>
        <w:rPr>
          <w:rFonts w:eastAsia="Arial" w:cs="Arial" w:ascii="Arial" w:hAnsi="Arial"/>
          <w:b/>
          <w:bCs/>
          <w:color w:val="0D0D0D"/>
          <w:sz w:val="28"/>
          <w:szCs w:val="28"/>
        </w:rPr>
        <w:t>6. KYC Y PREVENCIÓN DE LAVADO DE ACTIVOS</w:t>
      </w:r>
    </w:p>
    <w:p>
      <w:pPr>
        <w:pStyle w:val="Normal"/>
        <w:spacing w:before="0" w:after="160"/>
        <w:jc w:val="both"/>
        <w:rPr/>
      </w:pPr>
      <w:r>
        <w:rPr>
          <w:rFonts w:eastAsia="Arial" w:cs="Arial"/>
          <w:b w:val="false"/>
          <w:bCs w:val="false"/>
          <w:i w:val="false"/>
          <w:iCs w:val="false"/>
          <w:color w:val="0D0D0D"/>
          <w:sz w:val="22"/>
          <w:szCs w:val="22"/>
        </w:rPr>
        <w:t>El Emisor se reserva el derecho de implementar procesos de KYC/AML en cualquier momento. El Participante:</w:t>
      </w:r>
    </w:p>
    <w:p>
      <w:pPr>
        <w:pStyle w:val="ListParagraph"/>
        <w:numPr>
          <w:ilvl w:val="0"/>
          <w:numId w:val="1"/>
        </w:numPr>
        <w:spacing w:before="0" w:after="100"/>
        <w:jc w:val="both"/>
        <w:rPr/>
      </w:pPr>
      <w:r>
        <w:rPr>
          <w:rFonts w:eastAsia="Arial" w:cs="Arial"/>
          <w:color w:val="0D0D0D"/>
          <w:sz w:val="22"/>
          <w:szCs w:val="22"/>
        </w:rPr>
        <w:t>Declara que los fondos utilizados provienen de actividades lícitas.</w:t>
      </w:r>
    </w:p>
    <w:p>
      <w:pPr>
        <w:pStyle w:val="ListParagraph"/>
        <w:numPr>
          <w:ilvl w:val="0"/>
          <w:numId w:val="1"/>
        </w:numPr>
        <w:spacing w:before="0" w:after="100"/>
        <w:jc w:val="both"/>
        <w:rPr/>
      </w:pPr>
      <w:r>
        <w:rPr>
          <w:rFonts w:eastAsia="Arial" w:cs="Arial"/>
          <w:color w:val="0D0D0D"/>
          <w:sz w:val="22"/>
          <w:szCs w:val="22"/>
        </w:rPr>
        <w:t>Se compromete a proporcionar documentación de identidad cuando el Emisor la requiera.</w:t>
      </w:r>
    </w:p>
    <w:p>
      <w:pPr>
        <w:pStyle w:val="ListParagraph"/>
        <w:numPr>
          <w:ilvl w:val="0"/>
          <w:numId w:val="1"/>
        </w:numPr>
        <w:spacing w:before="0" w:after="100"/>
        <w:jc w:val="both"/>
        <w:rPr/>
      </w:pPr>
      <w:r>
        <w:rPr>
          <w:rFonts w:eastAsia="Arial" w:cs="Arial"/>
          <w:color w:val="0D0D0D"/>
          <w:sz w:val="22"/>
          <w:szCs w:val="22"/>
        </w:rPr>
        <w:t>Acepta que el Emisor puede bloquear el claim de tokens si detecta actividad sospechosa o incumplimiento de elegibilidad.</w:t>
      </w:r>
    </w:p>
    <w:p>
      <w:pPr>
        <w:pStyle w:val="ListParagraph"/>
        <w:numPr>
          <w:ilvl w:val="0"/>
          <w:numId w:val="1"/>
        </w:numPr>
        <w:spacing w:before="0" w:after="100"/>
        <w:jc w:val="both"/>
        <w:rPr/>
      </w:pPr>
      <w:r>
        <w:rPr>
          <w:rFonts w:eastAsia="Arial" w:cs="Arial"/>
          <w:color w:val="0D0D0D"/>
          <w:sz w:val="22"/>
          <w:szCs w:val="22"/>
        </w:rPr>
        <w:t>Acepta que el Emisor puede compartir información con autoridades competentes si así lo requiere la ley.</w:t>
      </w:r>
    </w:p>
    <w:p>
      <w:pPr>
        <w:pStyle w:val="Heading1"/>
        <w:pBdr>
          <w:bottom w:val="single" w:sz="4" w:space="6" w:color="897148"/>
        </w:pBdr>
        <w:spacing w:before="400" w:after="160"/>
        <w:rPr/>
      </w:pPr>
      <w:r>
        <w:rPr>
          <w:rFonts w:eastAsia="Arial" w:cs="Arial" w:ascii="Arial" w:hAnsi="Arial"/>
          <w:b/>
          <w:bCs/>
          <w:color w:val="0D0D0D"/>
          <w:sz w:val="28"/>
          <w:szCs w:val="28"/>
        </w:rPr>
        <w:t>7. PROPIEDAD INTELECTUAL</w:t>
      </w:r>
    </w:p>
    <w:p>
      <w:pPr>
        <w:pStyle w:val="Normal"/>
        <w:spacing w:before="0" w:after="160"/>
        <w:jc w:val="both"/>
        <w:rPr/>
      </w:pPr>
      <w:r>
        <w:rPr>
          <w:rFonts w:eastAsia="Arial" w:cs="Arial"/>
          <w:b w:val="false"/>
          <w:bCs w:val="false"/>
          <w:i w:val="false"/>
          <w:iCs w:val="false"/>
          <w:color w:val="0D0D0D"/>
          <w:sz w:val="22"/>
          <w:szCs w:val="22"/>
        </w:rPr>
        <w:t>Todo el código fuente, smart contracts, interfaz de usuario, whitepaper, la marca "Ethernal Fund" y el logotipo son propiedad intelectual del Emisor. La adquisición de tokens ETRF no otorga ningún derecho sobre dicha propiedad intelectual. El código de los smart contracts es de código abierto y está publicado en el repositorio oficial para verificación pública.</w:t>
      </w:r>
    </w:p>
    <w:p>
      <w:pPr>
        <w:pStyle w:val="Heading1"/>
        <w:pBdr>
          <w:bottom w:val="single" w:sz="4" w:space="6" w:color="897148"/>
        </w:pBdr>
        <w:spacing w:before="400" w:after="160"/>
        <w:rPr/>
      </w:pPr>
      <w:r>
        <w:rPr>
          <w:rFonts w:eastAsia="Arial" w:cs="Arial" w:ascii="Arial" w:hAnsi="Arial"/>
          <w:b/>
          <w:bCs/>
          <w:color w:val="0D0D0D"/>
          <w:sz w:val="28"/>
          <w:szCs w:val="28"/>
        </w:rPr>
        <w:t>8. EXENCIÓN DE RESPONSABILIDAD</w:t>
      </w:r>
    </w:p>
    <w:p>
      <w:pPr>
        <w:pStyle w:val="Normal"/>
        <w:spacing w:before="0" w:after="160"/>
        <w:jc w:val="both"/>
        <w:rPr/>
      </w:pPr>
      <w:r>
        <w:rPr>
          <w:rFonts w:eastAsia="Arial" w:cs="Arial"/>
          <w:b w:val="false"/>
          <w:bCs w:val="false"/>
          <w:i w:val="false"/>
          <w:iCs w:val="false"/>
          <w:color w:val="0D0D0D"/>
          <w:sz w:val="22"/>
          <w:szCs w:val="22"/>
        </w:rPr>
        <w:t>En la máxima medida permitida por la ley, el Emisor, su equipo, colaboradores, auditores y asesores NO serán responsables por:</w:t>
      </w:r>
    </w:p>
    <w:p>
      <w:pPr>
        <w:pStyle w:val="ListParagraph"/>
        <w:numPr>
          <w:ilvl w:val="0"/>
          <w:numId w:val="1"/>
        </w:numPr>
        <w:spacing w:before="0" w:after="100"/>
        <w:jc w:val="both"/>
        <w:rPr/>
      </w:pPr>
      <w:r>
        <w:rPr>
          <w:rFonts w:eastAsia="Arial" w:cs="Arial"/>
          <w:color w:val="0D0D0D"/>
          <w:sz w:val="22"/>
          <w:szCs w:val="22"/>
        </w:rPr>
        <w:t>Pérdidas derivadas de la caída del valor de los tokens ETRF.</w:t>
      </w:r>
    </w:p>
    <w:p>
      <w:pPr>
        <w:pStyle w:val="ListParagraph"/>
        <w:numPr>
          <w:ilvl w:val="0"/>
          <w:numId w:val="1"/>
        </w:numPr>
        <w:spacing w:before="0" w:after="100"/>
        <w:jc w:val="both"/>
        <w:rPr/>
      </w:pPr>
      <w:r>
        <w:rPr>
          <w:rFonts w:eastAsia="Arial" w:cs="Arial"/>
          <w:color w:val="0D0D0D"/>
          <w:sz w:val="22"/>
          <w:szCs w:val="22"/>
        </w:rPr>
        <w:t>Pérdidas derivadas de bugs, vulnerabilidades o exploits en los smart contracts, incluso si fueron auditados.</w:t>
      </w:r>
    </w:p>
    <w:p>
      <w:pPr>
        <w:pStyle w:val="ListParagraph"/>
        <w:numPr>
          <w:ilvl w:val="0"/>
          <w:numId w:val="1"/>
        </w:numPr>
        <w:spacing w:before="0" w:after="100"/>
        <w:jc w:val="both"/>
        <w:rPr/>
      </w:pPr>
      <w:r>
        <w:rPr>
          <w:rFonts w:eastAsia="Arial" w:cs="Arial"/>
          <w:color w:val="0D0D0D"/>
          <w:sz w:val="22"/>
          <w:szCs w:val="22"/>
        </w:rPr>
        <w:t>Pérdidas derivadas de la pérdida de acceso a la wallet del Participante.</w:t>
      </w:r>
    </w:p>
    <w:p>
      <w:pPr>
        <w:pStyle w:val="ListParagraph"/>
        <w:numPr>
          <w:ilvl w:val="0"/>
          <w:numId w:val="1"/>
        </w:numPr>
        <w:spacing w:before="0" w:after="100"/>
        <w:jc w:val="both"/>
        <w:rPr/>
      </w:pPr>
      <w:r>
        <w:rPr>
          <w:rFonts w:eastAsia="Arial" w:cs="Arial"/>
          <w:color w:val="0D0D0D"/>
          <w:sz w:val="22"/>
          <w:szCs w:val="22"/>
        </w:rPr>
        <w:t>Pérdidas derivadas de cambios regulatorios que afecten la utilidad o transferibilidad del token.</w:t>
      </w:r>
    </w:p>
    <w:p>
      <w:pPr>
        <w:pStyle w:val="ListParagraph"/>
        <w:numPr>
          <w:ilvl w:val="0"/>
          <w:numId w:val="1"/>
        </w:numPr>
        <w:spacing w:before="0" w:after="100"/>
        <w:jc w:val="both"/>
        <w:rPr/>
      </w:pPr>
      <w:r>
        <w:rPr>
          <w:rFonts w:eastAsia="Arial" w:cs="Arial"/>
          <w:color w:val="0D0D0D"/>
          <w:sz w:val="22"/>
          <w:szCs w:val="22"/>
        </w:rPr>
        <w:t>Pérdidas derivadas de fallas en la red Arbitrum, Ethereum o en la infraestructura de Internet.</w:t>
      </w:r>
    </w:p>
    <w:p>
      <w:pPr>
        <w:pStyle w:val="ListParagraph"/>
        <w:numPr>
          <w:ilvl w:val="0"/>
          <w:numId w:val="1"/>
        </w:numPr>
        <w:spacing w:before="0" w:after="100"/>
        <w:jc w:val="both"/>
        <w:rPr/>
      </w:pPr>
      <w:r>
        <w:rPr>
          <w:rFonts w:eastAsia="Arial" w:cs="Arial"/>
          <w:color w:val="0D0D0D"/>
          <w:sz w:val="22"/>
          <w:szCs w:val="22"/>
        </w:rPr>
        <w:t>Cualquier daño indirecto, emergente, punitivo o especial relacionado con el uso del protocolo.</w:t>
      </w:r>
    </w:p>
    <w:p>
      <w:pPr>
        <w:pStyle w:val="Normal"/>
        <w:spacing w:before="0" w:after="120"/>
        <w:rPr/>
      </w:pPr>
      <w:r>
        <w:rPr/>
      </w:r>
    </w:p>
    <w:p>
      <w:pPr>
        <w:pStyle w:val="Normal"/>
        <w:spacing w:before="0" w:after="160"/>
        <w:jc w:val="center"/>
        <w:rPr/>
      </w:pPr>
      <w:r>
        <w:rPr>
          <w:rFonts w:eastAsia="Arial" w:cs="Arial"/>
          <w:b/>
          <w:bCs/>
          <w:color w:val="0D0D0D"/>
          <w:sz w:val="22"/>
          <w:szCs w:val="22"/>
        </w:rPr>
        <w:t>LA PARTICIPACIÓN EN ESTA TOKEN SALE SE REALIZA BAJO RIESGO EXCLUSIVO DEL PARTICIPANTE.</w:t>
      </w:r>
    </w:p>
    <w:p>
      <w:pPr>
        <w:pStyle w:val="Heading1"/>
        <w:pBdr>
          <w:bottom w:val="single" w:sz="4" w:space="6" w:color="897148"/>
        </w:pBdr>
        <w:spacing w:before="400" w:after="160"/>
        <w:rPr/>
      </w:pPr>
      <w:r>
        <w:rPr>
          <w:rFonts w:eastAsia="Arial" w:cs="Arial" w:ascii="Arial" w:hAnsi="Arial"/>
          <w:b/>
          <w:bCs/>
          <w:color w:val="0D0D0D"/>
          <w:sz w:val="28"/>
          <w:szCs w:val="28"/>
        </w:rPr>
        <w:t>9. MODIFICACIONES A ESTOS TÉRMINOS</w:t>
      </w:r>
    </w:p>
    <w:p>
      <w:pPr>
        <w:pStyle w:val="Normal"/>
        <w:spacing w:before="0" w:after="160"/>
        <w:jc w:val="both"/>
        <w:rPr/>
      </w:pPr>
      <w:r>
        <w:rPr>
          <w:rFonts w:eastAsia="Arial" w:cs="Arial"/>
          <w:b w:val="false"/>
          <w:bCs w:val="false"/>
          <w:i w:val="false"/>
          <w:iCs w:val="false"/>
          <w:color w:val="0D0D0D"/>
          <w:sz w:val="22"/>
          <w:szCs w:val="22"/>
        </w:rPr>
        <w:t>El Emisor puede modificar estos Términos en cualquier momento, notificando a través de ethernal.fund y los canales oficiales del protocolo. Las modificaciones entrarán en vigor 48 horas después de su publicación, salvo cambios urgentes de seguridad. Las condiciones de vesting y cliff ya ejecutadas on-chain son inmutables y no pueden modificarse unilateralmente.</w:t>
      </w:r>
    </w:p>
    <w:p>
      <w:pPr>
        <w:pStyle w:val="Heading1"/>
        <w:pBdr>
          <w:bottom w:val="single" w:sz="4" w:space="6" w:color="897148"/>
        </w:pBdr>
        <w:spacing w:before="400" w:after="160"/>
        <w:rPr/>
      </w:pPr>
      <w:r>
        <w:rPr>
          <w:rFonts w:eastAsia="Arial" w:cs="Arial" w:ascii="Arial" w:hAnsi="Arial"/>
          <w:b/>
          <w:bCs/>
          <w:color w:val="0D0D0D"/>
          <w:sz w:val="28"/>
          <w:szCs w:val="28"/>
        </w:rPr>
        <w:t>10. LEY APLICABLE Y RESOLUCIÓN DE DISPUTAS</w:t>
      </w:r>
    </w:p>
    <w:p>
      <w:pPr>
        <w:pStyle w:val="Heading2"/>
        <w:spacing w:before="280" w:after="120"/>
        <w:rPr/>
      </w:pPr>
      <w:r>
        <w:rPr>
          <w:rFonts w:eastAsia="Arial" w:cs="Arial" w:ascii="Arial" w:hAnsi="Arial"/>
          <w:b/>
          <w:bCs/>
          <w:color w:val="0D0D0D"/>
          <w:sz w:val="24"/>
          <w:szCs w:val="24"/>
        </w:rPr>
        <w:t>10.1 Ley Aplicable</w:t>
      </w:r>
    </w:p>
    <w:p>
      <w:pPr>
        <w:pStyle w:val="Normal"/>
        <w:spacing w:before="0" w:after="160"/>
        <w:jc w:val="both"/>
        <w:rPr/>
      </w:pPr>
      <w:r>
        <w:rPr>
          <w:rFonts w:eastAsia="Arial" w:cs="Arial"/>
          <w:b w:val="false"/>
          <w:bCs w:val="false"/>
          <w:i w:val="false"/>
          <w:iCs w:val="false"/>
          <w:color w:val="0D0D0D"/>
          <w:sz w:val="22"/>
          <w:szCs w:val="22"/>
        </w:rPr>
        <w:t>Este documento se regirá por los principios generales del derecho aplicables al comercio internacional y a los contratos sobre activos digitales, sin perjuicio de las leyes imperativas aplicables en la jurisdicción del Participante.</w:t>
      </w:r>
    </w:p>
    <w:p>
      <w:pPr>
        <w:pStyle w:val="Normal"/>
        <w:spacing w:before="0" w:after="120"/>
        <w:rPr/>
      </w:pPr>
      <w:r>
        <w:rPr/>
      </w:r>
    </w:p>
    <w:p>
      <w:pPr>
        <w:pStyle w:val="Heading2"/>
        <w:spacing w:before="280" w:after="120"/>
        <w:rPr/>
      </w:pPr>
      <w:r>
        <w:rPr>
          <w:rFonts w:eastAsia="Arial" w:cs="Arial" w:ascii="Arial" w:hAnsi="Arial"/>
          <w:b/>
          <w:bCs/>
          <w:color w:val="0D0D0D"/>
          <w:sz w:val="24"/>
          <w:szCs w:val="24"/>
        </w:rPr>
        <w:t>10.2 Resolución de Disputas</w:t>
      </w:r>
    </w:p>
    <w:p>
      <w:pPr>
        <w:pStyle w:val="Normal"/>
        <w:spacing w:before="0" w:after="160"/>
        <w:jc w:val="both"/>
        <w:rPr/>
      </w:pPr>
      <w:r>
        <w:rPr>
          <w:rFonts w:eastAsia="Arial" w:cs="Arial"/>
          <w:b w:val="false"/>
          <w:bCs w:val="false"/>
          <w:i w:val="false"/>
          <w:iCs w:val="false"/>
          <w:color w:val="0D0D0D"/>
          <w:sz w:val="22"/>
          <w:szCs w:val="22"/>
        </w:rPr>
        <w:t>Las partes buscarán en primer término una resolución amigable mediante comunicación directa a través de los canales oficiales. De no lograrse acuerdo dentro de los 30 días hábiles de iniciado el contacto, cualquier disputa será sometida a arbitraje internacional bajo las reglas de la Cámara de Comercio Internacional (CCI).</w:t>
      </w:r>
    </w:p>
    <w:p>
      <w:pPr>
        <w:pStyle w:val="Normal"/>
        <w:spacing w:before="0" w:after="120"/>
        <w:rPr/>
      </w:pPr>
      <w:r>
        <w:rPr/>
      </w:r>
    </w:p>
    <w:p>
      <w:pPr>
        <w:pStyle w:val="Heading2"/>
        <w:spacing w:before="280" w:after="120"/>
        <w:rPr/>
      </w:pPr>
      <w:r>
        <w:rPr>
          <w:rFonts w:eastAsia="Arial" w:cs="Arial" w:ascii="Arial" w:hAnsi="Arial"/>
          <w:b/>
          <w:bCs/>
          <w:color w:val="0D0D0D"/>
          <w:sz w:val="24"/>
          <w:szCs w:val="24"/>
        </w:rPr>
        <w:t>10.3 Lengua del Contrato</w:t>
      </w:r>
    </w:p>
    <w:p>
      <w:pPr>
        <w:pStyle w:val="Normal"/>
        <w:spacing w:before="0" w:after="160"/>
        <w:jc w:val="both"/>
        <w:rPr/>
      </w:pPr>
      <w:r>
        <w:rPr>
          <w:rFonts w:eastAsia="Arial" w:cs="Arial"/>
          <w:b w:val="false"/>
          <w:bCs w:val="false"/>
          <w:i w:val="false"/>
          <w:iCs w:val="false"/>
          <w:color w:val="0D0D0D"/>
          <w:sz w:val="22"/>
          <w:szCs w:val="22"/>
        </w:rPr>
        <w:t>Este documento está redactado en idioma español. En caso de conflicto entre versiones traducidas y la versión en español, prevalecerá la versión en español.</w:t>
      </w:r>
    </w:p>
    <w:p>
      <w:pPr>
        <w:pStyle w:val="Heading1"/>
        <w:pBdr>
          <w:bottom w:val="single" w:sz="4" w:space="6" w:color="897148"/>
        </w:pBdr>
        <w:spacing w:before="400" w:after="160"/>
        <w:rPr/>
      </w:pPr>
      <w:r>
        <w:rPr>
          <w:rFonts w:eastAsia="Arial" w:cs="Arial" w:ascii="Arial" w:hAnsi="Arial"/>
          <w:b/>
          <w:bCs/>
          <w:color w:val="0D0D0D"/>
          <w:sz w:val="28"/>
          <w:szCs w:val="28"/>
        </w:rPr>
        <w:t>11. DISPOSICIONES GENERALES</w:t>
      </w:r>
    </w:p>
    <w:p>
      <w:pPr>
        <w:pStyle w:val="Heading2"/>
        <w:spacing w:before="280" w:after="120"/>
        <w:rPr/>
      </w:pPr>
      <w:r>
        <w:rPr>
          <w:rFonts w:eastAsia="Arial" w:cs="Arial" w:ascii="Arial" w:hAnsi="Arial"/>
          <w:b/>
          <w:bCs/>
          <w:color w:val="0D0D0D"/>
          <w:sz w:val="24"/>
          <w:szCs w:val="24"/>
        </w:rPr>
        <w:t>11.1 Integralidad del Acuerdo</w:t>
      </w:r>
    </w:p>
    <w:p>
      <w:pPr>
        <w:pStyle w:val="Normal"/>
        <w:spacing w:before="0" w:after="160"/>
        <w:jc w:val="both"/>
        <w:rPr/>
      </w:pPr>
      <w:r>
        <w:rPr>
          <w:rFonts w:eastAsia="Arial" w:cs="Arial"/>
          <w:b w:val="false"/>
          <w:bCs w:val="false"/>
          <w:i w:val="false"/>
          <w:iCs w:val="false"/>
          <w:color w:val="0D0D0D"/>
          <w:sz w:val="22"/>
          <w:szCs w:val="22"/>
        </w:rPr>
        <w:t>Este documento, junto con el Whitepaper y la Política de Privacidad, constituye el acuerdo completo entre el Emisor y el Participante en relación con la Token Sale, y reemplaza cualquier comunicación o acuerdo previo.</w:t>
      </w:r>
    </w:p>
    <w:p>
      <w:pPr>
        <w:pStyle w:val="Normal"/>
        <w:spacing w:before="0" w:after="120"/>
        <w:rPr/>
      </w:pPr>
      <w:r>
        <w:rPr/>
      </w:r>
    </w:p>
    <w:p>
      <w:pPr>
        <w:pStyle w:val="Heading2"/>
        <w:spacing w:before="280" w:after="120"/>
        <w:rPr/>
      </w:pPr>
      <w:r>
        <w:rPr>
          <w:rFonts w:eastAsia="Arial" w:cs="Arial" w:ascii="Arial" w:hAnsi="Arial"/>
          <w:b/>
          <w:bCs/>
          <w:color w:val="0D0D0D"/>
          <w:sz w:val="24"/>
          <w:szCs w:val="24"/>
        </w:rPr>
        <w:t>11.2 Divisibilidad</w:t>
      </w:r>
    </w:p>
    <w:p>
      <w:pPr>
        <w:pStyle w:val="Normal"/>
        <w:spacing w:before="0" w:after="160"/>
        <w:jc w:val="both"/>
        <w:rPr/>
      </w:pPr>
      <w:r>
        <w:rPr>
          <w:rFonts w:eastAsia="Arial" w:cs="Arial"/>
          <w:b w:val="false"/>
          <w:bCs w:val="false"/>
          <w:i w:val="false"/>
          <w:iCs w:val="false"/>
          <w:color w:val="0D0D0D"/>
          <w:sz w:val="22"/>
          <w:szCs w:val="22"/>
        </w:rPr>
        <w:t>Si alguna cláusula fuera declarada inválida o inaplicable, las demás continuarán en plena vigencia.</w:t>
      </w:r>
    </w:p>
    <w:p>
      <w:pPr>
        <w:pStyle w:val="Normal"/>
        <w:spacing w:before="0" w:after="120"/>
        <w:rPr/>
      </w:pPr>
      <w:r>
        <w:rPr/>
      </w:r>
    </w:p>
    <w:p>
      <w:pPr>
        <w:pStyle w:val="Heading2"/>
        <w:spacing w:before="280" w:after="120"/>
        <w:rPr/>
      </w:pPr>
      <w:r>
        <w:rPr>
          <w:rFonts w:eastAsia="Arial" w:cs="Arial" w:ascii="Arial" w:hAnsi="Arial"/>
          <w:b/>
          <w:bCs/>
          <w:color w:val="0D0D0D"/>
          <w:sz w:val="24"/>
          <w:szCs w:val="24"/>
        </w:rPr>
        <w:t>11.3 No Renuncia</w:t>
      </w:r>
    </w:p>
    <w:p>
      <w:pPr>
        <w:pStyle w:val="Normal"/>
        <w:spacing w:before="0" w:after="160"/>
        <w:jc w:val="both"/>
        <w:rPr/>
      </w:pPr>
      <w:r>
        <w:rPr>
          <w:rFonts w:eastAsia="Arial" w:cs="Arial"/>
          <w:b w:val="false"/>
          <w:bCs w:val="false"/>
          <w:i w:val="false"/>
          <w:iCs w:val="false"/>
          <w:color w:val="0D0D0D"/>
          <w:sz w:val="22"/>
          <w:szCs w:val="22"/>
        </w:rPr>
        <w:t>El hecho de que el Emisor no ejerza algún derecho de este documento no constituye una renuncia al mismo.</w:t>
      </w:r>
    </w:p>
    <w:p>
      <w:pPr>
        <w:pStyle w:val="Heading1"/>
        <w:pBdr>
          <w:bottom w:val="single" w:sz="4" w:space="6" w:color="897148"/>
        </w:pBdr>
        <w:spacing w:before="400" w:after="160"/>
        <w:rPr/>
      </w:pPr>
      <w:r>
        <w:rPr>
          <w:rFonts w:eastAsia="Arial" w:cs="Arial" w:ascii="Arial" w:hAnsi="Arial"/>
          <w:b/>
          <w:bCs/>
          <w:color w:val="0D0D0D"/>
          <w:sz w:val="28"/>
          <w:szCs w:val="28"/>
        </w:rPr>
        <w:t>12. INFORMACIÓN DE CONTACTO</w:t>
      </w:r>
    </w:p>
    <w:p>
      <w:pPr>
        <w:pStyle w:val="Normal"/>
        <w:spacing w:before="0" w:after="160"/>
        <w:jc w:val="both"/>
        <w:rPr/>
      </w:pPr>
      <w:r>
        <w:rPr>
          <w:rFonts w:eastAsia="Arial" w:cs="Arial"/>
          <w:b w:val="false"/>
          <w:bCs w:val="false"/>
          <w:i w:val="false"/>
          <w:iCs w:val="false"/>
          <w:color w:val="0D0D0D"/>
          <w:sz w:val="22"/>
          <w:szCs w:val="22"/>
        </w:rPr>
        <w:t>Para consultas legales, KYC o comunicaciones relacionadas con estos Términos:</w:t>
      </w:r>
    </w:p>
    <w:p>
      <w:pPr>
        <w:pStyle w:val="Normal"/>
        <w:spacing w:before="0" w:after="120"/>
        <w:rPr/>
      </w:pPr>
      <w:r>
        <w:rPr/>
      </w:r>
    </w:p>
    <w:p>
      <w:pPr>
        <w:pStyle w:val="Normal"/>
        <w:spacing w:before="0" w:after="160"/>
        <w:jc w:val="both"/>
        <w:rPr/>
      </w:pPr>
      <w:r>
        <w:rPr>
          <w:rFonts w:eastAsia="Arial" w:cs="Arial"/>
          <w:b w:val="false"/>
          <w:bCs w:val="false"/>
          <w:i w:val="false"/>
          <w:iCs w:val="false"/>
          <w:color w:val="0D0D0D"/>
          <w:sz w:val="22"/>
          <w:szCs w:val="22"/>
        </w:rPr>
        <w:t>Sitio web:  ethernal.fund</w:t>
      </w:r>
    </w:p>
    <w:p>
      <w:pPr>
        <w:pStyle w:val="Normal"/>
        <w:spacing w:before="0" w:after="160"/>
        <w:jc w:val="both"/>
        <w:rPr/>
      </w:pPr>
      <w:r>
        <w:rPr>
          <w:rFonts w:eastAsia="Arial" w:cs="Arial"/>
          <w:b w:val="false"/>
          <w:bCs w:val="false"/>
          <w:i w:val="false"/>
          <w:iCs w:val="false"/>
          <w:color w:val="0D0D0D"/>
          <w:sz w:val="22"/>
          <w:szCs w:val="22"/>
        </w:rPr>
        <w:t>Email legal:  legal@ethernal.fund</w:t>
      </w:r>
    </w:p>
    <w:p>
      <w:pPr>
        <w:pStyle w:val="Normal"/>
        <w:spacing w:before="0" w:after="160"/>
        <w:jc w:val="both"/>
        <w:rPr/>
      </w:pPr>
      <w:r>
        <w:rPr>
          <w:rFonts w:eastAsia="Arial" w:cs="Arial"/>
          <w:b w:val="false"/>
          <w:bCs w:val="false"/>
          <w:i w:val="false"/>
          <w:iCs w:val="false"/>
          <w:color w:val="0D0D0D"/>
          <w:sz w:val="22"/>
          <w:szCs w:val="22"/>
        </w:rPr>
        <w:t>Discord:  discord.gg/ethernalFund</w:t>
      </w:r>
    </w:p>
    <w:p>
      <w:pPr>
        <w:pStyle w:val="Normal"/>
        <w:spacing w:before="0" w:after="160"/>
        <w:jc w:val="both"/>
        <w:rPr/>
      </w:pPr>
      <w:r>
        <w:rPr>
          <w:rFonts w:eastAsia="Arial" w:cs="Arial"/>
          <w:b w:val="false"/>
          <w:bCs w:val="false"/>
          <w:i w:val="false"/>
          <w:iCs w:val="false"/>
          <w:color w:val="0D0D0D"/>
          <w:sz w:val="22"/>
          <w:szCs w:val="22"/>
        </w:rPr>
        <w:t>Seguridad (bug bounty):  security@ethernal.fund</w:t>
      </w:r>
    </w:p>
    <w:p>
      <w:pPr>
        <w:pStyle w:val="Normal"/>
        <w:spacing w:before="0" w:after="120"/>
        <w:rPr/>
      </w:pPr>
      <w:r>
        <w:rPr/>
      </w:r>
    </w:p>
    <w:p>
      <w:pPr>
        <w:pStyle w:val="Normal"/>
        <w:spacing w:before="0" w:after="120"/>
        <w:rPr/>
      </w:pPr>
      <w:r>
        <w:rPr/>
      </w:r>
    </w:p>
    <w:p>
      <w:pPr>
        <w:pStyle w:val="Normal"/>
        <w:pBdr>
          <w:top w:val="single" w:sz="2" w:space="8" w:color="DDDDDD"/>
        </w:pBdr>
        <w:spacing w:before="400" w:after="120"/>
        <w:jc w:val="center"/>
        <w:rPr/>
      </w:pPr>
      <w:r>
        <w:rPr>
          <w:rFonts w:eastAsia="Arial" w:cs="Arial"/>
          <w:i/>
          <w:iCs/>
          <w:color w:val="555555"/>
          <w:sz w:val="20"/>
          <w:szCs w:val="20"/>
        </w:rPr>
        <w:t>Al conectar tu wallet e interactuar con el Contrato Inteligente de la Token Sale, declarás haber leído, comprendido y aceptado íntegramente estos Términos y Condiciones.</w:t>
      </w:r>
    </w:p>
    <w:p>
      <w:pPr>
        <w:pStyle w:val="Normal"/>
        <w:spacing w:before="0" w:after="80"/>
        <w:jc w:val="center"/>
        <w:rPr/>
      </w:pPr>
      <w:r>
        <w:rPr>
          <w:rFonts w:eastAsia="Arial" w:cs="Arial"/>
          <w:color w:val="AAAAAA"/>
          <w:sz w:val="18"/>
          <w:szCs w:val="18"/>
        </w:rPr>
        <w:t>© 2026 Ethernal Fund. Todos los derechos reservados.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DDDDDD"/>
      </w:pBdr>
      <w:spacing w:before="80" w:after="0"/>
      <w:rPr/>
    </w:pPr>
    <w:r>
      <w:rPr>
        <w:rFonts w:eastAsia="Arial" w:cs="Arial"/>
        <w:color w:val="AAAAAA"/>
        <w:sz w:val="18"/>
        <w:szCs w:val="18"/>
      </w:rPr>
      <w:t>Ethernal Fund — Documento Confidencial  ·  ethernal.fund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DDDDDD"/>
      </w:pBdr>
      <w:spacing w:before="80" w:after="0"/>
      <w:rPr/>
    </w:pPr>
    <w:r>
      <w:rPr>
        <w:rFonts w:eastAsia="Arial" w:cs="Arial"/>
        <w:color w:val="AAAAAA"/>
        <w:sz w:val="18"/>
        <w:szCs w:val="18"/>
      </w:rPr>
      <w:t>Ethernal Fund — Documento Confidencial  ·  ethernal.fund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97148"/>
      </w:pBdr>
      <w:tabs>
        <w:tab w:val="clear" w:pos="720"/>
        <w:tab w:val="right" w:pos="9026" w:leader="none"/>
      </w:tabs>
      <w:spacing w:before="0" w:after="80"/>
      <w:rPr/>
    </w:pPr>
    <w:r>
      <w:rPr>
        <w:rFonts w:eastAsia="Arial" w:cs="Arial"/>
        <w:b/>
        <w:bCs/>
        <w:color w:val="897148"/>
        <w:sz w:val="18"/>
        <w:szCs w:val="18"/>
      </w:rPr>
      <w:t>ETHERNAL FUND · ETRF</w:t>
    </w:r>
    <w:r>
      <w:rPr>
        <w:sz w:val="18"/>
        <w:szCs w:val="18"/>
      </w:rPr>
      <w:tab/>
    </w:r>
    <w:r>
      <w:rPr>
        <w:rFonts w:eastAsia="Arial" w:cs="Arial"/>
        <w:color w:val="AAAAAA"/>
        <w:sz w:val="18"/>
        <w:szCs w:val="18"/>
      </w:rPr>
      <w:t>TÉRMINOS Y CONDICIONES — TOKEN SALE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97148"/>
      </w:pBdr>
      <w:tabs>
        <w:tab w:val="clear" w:pos="720"/>
        <w:tab w:val="right" w:pos="9026" w:leader="none"/>
      </w:tabs>
      <w:spacing w:before="0" w:after="80"/>
      <w:rPr/>
    </w:pPr>
    <w:r>
      <w:rPr>
        <w:rFonts w:eastAsia="Arial" w:cs="Arial"/>
        <w:b/>
        <w:bCs/>
        <w:color w:val="897148"/>
        <w:sz w:val="18"/>
        <w:szCs w:val="18"/>
      </w:rPr>
      <w:t>ETHERNAL FUND · ETRF</w:t>
    </w:r>
    <w:r>
      <w:rPr>
        <w:sz w:val="18"/>
        <w:szCs w:val="18"/>
      </w:rPr>
      <w:tab/>
    </w:r>
    <w:r>
      <w:rPr>
        <w:rFonts w:eastAsia="Arial" w:cs="Arial"/>
        <w:color w:val="AAAAAA"/>
        <w:sz w:val="18"/>
        <w:szCs w:val="18"/>
      </w:rPr>
      <w:t>TÉRMINOS Y CONDICIONES — TOKEN SALE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D0D0D"/>
        <w:sz w:val="22"/>
        <w:szCs w:val="22"/>
        <w:lang w:val="es-A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0D0D0D"/>
      <w:kern w:val="0"/>
      <w:sz w:val="22"/>
      <w:szCs w:val="22"/>
      <w:lang w:val="es-AR" w:eastAsia="zh-CN" w:bidi="hi-IN"/>
    </w:rPr>
  </w:style>
  <w:style w:type="paragraph" w:styleId="Heading1">
    <w:name w:val="Heading 1"/>
    <w:basedOn w:val="Ttulo"/>
    <w:qFormat/>
    <w:pPr>
      <w:spacing w:before="400" w:after="160"/>
      <w:outlineLvl w:val="0"/>
    </w:pPr>
    <w:rPr>
      <w:rFonts w:ascii="Arial" w:hAnsi="Arial" w:eastAsia="Arial" w:cs="Arial"/>
      <w:b/>
      <w:bCs/>
      <w:color w:val="0D0D0D"/>
      <w:sz w:val="28"/>
      <w:szCs w:val="28"/>
    </w:rPr>
  </w:style>
  <w:style w:type="paragraph" w:styleId="Heading2">
    <w:name w:val="Heading 2"/>
    <w:basedOn w:val="Ttulo"/>
    <w:qFormat/>
    <w:pPr>
      <w:spacing w:before="280" w:after="120"/>
      <w:outlineLvl w:val="1"/>
    </w:pPr>
    <w:rPr>
      <w:rFonts w:ascii="Arial" w:hAnsi="Arial" w:eastAsia="Arial" w:cs="Arial"/>
      <w:b/>
      <w:bCs/>
      <w:color w:val="0D0D0D"/>
      <w:sz w:val="24"/>
      <w:szCs w:val="24"/>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0D0D0D"/>
      <w:kern w:val="0"/>
      <w:sz w:val="22"/>
      <w:szCs w:val="22"/>
      <w:lang w:val="es-AR" w:eastAsia="zh-CN" w:bidi="hi-IN"/>
    </w:rPr>
  </w:style>
  <w:style w:type="paragraph" w:styleId="ListParagraph">
    <w:name w:val="List Paragraph"/>
    <w:qFormat/>
    <w:pPr>
      <w:widowControl/>
      <w:bidi w:val="0"/>
      <w:spacing w:before="0" w:after="0"/>
      <w:jc w:val="left"/>
    </w:pPr>
    <w:rPr>
      <w:rFonts w:ascii="Arial" w:hAnsi="Arial" w:eastAsia="Arial" w:cs="Arial"/>
      <w:color w:val="0D0D0D"/>
      <w:kern w:val="0"/>
      <w:sz w:val="22"/>
      <w:szCs w:val="22"/>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7</Pages>
  <Words>1940</Words>
  <Characters>10918</Characters>
  <CharactersWithSpaces>12691</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2026-05-06T00:51:00Z</dcterms:created>
  <dc:creator>Un-named</dc:creator>
  <dc:description/>
  <dc:language>es-AR</dc:language>
  <cp:lastModifiedBy/>
  <dcterms:modified xsi:type="dcterms:W3CDTF">2026-05-06T11:23:03Z</dcterms:modified>
  <cp:revision>2</cp:revision>
  <dc:subject/>
  <dc:title/>
</cp:coreProperties>
</file>