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sz w:val="88"/>
          <w:szCs w:val="88"/>
        </w:rPr>
        <w:t xml:space="preserve"/>
      </w:r>
    </w:p>
    <w:p>
      <w:pPr>
        <w:spacing w:after="80" w:before="0"/>
        <w:jc w:val="center"/>
      </w:pPr>
      <w:r>
        <w:rPr>
          <w:rFonts w:ascii="Arial" w:cs="Arial" w:eastAsia="Arial" w:hAnsi="Arial"/>
          <w:b/>
          <w:bCs/>
          <w:color w:val="1B5E20"/>
          <w:sz w:val="64"/>
          <w:szCs w:val="64"/>
        </w:rPr>
        <w:t xml:space="preserve">ETHERNAL FUND PROTOCOL</w:t>
      </w:r>
    </w:p>
    <w:p>
      <w:pPr>
        <w:spacing w:after="80" w:before="0"/>
        <w:jc w:val="center"/>
      </w:pPr>
      <w:r>
        <w:rPr>
          <w:rFonts w:ascii="Arial" w:cs="Arial" w:eastAsia="Arial" w:hAnsi="Arial"/>
          <w:color w:val="6B7280"/>
          <w:sz w:val="28"/>
          <w:szCs w:val="28"/>
        </w:rPr>
        <w:t xml:space="preserve">Fondo de Retiro Personal Descentralizado en Blockchain</w:t>
      </w:r>
    </w:p>
    <w:p>
      <w:pPr>
        <w:spacing w:after="80" w:before="0"/>
      </w:pPr>
      <w:r>
        <w:rPr>
          <w:sz w:val="22"/>
          <w:szCs w:val="22"/>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F59E0B" w:sz="8"/>
              <w:left w:val="none" w:color="FFFFFF" w:sz="0"/>
              <w:bottom w:val="single" w:color="F59E0B" w:sz="8"/>
              <w:right w:val="none" w:color="FFFFFF" w:sz="0"/>
            </w:tcBorders>
            <w:shd w:fill="FFFFFF" w:val="clear"/>
            <w:tcMar>
              <w:top w:type="dxa" w:w="160"/>
              <w:left w:type="dxa" w:w="200"/>
              <w:bottom w:type="dxa" w:w="160"/>
              <w:right w:type="dxa" w:w="200"/>
            </w:tcMar>
          </w:tcPr>
          <w:p>
            <w:pPr>
              <w:spacing w:after="40" w:before="0"/>
              <w:jc w:val="center"/>
            </w:pPr>
            <w:r>
              <w:rPr>
                <w:rFonts w:ascii="Arial" w:cs="Arial" w:eastAsia="Arial" w:hAnsi="Arial"/>
                <w:b/>
                <w:bCs/>
                <w:color w:val="1F2937"/>
                <w:sz w:val="22"/>
                <w:szCs w:val="22"/>
              </w:rPr>
              <w:t xml:space="preserve">WHITEPAPER</w:t>
            </w:r>
          </w:p>
          <w:p>
            <w:pPr>
              <w:spacing w:after="40" w:before="0"/>
              <w:jc w:val="center"/>
            </w:pPr>
            <w:r>
              <w:rPr>
                <w:rFonts w:ascii="Arial" w:cs="Arial" w:eastAsia="Arial" w:hAnsi="Arial"/>
                <w:color w:val="6B7280"/>
                <w:sz w:val="20"/>
                <w:szCs w:val="20"/>
              </w:rPr>
              <w:t xml:space="preserve">Versión 1.0  |  Mayo 2026</w:t>
            </w:r>
          </w:p>
          <w:p>
            <w:pPr>
              <w:spacing w:after="0" w:before="0"/>
              <w:jc w:val="center"/>
            </w:pPr>
            <w:r>
              <w:rPr>
                <w:rFonts w:ascii="Arial" w:cs="Arial" w:eastAsia="Arial" w:hAnsi="Arial"/>
                <w:color w:val="1B5E20"/>
                <w:sz w:val="20"/>
                <w:szCs w:val="20"/>
              </w:rPr>
              <w:t xml:space="preserve">ethernal.fund</w:t>
            </w:r>
          </w:p>
        </w:tc>
      </w:tr>
    </w:tbl>
    <w:p>
      <w:pPr>
        <w:spacing w:after="160" w:before="0"/>
      </w:pPr>
      <w:r>
        <w:rPr>
          <w:sz w:val="44"/>
          <w:szCs w:val="44"/>
        </w:rPr>
        <w:t xml:space="preserve"/>
      </w:r>
    </w:p>
    <w:p>
      <w:pPr>
        <w:spacing w:after="40" w:before="0"/>
        <w:jc w:val="center"/>
      </w:pPr>
      <w:r>
        <w:rPr>
          <w:rFonts w:ascii="Arial" w:cs="Arial" w:eastAsia="Arial" w:hAnsi="Arial"/>
          <w:color w:val="6B7280"/>
          <w:sz w:val="20"/>
          <w:szCs w:val="20"/>
        </w:rPr>
        <w:t xml:space="preserve">Cristian F. Taborda  |  Ethernal Foundation Team</w:t>
      </w:r>
    </w:p>
    <w:p>
      <w:pPr>
        <w:spacing w:after="0" w:before="0"/>
        <w:jc w:val="center"/>
      </w:pPr>
      <w:r>
        <w:rPr>
          <w:rFonts w:ascii="Arial" w:cs="Arial" w:eastAsia="Arial" w:hAnsi="Arial"/>
          <w:color w:val="1B5E20"/>
          <w:sz w:val="20"/>
          <w:szCs w:val="20"/>
        </w:rPr>
        <w:t xml:space="preserve">contact@ethernal.fund</w:t>
      </w:r>
    </w:p>
    <w:p>
      <w:pPr>
        <w:spacing w:after="240" w:before="0"/>
      </w:pPr>
      <w:r>
        <w:rPr>
          <w:sz w:val="66"/>
          <w:szCs w:val="6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AVISO LEGAL: Este documento es de carácter informativo y no constituye una oferta de valores, asesoramiento financiero ni de inversión. El token ETRF es un token de utilidad. La participación en el protocolo implica riesgos significativos. Consulte a un asesor legal y financiero antes de tomar cualquier decisión.</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Resumen Ejecutivo</w:t>
      </w:r>
    </w:p>
    <w:p>
      <w:pPr>
        <w:spacing w:after="120" w:before="80"/>
        <w:jc w:val="both"/>
      </w:pPr>
      <w:r>
        <w:rPr>
          <w:rFonts w:ascii="Arial" w:cs="Arial" w:eastAsia="Arial" w:hAnsi="Arial"/>
          <w:color w:val="1F2937"/>
          <w:sz w:val="22"/>
          <w:szCs w:val="22"/>
        </w:rPr>
        <w:t xml:space="preserve">Ethernal Fund Protocol es un sistema de fondos de retiro personal descentralizado construido sobre blockchain (Arbitrum / Polygon), que permite a cualquier persona en el mundo crear y gestionar su propio fondo de jubilación de forma autónoma, transparente y sin intermediarios financieros tradicionales.</w:t>
      </w:r>
    </w:p>
    <w:p>
      <w:pPr>
        <w:spacing w:after="120" w:before="80"/>
        <w:jc w:val="both"/>
      </w:pPr>
      <w:r>
        <w:rPr>
          <w:rFonts w:ascii="Arial" w:cs="Arial" w:eastAsia="Arial" w:hAnsi="Arial"/>
          <w:color w:val="1F2937"/>
          <w:sz w:val="22"/>
          <w:szCs w:val="22"/>
        </w:rPr>
        <w:t xml:space="preserve">El protocolo combina contratos inteligentes escritos en Vyper con integraciones a protocolos DeFi establecidos (Aave v3) y activos del mundo real tokenizados (Ondo USDY / US T-Bills) para ofrecer rendimientos seguros sobre depósitos en USDC. Toda la lógica de negocio está codificada en contratos auditables, y los fondos permanecen siempre bajo el control del usuario.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Parámetro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Valor</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Contrato base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Vyper ^0.4.3 (PersonalFund, Factory, Treasury, Registry)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Moneda de depósito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USDC (6 decimales)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Fee de gestión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5% por depósito (ajustable, máximo 10%)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Rendimiento integrado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Aave v3 (DeFi) + Ondo USDY (RWA / T-Bills)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Timelock del fondo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15 a 50 años (configurable por el usuario)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Token de utilidad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ETRF — 1,000,000,000 supply total</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Licencia de contratos core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 → GPL-2.0+ en 2030</w:t>
            </w:r>
          </w:p>
        </w:tc>
      </w:tr>
    </w:tbl>
    <w:p>
      <w:pPr>
        <w:spacing w:after="80" w:before="0"/>
      </w:pPr>
      <w:r>
        <w:rPr>
          <w:sz w:val="22"/>
          <w:szCs w:val="22"/>
        </w:rPr>
        <w:t xml:space="preserve"/>
      </w:r>
    </w:p>
    <w:p>
      <w:pPr>
        <w:spacing w:after="120" w:before="80"/>
        <w:jc w:val="both"/>
      </w:pPr>
      <w:r>
        <w:rPr>
          <w:rFonts w:ascii="Arial" w:cs="Arial" w:eastAsia="Arial" w:hAnsi="Arial"/>
          <w:color w:val="1F2937"/>
          <w:sz w:val="22"/>
          <w:szCs w:val="22"/>
        </w:rPr>
        <w:t xml:space="preserve">El objetivo de Ethernal es democratizar el acceso al ahorro para el retiro, ofreciendo una alternativa transparente y no custodial a los sistemas de pensiones tradicionales, accesible globalmente con solo una wallet y stablecoins.</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1. Problema y Solución</w:t>
      </w:r>
    </w:p>
    <w:p>
      <w:pPr>
        <w:pStyle w:val="Heading2"/>
        <w:spacing w:after="120" w:before="320"/>
      </w:pPr>
      <w:r>
        <w:rPr>
          <w:rFonts w:ascii="Arial" w:cs="Arial" w:eastAsia="Arial" w:hAnsi="Arial"/>
          <w:b/>
          <w:bCs/>
          <w:color w:val="1F2937"/>
          <w:sz w:val="28"/>
          <w:szCs w:val="28"/>
        </w:rPr>
        <w:t xml:space="preserve">1.1 El Problema del Retiro Global</w:t>
      </w:r>
    </w:p>
    <w:p>
      <w:pPr>
        <w:spacing w:after="120" w:before="80"/>
        <w:jc w:val="both"/>
      </w:pPr>
      <w:r>
        <w:rPr>
          <w:rFonts w:ascii="Arial" w:cs="Arial" w:eastAsia="Arial" w:hAnsi="Arial"/>
          <w:color w:val="1F2937"/>
          <w:sz w:val="22"/>
          <w:szCs w:val="22"/>
        </w:rPr>
        <w:t xml:space="preserve">Los sistemas de pensiones tradicionales enfrentan una crisis estructural a nivel mundial: fondos de pensiones con déficits crecientes, inflación que erosiona el poder adquisitivo, y una creciente informalidad laboral que deja a millones de trabajadores sin cobertura previsional. En América Latina, menos del 40% de los trabajadores cotizan activamente en sistemas formales de pensiones.</w:t>
      </w:r>
    </w:p>
    <w:p>
      <w:pPr>
        <w:spacing w:after="120" w:before="80"/>
        <w:jc w:val="both"/>
      </w:pPr>
      <w:r>
        <w:rPr>
          <w:rFonts w:ascii="Arial" w:cs="Arial" w:eastAsia="Arial" w:hAnsi="Arial"/>
          <w:color w:val="1F2937"/>
          <w:sz w:val="22"/>
          <w:szCs w:val="22"/>
        </w:rPr>
        <w:t xml:space="preserve">Adicionalmente, los instrumentos financieros de ahorro convencionales (plazos fijos, fondos mutuos) presentan barreras de entrada significativas: mínimos elevados, comisiones opacas, dependencia de intermediarios y acceso geográficamente restringido.</w:t>
      </w:r>
    </w:p>
    <w:p>
      <w:pPr>
        <w:pStyle w:val="Heading2"/>
        <w:spacing w:after="120" w:before="320"/>
      </w:pPr>
      <w:r>
        <w:rPr>
          <w:rFonts w:ascii="Arial" w:cs="Arial" w:eastAsia="Arial" w:hAnsi="Arial"/>
          <w:b/>
          <w:bCs/>
          <w:color w:val="1F2937"/>
          <w:sz w:val="28"/>
          <w:szCs w:val="28"/>
        </w:rPr>
        <w:t xml:space="preserve">1.2 La Oportunidad de DeFi</w:t>
      </w:r>
    </w:p>
    <w:p>
      <w:pPr>
        <w:spacing w:after="120" w:before="80"/>
        <w:jc w:val="both"/>
      </w:pPr>
      <w:r>
        <w:rPr>
          <w:rFonts w:ascii="Arial" w:cs="Arial" w:eastAsia="Arial" w:hAnsi="Arial"/>
          <w:color w:val="1F2937"/>
          <w:sz w:val="22"/>
          <w:szCs w:val="22"/>
        </w:rPr>
        <w:t xml:space="preserve">La tecnología blockchain y los protocolos de finanzas descentralizadas (DeFi) permiten, por primera vez, construir instrumentos financieros de largo plazo que sean:</w:t>
      </w:r>
    </w:p>
    <w:p>
      <w:pPr>
        <w:pStyle w:val="ListParagraph"/>
        <w:numPr>
          <w:ilvl w:val="0"/>
          <w:numId w:val="2"/>
        </w:numPr>
        <w:spacing w:after="60" w:before="60"/>
      </w:pPr>
      <w:r>
        <w:rPr>
          <w:rFonts w:ascii="Arial" w:cs="Arial" w:eastAsia="Arial" w:hAnsi="Arial"/>
          <w:color w:val="1F2937"/>
          <w:sz w:val="22"/>
          <w:szCs w:val="22"/>
        </w:rPr>
        <w:t xml:space="preserve">No custodiales: el usuario mantiene el control de sus fondos en todo momento.</w:t>
      </w:r>
    </w:p>
    <w:p>
      <w:pPr>
        <w:pStyle w:val="ListParagraph"/>
        <w:numPr>
          <w:ilvl w:val="0"/>
          <w:numId w:val="2"/>
        </w:numPr>
        <w:spacing w:after="60" w:before="60"/>
      </w:pPr>
      <w:r>
        <w:rPr>
          <w:rFonts w:ascii="Arial" w:cs="Arial" w:eastAsia="Arial" w:hAnsi="Arial"/>
          <w:color w:val="1F2937"/>
          <w:sz w:val="22"/>
          <w:szCs w:val="22"/>
        </w:rPr>
        <w:t xml:space="preserve">Transparentes: toda la lógica está codificada en contratos públicos y verificables.</w:t>
      </w:r>
    </w:p>
    <w:p>
      <w:pPr>
        <w:pStyle w:val="ListParagraph"/>
        <w:numPr>
          <w:ilvl w:val="0"/>
          <w:numId w:val="2"/>
        </w:numPr>
        <w:spacing w:after="60" w:before="60"/>
      </w:pPr>
      <w:r>
        <w:rPr>
          <w:rFonts w:ascii="Arial" w:cs="Arial" w:eastAsia="Arial" w:hAnsi="Arial"/>
          <w:color w:val="1F2937"/>
          <w:sz w:val="22"/>
          <w:szCs w:val="22"/>
        </w:rPr>
        <w:t xml:space="preserve">Sin fronteras: accesibles desde cualquier parte del mundo con una conexión a internet.</w:t>
      </w:r>
    </w:p>
    <w:p>
      <w:pPr>
        <w:pStyle w:val="ListParagraph"/>
        <w:numPr>
          <w:ilvl w:val="0"/>
          <w:numId w:val="2"/>
        </w:numPr>
        <w:spacing w:after="60" w:before="60"/>
      </w:pPr>
      <w:r>
        <w:rPr>
          <w:rFonts w:ascii="Arial" w:cs="Arial" w:eastAsia="Arial" w:hAnsi="Arial"/>
          <w:color w:val="1F2937"/>
          <w:sz w:val="22"/>
          <w:szCs w:val="22"/>
        </w:rPr>
        <w:t xml:space="preserve">Programables: las reglas de ahorro, inversión y retiro se ejecutan automáticamente.</w:t>
      </w:r>
    </w:p>
    <w:p>
      <w:pPr>
        <w:pStyle w:val="ListParagraph"/>
        <w:numPr>
          <w:ilvl w:val="0"/>
          <w:numId w:val="2"/>
        </w:numPr>
        <w:spacing w:after="60" w:before="60"/>
      </w:pPr>
      <w:r>
        <w:rPr>
          <w:rFonts w:ascii="Arial" w:cs="Arial" w:eastAsia="Arial" w:hAnsi="Arial"/>
          <w:color w:val="1F2937"/>
          <w:sz w:val="22"/>
          <w:szCs w:val="22"/>
        </w:rPr>
        <w:t xml:space="preserve">Componibles: integran protocolos DeFi establecidos para generar rendimientos.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1.3 La Solución: Ethernal Fund Protocol</w:t>
      </w:r>
    </w:p>
    <w:p>
      <w:pPr>
        <w:spacing w:after="120" w:before="80"/>
        <w:jc w:val="both"/>
      </w:pPr>
      <w:r>
        <w:rPr>
          <w:rFonts w:ascii="Arial" w:cs="Arial" w:eastAsia="Arial" w:hAnsi="Arial"/>
          <w:color w:val="1F2937"/>
          <w:sz w:val="22"/>
          <w:szCs w:val="22"/>
        </w:rPr>
        <w:t xml:space="preserve">Ethernal Fund Protocol resuelve estas limitaciones mediante un conjunto de contratos inteligentes que permiten a cada usuario crear su propio fondo de retiro personal en blockchain, con parámetros personalizados (edad de retiro, depósito mensual, tolerancia al riesgo, protocolo de inversión preferido) y sin ceder el control de sus activos a ningún tercero.</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2. Arquitectura del Protocolo</w:t>
      </w:r>
    </w:p>
    <w:p>
      <w:pPr>
        <w:spacing w:after="120" w:before="80"/>
        <w:jc w:val="both"/>
      </w:pPr>
      <w:r>
        <w:rPr>
          <w:rFonts w:ascii="Arial" w:cs="Arial" w:eastAsia="Arial" w:hAnsi="Arial"/>
          <w:color w:val="1F2937"/>
          <w:sz w:val="22"/>
          <w:szCs w:val="22"/>
        </w:rPr>
        <w:t xml:space="preserve">El protocolo está compuesto por un conjunto de contratos inteligentes interdependientes, organizados en capas funcionales. Todos los contratos core están escritos en Vyper ^0.4.3 por su seguridad y auditabilidad superior a Solidity.</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2.1 Contratos Core (BUSL-1.1)</w:t>
      </w:r>
    </w:p>
    <w:p>
      <w:pPr>
        <w:pStyle w:val="Heading3"/>
        <w:spacing w:after="80" w:before="200"/>
      </w:pPr>
      <w:r>
        <w:rPr>
          <w:rFonts w:ascii="Arial" w:cs="Arial" w:eastAsia="Arial" w:hAnsi="Arial"/>
          <w:b/>
          <w:bCs/>
          <w:color w:val="2E7D32"/>
          <w:sz w:val="24"/>
          <w:szCs w:val="24"/>
        </w:rPr>
        <w:t xml:space="preserve">PersonalFund.vy — Fondo Personal del Usuario</w:t>
      </w:r>
    </w:p>
    <w:p>
      <w:pPr>
        <w:spacing w:after="120" w:before="80"/>
        <w:jc w:val="both"/>
      </w:pPr>
      <w:r>
        <w:rPr>
          <w:rFonts w:ascii="Arial" w:cs="Arial" w:eastAsia="Arial" w:hAnsi="Arial"/>
          <w:color w:val="1F2937"/>
          <w:sz w:val="22"/>
          <w:szCs w:val="22"/>
        </w:rPr>
        <w:t xml:space="preserve">Es el contrato central del protocolo. Cada usuario tiene su propia instancia desplegada (proxy minimal EIP-1167). Gestiona el ciclo de vida completo del fondo: depósitos iniciales, depósitos mensuales, inversión en protocolos DeFi, retiro al jubilarse y retiro de emergencia.</w:t>
      </w:r>
    </w:p>
    <w:p>
      <w:pPr>
        <w:spacing w:after="120" w:before="80"/>
        <w:jc w:val="both"/>
      </w:pPr>
      <w:r>
        <w:rPr>
          <w:rFonts w:ascii="Arial" w:cs="Arial" w:eastAsia="Arial" w:hAnsi="Arial"/>
          <w:color w:val="1F2937"/>
          <w:sz w:val="22"/>
          <w:szCs w:val="22"/>
        </w:rPr>
        <w:t xml:space="preserve">Funcionalidades principales:</w:t>
      </w:r>
    </w:p>
    <w:p>
      <w:pPr>
        <w:pStyle w:val="ListParagraph"/>
        <w:numPr>
          <w:ilvl w:val="0"/>
          <w:numId w:val="2"/>
        </w:numPr>
        <w:spacing w:after="60" w:before="60"/>
      </w:pPr>
      <w:r>
        <w:rPr>
          <w:rFonts w:ascii="Arial" w:cs="Arial" w:eastAsia="Arial" w:hAnsi="Arial"/>
          <w:color w:val="1F2937"/>
          <w:sz w:val="22"/>
          <w:szCs w:val="22"/>
        </w:rPr>
        <w:t xml:space="preserve">Depósito inicial: capital semilla + primer depósito mensual, con deducción automática de la fee del protocolo.</w:t>
      </w:r>
    </w:p>
    <w:p>
      <w:pPr>
        <w:pStyle w:val="ListParagraph"/>
        <w:numPr>
          <w:ilvl w:val="0"/>
          <w:numId w:val="2"/>
        </w:numPr>
        <w:spacing w:after="60" w:before="60"/>
      </w:pPr>
      <w:r>
        <w:rPr>
          <w:rFonts w:ascii="Arial" w:cs="Arial" w:eastAsia="Arial" w:hAnsi="Arial"/>
          <w:color w:val="1F2937"/>
          <w:sz w:val="22"/>
          <w:szCs w:val="22"/>
        </w:rPr>
        <w:t xml:space="preserve">Depósitos mensuales: función monthlyDeposit() ejecutable por el propietario o cualquier dirección autorizada, con intervalo de 30 días.</w:t>
      </w:r>
    </w:p>
    <w:p>
      <w:pPr>
        <w:pStyle w:val="ListParagraph"/>
        <w:numPr>
          <w:ilvl w:val="0"/>
          <w:numId w:val="2"/>
        </w:numPr>
        <w:spacing w:after="60" w:before="60"/>
      </w:pPr>
      <w:r>
        <w:rPr>
          <w:rFonts w:ascii="Arial" w:cs="Arial" w:eastAsia="Arial" w:hAnsi="Arial"/>
          <w:color w:val="1F2937"/>
          <w:sz w:val="22"/>
          <w:szCs w:val="22"/>
        </w:rPr>
        <w:t xml:space="preserve">Depósitos extra: el usuario puede añadir fondos adicionales en cualquier momento; rescindibles en 24h con penalidad del 1%.</w:t>
      </w:r>
    </w:p>
    <w:p>
      <w:pPr>
        <w:pStyle w:val="ListParagraph"/>
        <w:numPr>
          <w:ilvl w:val="0"/>
          <w:numId w:val="2"/>
        </w:numPr>
        <w:spacing w:after="60" w:before="60"/>
      </w:pPr>
      <w:r>
        <w:rPr>
          <w:rFonts w:ascii="Arial" w:cs="Arial" w:eastAsia="Arial" w:hAnsi="Arial"/>
          <w:color w:val="1F2937"/>
          <w:sz w:val="22"/>
          <w:szCs w:val="22"/>
        </w:rPr>
        <w:t xml:space="preserve">Inversión en DeFi: invest() y withdrawFromProtocol() para gestionar posiciones en protocolos aprobados (hasta 10 simultáneos).</w:t>
      </w:r>
    </w:p>
    <w:p>
      <w:pPr>
        <w:pStyle w:val="ListParagraph"/>
        <w:numPr>
          <w:ilvl w:val="0"/>
          <w:numId w:val="2"/>
        </w:numPr>
        <w:spacing w:after="60" w:before="60"/>
      </w:pPr>
      <w:r>
        <w:rPr>
          <w:rFonts w:ascii="Arial" w:cs="Arial" w:eastAsia="Arial" w:hAnsi="Arial"/>
          <w:color w:val="1F2937"/>
          <w:sz w:val="22"/>
          <w:szCs w:val="22"/>
        </w:rPr>
        <w:t xml:space="preserve">Sistema de retiro: retirement() activa la fase de retiro al llegar al timelock; configura auto-withdrawals mensuales del monto deseado.</w:t>
      </w:r>
    </w:p>
    <w:p>
      <w:pPr>
        <w:pStyle w:val="ListParagraph"/>
        <w:numPr>
          <w:ilvl w:val="0"/>
          <w:numId w:val="2"/>
        </w:numPr>
        <w:spacing w:after="60" w:before="60"/>
      </w:pPr>
      <w:r>
        <w:rPr>
          <w:rFonts w:ascii="Arial" w:cs="Arial" w:eastAsia="Arial" w:hAnsi="Arial"/>
          <w:color w:val="1F2937"/>
          <w:sz w:val="22"/>
          <w:szCs w:val="22"/>
        </w:rPr>
        <w:t xml:space="preserve">Retiro anticipado: requiere aprobación explícita de la Tesorería del protocolo.</w:t>
      </w:r>
    </w:p>
    <w:p>
      <w:pPr>
        <w:pStyle w:val="ListParagraph"/>
        <w:numPr>
          <w:ilvl w:val="0"/>
          <w:numId w:val="2"/>
        </w:numPr>
        <w:spacing w:after="60" w:before="60"/>
      </w:pPr>
      <w:r>
        <w:rPr>
          <w:rFonts w:ascii="Arial" w:cs="Arial" w:eastAsia="Arial" w:hAnsi="Arial"/>
          <w:color w:val="1F2937"/>
          <w:sz w:val="22"/>
          <w:szCs w:val="22"/>
        </w:rPr>
        <w:t xml:space="preserve">Retiro de emergencia: disponible tras anuncio de 48 horas (EMERGENCY_DELAY) para proteger al usuario ante situaciones extremas.</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PersonalFundFactory.vy — Fábrica de Fondos</w:t>
      </w:r>
    </w:p>
    <w:p>
      <w:pPr>
        <w:spacing w:after="120" w:before="80"/>
        <w:jc w:val="both"/>
      </w:pPr>
      <w:r>
        <w:rPr>
          <w:rFonts w:ascii="Arial" w:cs="Arial" w:eastAsia="Arial" w:hAnsi="Arial"/>
          <w:color w:val="1F2937"/>
          <w:sz w:val="22"/>
          <w:szCs w:val="22"/>
        </w:rPr>
        <w:t xml:space="preserve">Despliega nuevas instancias de PersonalFund usando el patrón de proxy minimal (EIP-1167 / clones), lo que reduce significativamente el costo de gas de creación. Valida todos los parámetros de entrada antes del despliegue y registra los fondos creados.</w:t>
      </w:r>
    </w:p>
    <w:p>
      <w:pPr>
        <w:spacing w:after="120" w:before="80"/>
        <w:jc w:val="both"/>
      </w:pPr>
      <w:r>
        <w:rPr>
          <w:rFonts w:ascii="Arial" w:cs="Arial" w:eastAsia="Arial" w:hAnsi="Arial"/>
          <w:color w:val="1F2937"/>
          <w:sz w:val="22"/>
          <w:szCs w:val="22"/>
        </w:rPr>
        <w:t xml:space="preserve">Parámetros de validación requeridos para crear un fondo:</w:t>
      </w:r>
    </w:p>
    <w:p>
      <w:pPr>
        <w:pStyle w:val="ListParagraph"/>
        <w:numPr>
          <w:ilvl w:val="0"/>
          <w:numId w:val="2"/>
        </w:numPr>
        <w:spacing w:after="60" w:before="60"/>
      </w:pPr>
      <w:r>
        <w:rPr>
          <w:rFonts w:ascii="Arial" w:cs="Arial" w:eastAsia="Arial" w:hAnsi="Arial"/>
          <w:color w:val="1F2937"/>
          <w:sz w:val="22"/>
          <w:szCs w:val="22"/>
        </w:rPr>
        <w:t xml:space="preserve">Principal: entre 0 y 100,000 USDC (configurable por el admin).</w:t>
      </w:r>
    </w:p>
    <w:p>
      <w:pPr>
        <w:pStyle w:val="ListParagraph"/>
        <w:numPr>
          <w:ilvl w:val="0"/>
          <w:numId w:val="2"/>
        </w:numPr>
        <w:spacing w:after="60" w:before="60"/>
      </w:pPr>
      <w:r>
        <w:rPr>
          <w:rFonts w:ascii="Arial" w:cs="Arial" w:eastAsia="Arial" w:hAnsi="Arial"/>
          <w:color w:val="1F2937"/>
          <w:sz w:val="22"/>
          <w:szCs w:val="22"/>
        </w:rPr>
        <w:t xml:space="preserve">Edad actual: entre los límites configurados.</w:t>
      </w:r>
    </w:p>
    <w:p>
      <w:pPr>
        <w:pStyle w:val="ListParagraph"/>
        <w:numPr>
          <w:ilvl w:val="0"/>
          <w:numId w:val="2"/>
        </w:numPr>
        <w:spacing w:after="60" w:before="60"/>
      </w:pPr>
      <w:r>
        <w:rPr>
          <w:rFonts w:ascii="Arial" w:cs="Arial" w:eastAsia="Arial" w:hAnsi="Arial"/>
          <w:color w:val="1F2937"/>
          <w:sz w:val="22"/>
          <w:szCs w:val="22"/>
        </w:rPr>
        <w:t xml:space="preserve">Edad de retiro: mayor a la edad actual.</w:t>
      </w:r>
    </w:p>
    <w:p>
      <w:pPr>
        <w:pStyle w:val="ListParagraph"/>
        <w:numPr>
          <w:ilvl w:val="0"/>
          <w:numId w:val="2"/>
        </w:numPr>
        <w:spacing w:after="60" w:before="60"/>
      </w:pPr>
      <w:r>
        <w:rPr>
          <w:rFonts w:ascii="Arial" w:cs="Arial" w:eastAsia="Arial" w:hAnsi="Arial"/>
          <w:color w:val="1F2937"/>
          <w:sz w:val="22"/>
          <w:szCs w:val="22"/>
        </w:rPr>
        <w:t xml:space="preserve">Timelock: entre 15 y 50 años.</w:t>
      </w:r>
    </w:p>
    <w:p>
      <w:pPr>
        <w:pStyle w:val="ListParagraph"/>
        <w:numPr>
          <w:ilvl w:val="0"/>
          <w:numId w:val="2"/>
        </w:numPr>
        <w:spacing w:after="60" w:before="60"/>
      </w:pPr>
      <w:r>
        <w:rPr>
          <w:rFonts w:ascii="Arial" w:cs="Arial" w:eastAsia="Arial" w:hAnsi="Arial"/>
          <w:color w:val="1F2937"/>
          <w:sz w:val="22"/>
          <w:szCs w:val="22"/>
        </w:rPr>
        <w:t xml:space="preserve">Monto mensual deseado en retiro: mayor a 0.</w:t>
      </w:r>
    </w:p>
    <w:p>
      <w:pPr>
        <w:pStyle w:val="ListParagraph"/>
        <w:numPr>
          <w:ilvl w:val="0"/>
          <w:numId w:val="2"/>
        </w:numPr>
        <w:spacing w:after="60" w:before="60"/>
      </w:pPr>
      <w:r>
        <w:rPr>
          <w:rFonts w:ascii="Arial" w:cs="Arial" w:eastAsia="Arial" w:hAnsi="Arial"/>
          <w:color w:val="1F2937"/>
          <w:sz w:val="22"/>
          <w:szCs w:val="22"/>
        </w:rPr>
        <w:t xml:space="preserve">Años de pagos en retiro: entre 1 y 50.</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Treasury.vy — Tesorería del Protocolo</w:t>
      </w:r>
    </w:p>
    <w:p>
      <w:pPr>
        <w:spacing w:after="120" w:before="80"/>
        <w:jc w:val="both"/>
      </w:pPr>
      <w:r>
        <w:rPr>
          <w:rFonts w:ascii="Arial" w:cs="Arial" w:eastAsia="Arial" w:hAnsi="Arial"/>
          <w:color w:val="1F2937"/>
          <w:sz w:val="22"/>
          <w:szCs w:val="22"/>
        </w:rPr>
        <w:t xml:space="preserve">Gestiona la recolección y custodia de las fees generadas por el protocolo, y actúa como árbitro para solicitudes de retiro anticipado. Solo los fondos registrados en el Factory pueden registrar fees.</w:t>
      </w:r>
    </w:p>
    <w:p>
      <w:pPr>
        <w:pStyle w:val="ListParagraph"/>
        <w:numPr>
          <w:ilvl w:val="0"/>
          <w:numId w:val="2"/>
        </w:numPr>
        <w:spacing w:after="60" w:before="60"/>
      </w:pPr>
      <w:r>
        <w:rPr>
          <w:rFonts w:ascii="Arial" w:cs="Arial" w:eastAsia="Arial" w:hAnsi="Arial"/>
          <w:color w:val="1F2937"/>
          <w:sz w:val="22"/>
          <w:szCs w:val="22"/>
        </w:rPr>
        <w:t xml:space="preserve">Fee por defecto: 5% (DEFAULT_FEE = 500 basis points).</w:t>
      </w:r>
    </w:p>
    <w:p>
      <w:pPr>
        <w:pStyle w:val="ListParagraph"/>
        <w:numPr>
          <w:ilvl w:val="0"/>
          <w:numId w:val="2"/>
        </w:numPr>
        <w:spacing w:after="60" w:before="60"/>
      </w:pPr>
      <w:r>
        <w:rPr>
          <w:rFonts w:ascii="Arial" w:cs="Arial" w:eastAsia="Arial" w:hAnsi="Arial"/>
          <w:color w:val="1F2937"/>
          <w:sz w:val="22"/>
          <w:szCs w:val="22"/>
        </w:rPr>
        <w:t xml:space="preserve">Fee máxima permitida: 10% (MAX_FEE = 1000 basis points).</w:t>
      </w:r>
    </w:p>
    <w:p>
      <w:pPr>
        <w:pStyle w:val="ListParagraph"/>
        <w:numPr>
          <w:ilvl w:val="0"/>
          <w:numId w:val="2"/>
        </w:numPr>
        <w:spacing w:after="60" w:before="60"/>
      </w:pPr>
      <w:r>
        <w:rPr>
          <w:rFonts w:ascii="Arial" w:cs="Arial" w:eastAsia="Arial" w:hAnsi="Arial"/>
          <w:color w:val="1F2937"/>
          <w:sz w:val="22"/>
          <w:szCs w:val="22"/>
        </w:rPr>
        <w:t xml:space="preserve">Governance de retiro anticipado: el admin del treasury puede aprobar o rechazar solicitudes justificadas.</w:t>
      </w:r>
    </w:p>
    <w:p>
      <w:pPr>
        <w:pStyle w:val="ListParagraph"/>
        <w:numPr>
          <w:ilvl w:val="0"/>
          <w:numId w:val="2"/>
        </w:numPr>
        <w:spacing w:after="60" w:before="60"/>
      </w:pPr>
      <w:r>
        <w:rPr>
          <w:rFonts w:ascii="Arial" w:cs="Arial" w:eastAsia="Arial" w:hAnsi="Arial"/>
          <w:color w:val="1F2937"/>
          <w:sz w:val="22"/>
          <w:szCs w:val="22"/>
        </w:rPr>
        <w:t xml:space="preserve">Withdraw de fees: el admin puede retirar las fees acumuladas a cualquier dirección autorizada.</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ProtocolRegistry.vy — Registro de Protocolos</w:t>
      </w:r>
    </w:p>
    <w:p>
      <w:pPr>
        <w:spacing w:after="120" w:before="80"/>
        <w:jc w:val="both"/>
      </w:pPr>
      <w:r>
        <w:rPr>
          <w:rFonts w:ascii="Arial" w:cs="Arial" w:eastAsia="Arial" w:hAnsi="Arial"/>
          <w:color w:val="1F2937"/>
          <w:sz w:val="22"/>
          <w:szCs w:val="22"/>
        </w:rPr>
        <w:t xml:space="preserve">Catálogo curado de protocolos DeFi y activos tokenizados disponibles para inversión. Mantiene metadata de cada protocolo: nombre, categoría, APY estimado (en basis points), nivel de riesgo, TVL acumulado y estado de verificación.</w:t>
      </w:r>
    </w:p>
    <w:p>
      <w:pPr>
        <w:spacing w:after="120" w:before="80"/>
        <w:jc w:val="both"/>
      </w:pPr>
      <w:r>
        <w:rPr>
          <w:rFonts w:ascii="Arial" w:cs="Arial" w:eastAsia="Arial" w:hAnsi="Arial"/>
          <w:color w:val="1F2937"/>
          <w:sz w:val="22"/>
          <w:szCs w:val="22"/>
        </w:rPr>
        <w:t xml:space="preserve">Categorías de protocolos soportadas:</w:t>
      </w:r>
    </w:p>
    <w:p>
      <w:pPr>
        <w:pStyle w:val="ListParagraph"/>
        <w:numPr>
          <w:ilvl w:val="0"/>
          <w:numId w:val="2"/>
        </w:numPr>
        <w:spacing w:after="60" w:before="60"/>
      </w:pPr>
      <w:r>
        <w:rPr>
          <w:rFonts w:ascii="Arial" w:cs="Arial" w:eastAsia="Arial" w:hAnsi="Arial"/>
          <w:color w:val="1F2937"/>
          <w:sz w:val="22"/>
          <w:szCs w:val="22"/>
        </w:rPr>
        <w:t xml:space="preserve">DEFI (1): protocolos de lending/borrowing como Aave.</w:t>
      </w:r>
    </w:p>
    <w:p>
      <w:pPr>
        <w:pStyle w:val="ListParagraph"/>
        <w:numPr>
          <w:ilvl w:val="0"/>
          <w:numId w:val="2"/>
        </w:numPr>
        <w:spacing w:after="60" w:before="60"/>
      </w:pPr>
      <w:r>
        <w:rPr>
          <w:rFonts w:ascii="Arial" w:cs="Arial" w:eastAsia="Arial" w:hAnsi="Arial"/>
          <w:color w:val="1F2937"/>
          <w:sz w:val="22"/>
          <w:szCs w:val="22"/>
        </w:rPr>
        <w:t xml:space="preserve">RWA (2): activos del mundo real tokenizados como USDY de Ondo Finance.</w:t>
      </w:r>
    </w:p>
    <w:p>
      <w:pPr>
        <w:pStyle w:val="ListParagraph"/>
        <w:numPr>
          <w:ilvl w:val="0"/>
          <w:numId w:val="2"/>
        </w:numPr>
        <w:spacing w:after="60" w:before="60"/>
      </w:pPr>
      <w:r>
        <w:rPr>
          <w:rFonts w:ascii="Arial" w:cs="Arial" w:eastAsia="Arial" w:hAnsi="Arial"/>
          <w:color w:val="1F2937"/>
          <w:sz w:val="22"/>
          <w:szCs w:val="22"/>
        </w:rPr>
        <w:t xml:space="preserve">EQUITY (3): acciones tokenizadas.</w:t>
      </w:r>
    </w:p>
    <w:p>
      <w:pPr>
        <w:pStyle w:val="ListParagraph"/>
        <w:numPr>
          <w:ilvl w:val="0"/>
          <w:numId w:val="2"/>
        </w:numPr>
        <w:spacing w:after="60" w:before="60"/>
      </w:pPr>
      <w:r>
        <w:rPr>
          <w:rFonts w:ascii="Arial" w:cs="Arial" w:eastAsia="Arial" w:hAnsi="Arial"/>
          <w:color w:val="1F2937"/>
          <w:sz w:val="22"/>
          <w:szCs w:val="22"/>
        </w:rPr>
        <w:t xml:space="preserve">COMMODITY (4): materias primas tokenizadas.</w:t>
      </w:r>
    </w:p>
    <w:p>
      <w:pPr>
        <w:pStyle w:val="ListParagraph"/>
        <w:numPr>
          <w:ilvl w:val="0"/>
          <w:numId w:val="2"/>
        </w:numPr>
        <w:spacing w:after="60" w:before="60"/>
      </w:pPr>
      <w:r>
        <w:rPr>
          <w:rFonts w:ascii="Arial" w:cs="Arial" w:eastAsia="Arial" w:hAnsi="Arial"/>
          <w:color w:val="1F2937"/>
          <w:sz w:val="22"/>
          <w:szCs w:val="22"/>
        </w:rPr>
        <w:t xml:space="preserve">BOND (5): bonos tokenizados.</w:t>
      </w:r>
    </w:p>
    <w:p>
      <w:pPr>
        <w:spacing w:after="120" w:before="80"/>
        <w:jc w:val="both"/>
      </w:pPr>
      <w:r>
        <w:rPr>
          <w:rFonts w:ascii="Arial" w:cs="Arial" w:eastAsia="Arial" w:hAnsi="Arial"/>
          <w:color w:val="1F2937"/>
          <w:sz w:val="22"/>
          <w:szCs w:val="22"/>
        </w:rPr>
        <w:t xml:space="preserve">APY máximo permitido: 100% (10,000 basis points) — techo de seguridad para evitar entradas erróneas.</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UserPreferences.vy — Preferencias del Usuario</w:t>
      </w:r>
    </w:p>
    <w:p>
      <w:pPr>
        <w:spacing w:after="120" w:before="80"/>
        <w:jc w:val="both"/>
      </w:pPr>
      <w:r>
        <w:rPr>
          <w:rFonts w:ascii="Arial" w:cs="Arial" w:eastAsia="Arial" w:hAnsi="Arial"/>
          <w:color w:val="1F2937"/>
          <w:sz w:val="22"/>
          <w:szCs w:val="22"/>
        </w:rPr>
        <w:t xml:space="preserve">Gestiona la configuración individual de cada usuario: protocolo DeFi seleccionado, activación de auto-compound, tolerancia al riesgo y estrategia de routing de depósitos. Al hacer un depósito, el contrato PersonalFund consulta UserPreferences para determinar a qué protocolo enviar los fondos.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2.2 Contratos de Infraestructura (Apache-2.0)</w:t>
      </w:r>
    </w:p>
    <w:p>
      <w:pPr>
        <w:pStyle w:val="Heading3"/>
        <w:spacing w:after="80" w:before="200"/>
      </w:pPr>
      <w:r>
        <w:rPr>
          <w:rFonts w:ascii="Arial" w:cs="Arial" w:eastAsia="Arial" w:hAnsi="Arial"/>
          <w:b/>
          <w:bCs/>
          <w:color w:val="2E7D32"/>
          <w:sz w:val="24"/>
          <w:szCs w:val="24"/>
        </w:rPr>
        <w:t xml:space="preserve">DateTime.vy</w:t>
      </w:r>
    </w:p>
    <w:p>
      <w:pPr>
        <w:spacing w:after="120" w:before="80"/>
        <w:jc w:val="both"/>
      </w:pPr>
      <w:r>
        <w:rPr>
          <w:rFonts w:ascii="Arial" w:cs="Arial" w:eastAsia="Arial" w:hAnsi="Arial"/>
          <w:color w:val="1F2937"/>
          <w:sz w:val="22"/>
          <w:szCs w:val="22"/>
        </w:rPr>
        <w:t xml:space="preserve">Librería de cálculo de fechas on-chain. Implementa lógica de años bisiestos y conversión de timestamps a fechas calendáricas, usada por PersonalFund para gestionar los intervalos de depósito mensual con precisión astronómica.</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2.3 Adaptadores DeFi (BUSL-1.1)</w:t>
      </w:r>
    </w:p>
    <w:p>
      <w:pPr>
        <w:pStyle w:val="Heading3"/>
        <w:spacing w:after="80" w:before="200"/>
      </w:pPr>
      <w:r>
        <w:rPr>
          <w:rFonts w:ascii="Arial" w:cs="Arial" w:eastAsia="Arial" w:hAnsi="Arial"/>
          <w:b/>
          <w:bCs/>
          <w:color w:val="2E7D32"/>
          <w:sz w:val="24"/>
          <w:szCs w:val="24"/>
        </w:rPr>
        <w:t xml:space="preserve">AaveV3Adapter.vy — Integración con Aave v3</w:t>
      </w:r>
    </w:p>
    <w:p>
      <w:pPr>
        <w:spacing w:after="120" w:before="80"/>
        <w:jc w:val="both"/>
      </w:pPr>
      <w:r>
        <w:rPr>
          <w:rFonts w:ascii="Arial" w:cs="Arial" w:eastAsia="Arial" w:hAnsi="Arial"/>
          <w:color w:val="1F2937"/>
          <w:sz w:val="22"/>
          <w:szCs w:val="22"/>
        </w:rPr>
        <w:t xml:space="preserve">Puente entre el protocolo Ethernal y el mercado de lending Aave v3 en Arbitrum One. Implementa el patrón de safe allowance (reset a 0 antes de cada aprobación) para máxima seguridad.</w:t>
      </w:r>
    </w:p>
    <w:p>
      <w:pPr>
        <w:spacing w:after="120" w:before="80"/>
        <w:jc w:val="both"/>
      </w:pPr>
      <w:r>
        <w:rPr>
          <w:rFonts w:ascii="Arial" w:cs="Arial" w:eastAsia="Arial" w:hAnsi="Arial"/>
          <w:color w:val="1F2937"/>
          <w:sz w:val="22"/>
          <w:szCs w:val="22"/>
        </w:rPr>
        <w:t xml:space="preserve">Flujo de depósito:</w:t>
      </w:r>
    </w:p>
    <w:p>
      <w:pPr>
        <w:pStyle w:val="ListParagraph"/>
        <w:numPr>
          <w:ilvl w:val="0"/>
          <w:numId w:val="2"/>
        </w:numPr>
        <w:spacing w:after="60" w:before="60"/>
      </w:pPr>
      <w:r>
        <w:rPr>
          <w:rFonts w:ascii="Arial" w:cs="Arial" w:eastAsia="Arial" w:hAnsi="Arial"/>
          <w:color w:val="1F2937"/>
          <w:sz w:val="22"/>
          <w:szCs w:val="22"/>
        </w:rPr>
        <w:t xml:space="preserve">PersonalFund llama deposit(_amount) en el adaptador.</w:t>
      </w:r>
    </w:p>
    <w:p>
      <w:pPr>
        <w:pStyle w:val="ListParagraph"/>
        <w:numPr>
          <w:ilvl w:val="0"/>
          <w:numId w:val="2"/>
        </w:numPr>
        <w:spacing w:after="60" w:before="60"/>
      </w:pPr>
      <w:r>
        <w:rPr>
          <w:rFonts w:ascii="Arial" w:cs="Arial" w:eastAsia="Arial" w:hAnsi="Arial"/>
          <w:color w:val="1F2937"/>
          <w:sz w:val="22"/>
          <w:szCs w:val="22"/>
        </w:rPr>
        <w:t xml:space="preserve">El adaptador hace transferFrom de USDC desde el llamador.</w:t>
      </w:r>
    </w:p>
    <w:p>
      <w:pPr>
        <w:pStyle w:val="ListParagraph"/>
        <w:numPr>
          <w:ilvl w:val="0"/>
          <w:numId w:val="2"/>
        </w:numPr>
        <w:spacing w:after="60" w:before="60"/>
      </w:pPr>
      <w:r>
        <w:rPr>
          <w:rFonts w:ascii="Arial" w:cs="Arial" w:eastAsia="Arial" w:hAnsi="Arial"/>
          <w:color w:val="1F2937"/>
          <w:sz w:val="22"/>
          <w:szCs w:val="22"/>
        </w:rPr>
        <w:t xml:space="preserve">Aprueba al Pool de Aave y llama supply(USDC, amount, onBehalfOf=caller).</w:t>
      </w:r>
    </w:p>
    <w:p>
      <w:pPr>
        <w:pStyle w:val="ListParagraph"/>
        <w:numPr>
          <w:ilvl w:val="0"/>
          <w:numId w:val="2"/>
        </w:numPr>
        <w:spacing w:after="60" w:before="60"/>
      </w:pPr>
      <w:r>
        <w:rPr>
          <w:rFonts w:ascii="Arial" w:cs="Arial" w:eastAsia="Arial" w:hAnsi="Arial"/>
          <w:color w:val="1F2937"/>
          <w:sz w:val="22"/>
          <w:szCs w:val="22"/>
        </w:rPr>
        <w:t xml:space="preserve">El usuario recibe aUSDC (token de rendimiento de Aave) directamente.</w:t>
      </w:r>
    </w:p>
    <w:p>
      <w:pPr>
        <w:pStyle w:val="ListParagraph"/>
        <w:numPr>
          <w:ilvl w:val="0"/>
          <w:numId w:val="2"/>
        </w:numPr>
        <w:spacing w:after="60" w:before="60"/>
      </w:pPr>
      <w:r>
        <w:rPr>
          <w:rFonts w:ascii="Arial" w:cs="Arial" w:eastAsia="Arial" w:hAnsi="Arial"/>
          <w:color w:val="1F2937"/>
          <w:sz w:val="22"/>
          <w:szCs w:val="22"/>
        </w:rPr>
        <w:t xml:space="preserve">El saldo en aUSDC crece automáticamente cada bloque por el interés acumulado.</w:t>
      </w:r>
    </w:p>
    <w:p>
      <w:pPr>
        <w:spacing w:after="120" w:before="80"/>
        <w:jc w:val="both"/>
      </w:pPr>
      <w:r>
        <w:rPr>
          <w:rFonts w:ascii="Arial" w:cs="Arial" w:eastAsia="Arial" w:hAnsi="Arial"/>
          <w:color w:val="1F2937"/>
          <w:sz w:val="22"/>
          <w:szCs w:val="22"/>
        </w:rPr>
        <w:t xml:space="preserve">Contratos en Arbitrum One: Pool 0x794a61358D6845594F94dc1DB02A252b5b4814aD, aUSDC 0x625E7708f30cA75bfd92586e17077590C60eb4cD.</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OndoUSDYAdapter.vy — Integración con Ondo Finance USDY</w:t>
      </w:r>
    </w:p>
    <w:p>
      <w:pPr>
        <w:spacing w:after="120" w:before="80"/>
        <w:jc w:val="both"/>
      </w:pPr>
      <w:r>
        <w:rPr>
          <w:rFonts w:ascii="Arial" w:cs="Arial" w:eastAsia="Arial" w:hAnsi="Arial"/>
          <w:color w:val="1F2937"/>
          <w:sz w:val="22"/>
          <w:szCs w:val="22"/>
        </w:rPr>
        <w:t xml:space="preserve">Adaptador para inversión en USDY, un pagaré tokenizado respaldado por Letras del Tesoro de EE.UU. a corto plazo y depósitos bancarios. APY histórico: 4.5%–5.5% (referenciado a la tasa de la Reserva Federal).</w:t>
      </w:r>
    </w:p>
    <w:p>
      <w:pPr>
        <w:spacing w:after="120" w:before="80"/>
        <w:jc w:val="both"/>
      </w:pPr>
      <w:r>
        <w:rPr>
          <w:rFonts w:ascii="Arial" w:cs="Arial" w:eastAsia="Arial" w:hAnsi="Arial"/>
          <w:color w:val="1F2937"/>
          <w:sz w:val="22"/>
          <w:szCs w:val="22"/>
        </w:rPr>
        <w:t xml:space="preserve">Implementa la ruta de mercado secundario (Path A) via Uniswap v3, sin necesidad de KYC directo con Ondo Finance:</w:t>
      </w:r>
    </w:p>
    <w:p>
      <w:pPr>
        <w:pStyle w:val="ListParagraph"/>
        <w:numPr>
          <w:ilvl w:val="0"/>
          <w:numId w:val="2"/>
        </w:numPr>
        <w:spacing w:after="60" w:before="60"/>
      </w:pPr>
      <w:r>
        <w:rPr>
          <w:rFonts w:ascii="Arial" w:cs="Arial" w:eastAsia="Arial" w:hAnsi="Arial"/>
          <w:color w:val="1F2937"/>
          <w:sz w:val="22"/>
          <w:szCs w:val="22"/>
        </w:rPr>
        <w:t xml:space="preserve">USDC → [Pool Uniswap v3 USDC/USDY] → USDY custodiado por PersonalFund.</w:t>
      </w:r>
    </w:p>
    <w:p>
      <w:pPr>
        <w:pStyle w:val="ListParagraph"/>
        <w:numPr>
          <w:ilvl w:val="0"/>
          <w:numId w:val="2"/>
        </w:numPr>
        <w:spacing w:after="60" w:before="60"/>
      </w:pPr>
      <w:r>
        <w:rPr>
          <w:rFonts w:ascii="Arial" w:cs="Arial" w:eastAsia="Arial" w:hAnsi="Arial"/>
          <w:color w:val="1F2937"/>
          <w:sz w:val="22"/>
          <w:szCs w:val="22"/>
        </w:rPr>
        <w:t xml:space="preserve">USDY → [Pool Uniswap v3 USDY/USDC] → USDC devuelto a PersonalFund.</w:t>
      </w:r>
    </w:p>
    <w:p>
      <w:pPr>
        <w:pStyle w:val="ListParagraph"/>
        <w:numPr>
          <w:ilvl w:val="0"/>
          <w:numId w:val="2"/>
        </w:numPr>
        <w:spacing w:after="60" w:before="60"/>
      </w:pPr>
      <w:r>
        <w:rPr>
          <w:rFonts w:ascii="Arial" w:cs="Arial" w:eastAsia="Arial" w:hAnsi="Arial"/>
          <w:color w:val="1F2937"/>
          <w:sz w:val="22"/>
          <w:szCs w:val="22"/>
        </w:rPr>
        <w:t xml:space="preserve">Slippage estimado: 0.01%–0.05% (pool de alta liquidez, fee tier 0.05%).</w:t>
      </w:r>
    </w:p>
    <w:p>
      <w:pPr>
        <w:spacing w:after="120" w:before="80"/>
        <w:jc w:val="both"/>
      </w:pPr>
      <w:r>
        <w:rPr>
          <w:rFonts w:ascii="Arial" w:cs="Arial" w:eastAsia="Arial" w:hAnsi="Arial"/>
          <w:color w:val="1F2937"/>
          <w:sz w:val="22"/>
          <w:szCs w:val="22"/>
        </w:rPr>
        <w:t xml:space="preserve">Contrato USDY en Arbitrum One: 0x35e050d3C0eC2d29D269a8EcEa763a183bDF9A9D.</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2.4 Flujo de Datos del Sistema</w:t>
      </w:r>
    </w:p>
    <w:p>
      <w:pPr>
        <w:spacing w:after="120" w:before="80"/>
        <w:jc w:val="both"/>
      </w:pPr>
      <w:r>
        <w:rPr>
          <w:rFonts w:ascii="Arial" w:cs="Arial" w:eastAsia="Arial" w:hAnsi="Arial"/>
          <w:color w:val="1F2937"/>
          <w:sz w:val="22"/>
          <w:szCs w:val="22"/>
        </w:rPr>
        <w:t xml:space="preserve">El siguiente diagrama ilustra el flujo de interacción entre los contratos del protocolo: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after="40" w:before="0"/>
            </w:pPr>
            <w:r>
              <w:rPr>
                <w:rFonts w:ascii="Courier New" w:cs="Courier New" w:eastAsia="Courier New" w:hAnsi="Courier New"/>
                <w:color w:val="1F2937"/>
                <w:sz w:val="20"/>
                <w:szCs w:val="20"/>
              </w:rPr>
              <w:t xml:space="preserve">Usuario  ──USDC──►  PersonalFund (via Factory)</w:t>
            </w:r>
          </w:p>
          <w:p>
            <w:pPr>
              <w:spacing w:after="40" w:before="0"/>
            </w:pPr>
            <w:r>
              <w:rPr>
                <w:rFonts w:ascii="Courier New" w:cs="Courier New" w:eastAsia="Courier New" w:hAnsi="Courier New"/>
                <w:color w:val="1F2937"/>
                <w:sz w:val="20"/>
                <w:szCs w:val="20"/>
              </w:rPr>
              <w:t xml:space="preserve">PersonalFund  ──fee──►  Treasury</w:t>
            </w:r>
          </w:p>
          <w:p>
            <w:pPr>
              <w:spacing w:after="40" w:before="0"/>
            </w:pPr>
            <w:r>
              <w:rPr>
                <w:rFonts w:ascii="Courier New" w:cs="Courier New" w:eastAsia="Courier New" w:hAnsi="Courier New"/>
                <w:color w:val="1F2937"/>
                <w:sz w:val="20"/>
                <w:szCs w:val="20"/>
              </w:rPr>
              <w:t xml:space="preserve">PersonalFund  ──consulta──►  UserPreferences  ──ruta──►  ProtocolRegistry</w:t>
            </w:r>
          </w:p>
          <w:p>
            <w:pPr>
              <w:spacing w:after="40" w:before="0"/>
            </w:pPr>
            <w:r>
              <w:rPr>
                <w:rFonts w:ascii="Courier New" w:cs="Courier New" w:eastAsia="Courier New" w:hAnsi="Courier New"/>
                <w:color w:val="1F2937"/>
                <w:sz w:val="20"/>
                <w:szCs w:val="20"/>
              </w:rPr>
              <w:t xml:space="preserve">PersonalFund  ──USDC──►  AaveV3Adapter  ──supply──►  Aave v3 Pool</w:t>
            </w:r>
          </w:p>
          <w:p>
            <w:pPr>
              <w:spacing w:after="0" w:before="0"/>
            </w:pPr>
            <w:r>
              <w:rPr>
                <w:rFonts w:ascii="Courier New" w:cs="Courier New" w:eastAsia="Courier New" w:hAnsi="Courier New"/>
                <w:color w:val="1F2937"/>
                <w:sz w:val="20"/>
                <w:szCs w:val="20"/>
              </w:rPr>
              <w:t xml:space="preserve">PersonalFund  ──USDC──►  OndoUSDYAdapter  ──swap──►  Uniswap v3  ──►  USDY</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3. Ciclo de Vida del Fondo Personal</w:t>
      </w:r>
    </w:p>
    <w:p>
      <w:pPr>
        <w:pStyle w:val="Heading2"/>
        <w:spacing w:after="120" w:before="320"/>
      </w:pPr>
      <w:r>
        <w:rPr>
          <w:rFonts w:ascii="Arial" w:cs="Arial" w:eastAsia="Arial" w:hAnsi="Arial"/>
          <w:b/>
          <w:bCs/>
          <w:color w:val="1F2937"/>
          <w:sz w:val="28"/>
          <w:szCs w:val="28"/>
        </w:rPr>
        <w:t xml:space="preserve">3.1 Creación del Fondo</w:t>
      </w:r>
    </w:p>
    <w:p>
      <w:pPr>
        <w:spacing w:after="120" w:before="80"/>
        <w:jc w:val="both"/>
      </w:pPr>
      <w:r>
        <w:rPr>
          <w:rFonts w:ascii="Arial" w:cs="Arial" w:eastAsia="Arial" w:hAnsi="Arial"/>
          <w:color w:val="1F2937"/>
          <w:sz w:val="22"/>
          <w:szCs w:val="22"/>
        </w:rPr>
        <w:t xml:space="preserve">El usuario interactúa con PersonalFundFactory.createFund() proveyendo los parámetros de su plan de retiro personal. El factory valida los datos, despliega un proxy minimal de PersonalFund, transfiere el depósito inicial (principal + primer mensual) y registra el fondo.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Parámetro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principal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Capital semilla inicial en USDC (0 – 100,000 USDC)</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monthlyDeposit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Monto fijo a depositar cada 30 días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currentAge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Edad actual del usuario (validada por rangos del factory)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retirementAge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Edad objetivo de jubilación (&gt; currentAge)</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desiredMonthly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Monto mensual deseado durante el retiro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yearsPayments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Años de pagos en la etapa de retiro (1–50)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interestRate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Tasa de rendimiento asumida en basis points (max 10,000)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timelockYears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Años hasta el retiro, también el lockup del fondo (15–50)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selectedProtocol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Dirección del adaptador DeFi inicial (debe estar aprobado)</w:t>
            </w:r>
          </w:p>
        </w:tc>
      </w:tr>
    </w:tbl>
    <w:p>
      <w:pPr>
        <w:spacing w:after="80" w:before="0"/>
      </w:pPr>
      <w:r>
        <w:rPr>
          <w:sz w:val="22"/>
          <w:szCs w:val="22"/>
        </w:rPr>
        <w:t xml:space="preserve"/>
      </w:r>
    </w:p>
    <w:p>
      <w:pPr>
        <w:spacing w:after="120" w:before="80"/>
        <w:jc w:val="both"/>
      </w:pPr>
      <w:r>
        <w:rPr>
          <w:rFonts w:ascii="Arial" w:cs="Arial" w:eastAsia="Arial" w:hAnsi="Arial"/>
          <w:color w:val="1F2937"/>
          <w:sz w:val="22"/>
          <w:szCs w:val="22"/>
        </w:rPr>
        <w:t xml:space="preserve">En el momento de creación, el contrato calcula la fee sobre el depósito inicial, envía la fee a la Tesorería, e invierte el neto en el protocolo DeFi seleccionado.</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3.2 Fase de Acumulación</w:t>
      </w:r>
    </w:p>
    <w:p>
      <w:pPr>
        <w:spacing w:after="120" w:before="80"/>
        <w:jc w:val="both"/>
      </w:pPr>
      <w:r>
        <w:rPr>
          <w:rFonts w:ascii="Arial" w:cs="Arial" w:eastAsia="Arial" w:hAnsi="Arial"/>
          <w:color w:val="1F2937"/>
          <w:sz w:val="22"/>
          <w:szCs w:val="22"/>
        </w:rPr>
        <w:t xml:space="preserve">Durante el período de lockup (timelockYears), el usuario realiza depósitos mensuales periódicos y acumula rendimientos en los protocolos DeFi. El protocolo registra los meses perdidos (missedMonths) de forma informativa sin aplicar penalidades.</w:t>
      </w:r>
    </w:p>
    <w:p>
      <w:pPr>
        <w:pStyle w:val="Heading3"/>
        <w:spacing w:after="80" w:before="200"/>
      </w:pPr>
      <w:r>
        <w:rPr>
          <w:rFonts w:ascii="Arial" w:cs="Arial" w:eastAsia="Arial" w:hAnsi="Arial"/>
          <w:b/>
          <w:bCs/>
          <w:color w:val="2E7D32"/>
          <w:sz w:val="24"/>
          <w:szCs w:val="24"/>
        </w:rPr>
        <w:t xml:space="preserve">Depósitos Mensuales</w:t>
      </w:r>
    </w:p>
    <w:p>
      <w:pPr>
        <w:spacing w:after="120" w:before="80"/>
        <w:jc w:val="both"/>
      </w:pPr>
      <w:r>
        <w:rPr>
          <w:rFonts w:ascii="Arial" w:cs="Arial" w:eastAsia="Arial" w:hAnsi="Arial"/>
          <w:color w:val="1F2937"/>
          <w:sz w:val="22"/>
          <w:szCs w:val="22"/>
        </w:rPr>
        <w:t xml:space="preserve">La función monthlyDeposit() puede ser ejecutada por el propietario del fondo o por cualquier dirección autorizada. El intervalo mínimo entre depósitos es de 30 días (2,592,000 segundos). Si se detectan meses perdidos, se registran como missedMonths.</w:t>
      </w:r>
    </w:p>
    <w:p>
      <w:pPr>
        <w:pStyle w:val="Heading3"/>
        <w:spacing w:after="80" w:before="200"/>
      </w:pPr>
      <w:r>
        <w:rPr>
          <w:rFonts w:ascii="Arial" w:cs="Arial" w:eastAsia="Arial" w:hAnsi="Arial"/>
          <w:b/>
          <w:bCs/>
          <w:color w:val="2E7D32"/>
          <w:sz w:val="24"/>
          <w:szCs w:val="24"/>
        </w:rPr>
        <w:t xml:space="preserve">Depósitos Extra</w:t>
      </w:r>
    </w:p>
    <w:p>
      <w:pPr>
        <w:spacing w:after="120" w:before="80"/>
        <w:jc w:val="both"/>
      </w:pPr>
      <w:r>
        <w:rPr>
          <w:rFonts w:ascii="Arial" w:cs="Arial" w:eastAsia="Arial" w:hAnsi="Arial"/>
          <w:color w:val="1F2937"/>
          <w:sz w:val="22"/>
          <w:szCs w:val="22"/>
        </w:rPr>
        <w:t xml:space="preserve">El usuario puede depositar fondos adicionales en cualquier momento mediante extraDeposit(). Tiene una ventana de 24 horas (EXTRA_GRACE_PERIOD = 86,400 segundos) para reclamar el depósito extra con una penalidad del 1% (EXTRA_RECLAIM_PENALTY = 100 basis points). Pasadas las 24 horas, el depósito extra queda permanente en el fondo.</w:t>
      </w:r>
    </w:p>
    <w:p>
      <w:pPr>
        <w:pStyle w:val="Heading3"/>
        <w:spacing w:after="80" w:before="200"/>
      </w:pPr>
      <w:r>
        <w:rPr>
          <w:rFonts w:ascii="Arial" w:cs="Arial" w:eastAsia="Arial" w:hAnsi="Arial"/>
          <w:b/>
          <w:bCs/>
          <w:color w:val="2E7D32"/>
          <w:sz w:val="24"/>
          <w:szCs w:val="24"/>
        </w:rPr>
        <w:t xml:space="preserve">Gestión de Inversiones</w:t>
      </w:r>
    </w:p>
    <w:p>
      <w:pPr>
        <w:spacing w:after="120" w:before="80"/>
        <w:jc w:val="both"/>
      </w:pPr>
      <w:r>
        <w:rPr>
          <w:rFonts w:ascii="Arial" w:cs="Arial" w:eastAsia="Arial" w:hAnsi="Arial"/>
          <w:color w:val="1F2937"/>
          <w:sz w:val="22"/>
          <w:szCs w:val="22"/>
        </w:rPr>
        <w:t xml:space="preserve">El propietario puede redirigir fondos entre los protocolos aprobados del registro usando invest() y withdrawFromProtocol(). El sistema soporta hasta 10 protocolos simultáneos por fondo (MAX_PROTOCOLS = 10). Cada cambio de protocolo requiere que el nuevo protocolo esté activo y verificado en el ProtocolRegistry.</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3.3 Retiro Anticipado</w:t>
      </w:r>
    </w:p>
    <w:p>
      <w:pPr>
        <w:spacing w:after="120" w:before="80"/>
        <w:jc w:val="both"/>
      </w:pPr>
      <w:r>
        <w:rPr>
          <w:rFonts w:ascii="Arial" w:cs="Arial" w:eastAsia="Arial" w:hAnsi="Arial"/>
          <w:color w:val="1F2937"/>
          <w:sz w:val="22"/>
          <w:szCs w:val="22"/>
        </w:rPr>
        <w:t xml:space="preserve">Si el usuario necesita acceder a sus fondos antes del fin del timelock, debe solicitar aprobación a la Tesorería del protocolo mediante requestEarlyRetirement(reason). El admin de la tesorería puede aprobar o rechazar la solicitud. Si es aprobada, el usuario puede ejecutar retirement() antes del vencimiento del timelock.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El proceso de aprobación de retiro anticipado incluye la revisión manual de la justificación provista por el usuario. La Fundación Ethernal se reserva el derecho de rechazar solicitudes que no cumplan criterios de necesidad documentada.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3.4 Retiro de Emergencia</w:t>
      </w:r>
    </w:p>
    <w:p>
      <w:pPr>
        <w:spacing w:after="120" w:before="80"/>
        <w:jc w:val="both"/>
      </w:pPr>
      <w:r>
        <w:rPr>
          <w:rFonts w:ascii="Arial" w:cs="Arial" w:eastAsia="Arial" w:hAnsi="Arial"/>
          <w:color w:val="1F2937"/>
          <w:sz w:val="22"/>
          <w:szCs w:val="22"/>
        </w:rPr>
        <w:t xml:space="preserve">En situaciones extremas (compromiso del protocolo, fuerza mayor), el admin puede anunciar un retiro de emergencia mediante announceEmergency(). Existe un período de espera obligatorio de 48 horas (EMERGENCY_DELAY = 172,800 segundos) antes de que el usuario pueda ejecutar emergencyWithdraw(). Este delay permite cancelar el anuncio si fue realizado por error.</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3.5 Fase de Retiro (Jubilación)</w:t>
      </w:r>
    </w:p>
    <w:p>
      <w:pPr>
        <w:spacing w:after="120" w:before="80"/>
        <w:jc w:val="both"/>
      </w:pPr>
      <w:r>
        <w:rPr>
          <w:rFonts w:ascii="Arial" w:cs="Arial" w:eastAsia="Arial" w:hAnsi="Arial"/>
          <w:color w:val="1F2937"/>
          <w:sz w:val="22"/>
          <w:szCs w:val="22"/>
        </w:rPr>
        <w:t xml:space="preserve">Al finalizar el período de timelock, el propietario activa la fase de retiro con retirement(). El sistema configura automáticamente retiros automáticos mensuales por el monto deseado (desiredMonthly). El auto-withdrawal puede ser ejecutado por cualquier address autorizada, y el intervalo mínimo entre retiros es de 7 días (MIN_AUTO_WITHDRAWAL_INTERVAL = 604,800 segundos).</w:t>
      </w:r>
    </w:p>
    <w:p>
      <w:pPr>
        <w:spacing w:after="120" w:before="80"/>
        <w:jc w:val="both"/>
      </w:pPr>
      <w:r>
        <w:rPr>
          <w:rFonts w:ascii="Arial" w:cs="Arial" w:eastAsia="Arial" w:hAnsi="Arial"/>
          <w:color w:val="1F2937"/>
          <w:sz w:val="22"/>
          <w:szCs w:val="22"/>
        </w:rPr>
        <w:t xml:space="preserve">Si el balance del fondo es insuficiente para cubrir el monto de auto-withdrawal, el sistema deshabilita automáticamente los retiros automáticos para evitar errores. El propietario puede realizar retiros manuales en cualquier momento durante la fase de retiro, con un mínimo de 1 día entre retiros (MIN_WITHDRAWAL_INTERVAL = 86,400 segundos).</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4. Token ETRF — Ethernal Fund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DECLARACIÓN DE UTILIDAD: ETRF es exclusivamente un token de utilidad. NO representa participación accionaria, deuda, dividendos ni expectativa de ganancia derivada del trabajo de terceros. No está diseñado como instrumento de inversión ni como security bajo ninguna jurisdicción.</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4.1 Descripción</w:t>
      </w:r>
    </w:p>
    <w:p>
      <w:pPr>
        <w:spacing w:after="120" w:before="80"/>
        <w:jc w:val="both"/>
      </w:pPr>
      <w:r>
        <w:rPr>
          <w:rFonts w:ascii="Arial" w:cs="Arial" w:eastAsia="Arial" w:hAnsi="Arial"/>
          <w:color w:val="1F2937"/>
          <w:sz w:val="22"/>
          <w:szCs w:val="22"/>
        </w:rPr>
        <w:t xml:space="preserve">ETRF (Ethernal Fund Token) es el token de utilidad nativo del protocolo Ethernal Fund. Tiene 3 usos concretos dentro del ecosistema, todos relacionados con el acceso a funcionalidades y descuentos en fees del protocolo.</w:t>
      </w:r>
    </w:p>
    <w:p>
      <w:pPr>
        <w:pStyle w:val="Heading2"/>
        <w:spacing w:after="120" w:before="320"/>
      </w:pPr>
      <w:r>
        <w:rPr>
          <w:rFonts w:ascii="Arial" w:cs="Arial" w:eastAsia="Arial" w:hAnsi="Arial"/>
          <w:b/>
          <w:bCs/>
          <w:color w:val="1F2937"/>
          <w:sz w:val="28"/>
          <w:szCs w:val="28"/>
        </w:rPr>
        <w:t xml:space="preserve">4.2 Casos de Uso del Token</w:t>
      </w:r>
    </w:p>
    <w:p>
      <w:pPr>
        <w:pStyle w:val="Heading3"/>
        <w:spacing w:after="80" w:before="200"/>
      </w:pPr>
      <w:r>
        <w:rPr>
          <w:rFonts w:ascii="Arial" w:cs="Arial" w:eastAsia="Arial" w:hAnsi="Arial"/>
          <w:b/>
          <w:bCs/>
          <w:color w:val="2E7D32"/>
          <w:sz w:val="24"/>
          <w:szCs w:val="24"/>
        </w:rPr>
        <w:t xml:space="preserve">Modo Premium</w:t>
      </w:r>
    </w:p>
    <w:p>
      <w:pPr>
        <w:spacing w:after="120" w:before="80"/>
        <w:jc w:val="both"/>
      </w:pPr>
      <w:r>
        <w:rPr>
          <w:rFonts w:ascii="Arial" w:cs="Arial" w:eastAsia="Arial" w:hAnsi="Arial"/>
          <w:color w:val="1F2937"/>
          <w:sz w:val="22"/>
          <w:szCs w:val="22"/>
        </w:rPr>
        <w:t xml:space="preserve">Los usuarios que mantengan un mínimo de ETRF en su wallet desbloquean acceso a funcionalidades avanzadas de la aplicación: reportes personalizados, estrategias de inversión, alertas y análisis. El token no se consume ni se gasta — solo se verifica el balance on-chain en cada sesión.</w:t>
      </w:r>
    </w:p>
    <w:p>
      <w:pPr>
        <w:pStyle w:val="Heading3"/>
        <w:spacing w:after="80" w:before="200"/>
      </w:pPr>
      <w:r>
        <w:rPr>
          <w:rFonts w:ascii="Arial" w:cs="Arial" w:eastAsia="Arial" w:hAnsi="Arial"/>
          <w:b/>
          <w:bCs/>
          <w:color w:val="2E7D32"/>
          <w:sz w:val="24"/>
          <w:szCs w:val="24"/>
        </w:rPr>
        <w:t xml:space="preserve">Descuento de Fees</w:t>
      </w:r>
    </w:p>
    <w:p>
      <w:pPr>
        <w:spacing w:after="120" w:before="80"/>
        <w:jc w:val="both"/>
      </w:pPr>
      <w:r>
        <w:rPr>
          <w:rFonts w:ascii="Arial" w:cs="Arial" w:eastAsia="Arial" w:hAnsi="Arial"/>
          <w:color w:val="1F2937"/>
          <w:sz w:val="22"/>
          <w:szCs w:val="22"/>
        </w:rPr>
        <w:t xml:space="preserve">Los usuarios pueden pagar las fees de gestión, rebalanceo o retiro anticipado en ETRF en lugar de en USDC, obteniendo un descuento sobre el costo equivalente en USDC. Los tokens ETRF utilizados para este fin son quemados (burned), reduciendo el supply circulante con cada operación del protocolo. El mecanismo de burn opera via burnFrom() con el allowance previamente aprobado por el usuario.</w:t>
      </w:r>
    </w:p>
    <w:p>
      <w:pPr>
        <w:pStyle w:val="Heading3"/>
        <w:spacing w:after="80" w:before="200"/>
      </w:pPr>
      <w:r>
        <w:rPr>
          <w:rFonts w:ascii="Arial" w:cs="Arial" w:eastAsia="Arial" w:hAnsi="Arial"/>
          <w:b/>
          <w:bCs/>
          <w:color w:val="2E7D32"/>
          <w:sz w:val="24"/>
          <w:szCs w:val="24"/>
        </w:rPr>
        <w:t xml:space="preserve">Créditos Prepagos</w:t>
      </w:r>
    </w:p>
    <w:p>
      <w:pPr>
        <w:spacing w:after="120" w:before="80"/>
        <w:jc w:val="both"/>
      </w:pPr>
      <w:r>
        <w:rPr>
          <w:rFonts w:ascii="Arial" w:cs="Arial" w:eastAsia="Arial" w:hAnsi="Arial"/>
          <w:color w:val="1F2937"/>
          <w:sz w:val="22"/>
          <w:szCs w:val="22"/>
        </w:rPr>
        <w:t xml:space="preserve">Los usuarios pueden adquirir ETRF anticipadamente (por ejemplo, 1,000 ETRF) y el protocolo los irá quemando gradualmente a lo largo de 1 o 2 años a medida que se generan fees de uso. Funciona como un plan prepago: cuanto más ETRF mantiene el usuario, más tiempo opera con fees reducidas antes de necesitar recargar.</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4.3 Tokenomics</w:t>
      </w:r>
    </w:p>
    <w:p>
      <w:pPr>
        <w:spacing w:after="120" w:before="80"/>
        <w:jc w:val="both"/>
      </w:pPr>
      <w:r>
        <w:rPr>
          <w:rFonts w:ascii="Arial" w:cs="Arial" w:eastAsia="Arial" w:hAnsi="Arial"/>
          <w:color w:val="1F2937"/>
          <w:sz w:val="22"/>
          <w:szCs w:val="22"/>
        </w:rPr>
        <w:t xml:space="preserve">Supply total: 1,000,000,000 ETRF (mil millones). Fijo, no minteable post-deploy.</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Asignación</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Porcentaje</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Tokens (ETRF)</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Detalles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Venta Pública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30%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300,000,000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Distribuido por rondas vía SaleETRF → VestingETRF</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Equipo</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Cliff 1 año + 25% unlock + 75% lineal en 3 años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Ecosistema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Incentivos, partnerships, integraciones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Tesorería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15%</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150,000,000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Recibe también USDC de ventas y tokens no vendidos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Community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Programas comunitarios, rewards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Reserva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5%</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50,000,000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Reserva estratégica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4.4 Mecanismo de Vesting</w:t>
      </w:r>
    </w:p>
    <w:p>
      <w:pPr>
        <w:spacing w:after="120" w:before="80"/>
        <w:jc w:val="both"/>
      </w:pPr>
      <w:r>
        <w:rPr>
          <w:rFonts w:ascii="Arial" w:cs="Arial" w:eastAsia="Arial" w:hAnsi="Arial"/>
          <w:color w:val="1F2937"/>
          <w:sz w:val="22"/>
          <w:szCs w:val="22"/>
        </w:rPr>
        <w:t xml:space="preserve">Los tokens de venta pública se distribuyen a través del sistema SaleETRF + VestingETRF. Los compradores reciben sus tokens linealmente después de un período de cliff configurable por ronda.</w:t>
      </w:r>
    </w:p>
    <w:p>
      <w:pPr>
        <w:pStyle w:val="Heading3"/>
        <w:spacing w:after="80" w:before="200"/>
      </w:pPr>
      <w:r>
        <w:rPr>
          <w:rFonts w:ascii="Arial" w:cs="Arial" w:eastAsia="Arial" w:hAnsi="Arial"/>
          <w:b/>
          <w:bCs/>
          <w:color w:val="2E7D32"/>
          <w:sz w:val="24"/>
          <w:szCs w:val="24"/>
        </w:rPr>
        <w:t xml:space="preserve">Vesting del Equipo</w:t>
      </w:r>
    </w:p>
    <w:p>
      <w:pPr>
        <w:pStyle w:val="ListParagraph"/>
        <w:numPr>
          <w:ilvl w:val="0"/>
          <w:numId w:val="2"/>
        </w:numPr>
        <w:spacing w:after="60" w:before="60"/>
      </w:pPr>
      <w:r>
        <w:rPr>
          <w:rFonts w:ascii="Arial" w:cs="Arial" w:eastAsia="Arial" w:hAnsi="Arial"/>
          <w:color w:val="1F2937"/>
          <w:sz w:val="22"/>
          <w:szCs w:val="22"/>
        </w:rPr>
        <w:t xml:space="preserve">Cliff: 1 año exacto (365 días). Sin tokens antes del año 1.</w:t>
      </w:r>
    </w:p>
    <w:p>
      <w:pPr>
        <w:pStyle w:val="ListParagraph"/>
        <w:numPr>
          <w:ilvl w:val="0"/>
          <w:numId w:val="2"/>
        </w:numPr>
        <w:spacing w:after="60" w:before="60"/>
      </w:pPr>
      <w:r>
        <w:rPr>
          <w:rFonts w:ascii="Arial" w:cs="Arial" w:eastAsia="Arial" w:hAnsi="Arial"/>
          <w:color w:val="1F2937"/>
          <w:sz w:val="22"/>
          <w:szCs w:val="22"/>
        </w:rPr>
        <w:t xml:space="preserve">Unlock al cliff: 25% liberado instantáneamente al cumplir el año.</w:t>
      </w:r>
    </w:p>
    <w:p>
      <w:pPr>
        <w:pStyle w:val="ListParagraph"/>
        <w:numPr>
          <w:ilvl w:val="0"/>
          <w:numId w:val="2"/>
        </w:numPr>
        <w:spacing w:after="60" w:before="60"/>
      </w:pPr>
      <w:r>
        <w:rPr>
          <w:rFonts w:ascii="Arial" w:cs="Arial" w:eastAsia="Arial" w:hAnsi="Arial"/>
          <w:color w:val="1F2937"/>
          <w:sz w:val="22"/>
          <w:szCs w:val="22"/>
        </w:rPr>
        <w:t xml:space="preserve">Vesting lineal: 75% restante durante los 3 años siguientes (total 4 años).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4.5 Proceso de Venta (SaleETRF)</w:t>
      </w:r>
    </w:p>
    <w:p>
      <w:pPr>
        <w:spacing w:after="120" w:before="80"/>
        <w:jc w:val="both"/>
      </w:pPr>
      <w:r>
        <w:rPr>
          <w:rFonts w:ascii="Arial" w:cs="Arial" w:eastAsia="Arial" w:hAnsi="Arial"/>
          <w:color w:val="1F2937"/>
          <w:sz w:val="22"/>
          <w:szCs w:val="22"/>
        </w:rPr>
        <w:t xml:space="preserve">Las ventas se organizan en hasta 3 rondas configurables (Seed, Private, Public). Cada ronda tiene parámetros independientes:</w:t>
      </w:r>
    </w:p>
    <w:p>
      <w:pPr>
        <w:pStyle w:val="ListParagraph"/>
        <w:numPr>
          <w:ilvl w:val="0"/>
          <w:numId w:val="2"/>
        </w:numPr>
        <w:spacing w:after="60" w:before="60"/>
      </w:pPr>
      <w:r>
        <w:rPr>
          <w:rFonts w:ascii="Arial" w:cs="Arial" w:eastAsia="Arial" w:hAnsi="Arial"/>
          <w:color w:val="1F2937"/>
          <w:sz w:val="22"/>
          <w:szCs w:val="22"/>
        </w:rPr>
        <w:t xml:space="preserve">Precio por token en USDC.</w:t>
      </w:r>
    </w:p>
    <w:p>
      <w:pPr>
        <w:pStyle w:val="ListParagraph"/>
        <w:numPr>
          <w:ilvl w:val="0"/>
          <w:numId w:val="2"/>
        </w:numPr>
        <w:spacing w:after="60" w:before="60"/>
      </w:pPr>
      <w:r>
        <w:rPr>
          <w:rFonts w:ascii="Arial" w:cs="Arial" w:eastAsia="Arial" w:hAnsi="Arial"/>
          <w:color w:val="1F2937"/>
          <w:sz w:val="22"/>
          <w:szCs w:val="22"/>
        </w:rPr>
        <w:t xml:space="preserve">Hard cap de recaudación y límite por wallet.</w:t>
      </w:r>
    </w:p>
    <w:p>
      <w:pPr>
        <w:pStyle w:val="ListParagraph"/>
        <w:numPr>
          <w:ilvl w:val="0"/>
          <w:numId w:val="2"/>
        </w:numPr>
        <w:spacing w:after="60" w:before="60"/>
      </w:pPr>
      <w:r>
        <w:rPr>
          <w:rFonts w:ascii="Arial" w:cs="Arial" w:eastAsia="Arial" w:hAnsi="Arial"/>
          <w:color w:val="1F2937"/>
          <w:sz w:val="22"/>
          <w:szCs w:val="22"/>
        </w:rPr>
        <w:t xml:space="preserve">Parámetros de cliff y vesting propios.</w:t>
      </w:r>
    </w:p>
    <w:p>
      <w:pPr>
        <w:spacing w:after="120" w:before="80"/>
        <w:jc w:val="both"/>
      </w:pPr>
      <w:r>
        <w:rPr>
          <w:rFonts w:ascii="Arial" w:cs="Arial" w:eastAsia="Arial" w:hAnsi="Arial"/>
          <w:color w:val="1F2937"/>
          <w:sz w:val="22"/>
          <w:szCs w:val="22"/>
        </w:rPr>
        <w:t xml:space="preserve">El USDC recaudado va directamente a la Tesorería en cada compra (sin custodia en SaleETRF). Los tokens no vendidos pueden ser recuperados por la Tesorería 90 días después del cierre de cada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Invariante de seguridad: SaleETRF nunca custodia ETRF. Los tokens van directamente a VestingETRF al momento de la compra.</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5. Seguridad y Gestión de Riesgos</w:t>
      </w:r>
    </w:p>
    <w:p>
      <w:pPr>
        <w:pStyle w:val="Heading2"/>
        <w:spacing w:after="120" w:before="320"/>
      </w:pPr>
      <w:r>
        <w:rPr>
          <w:rFonts w:ascii="Arial" w:cs="Arial" w:eastAsia="Arial" w:hAnsi="Arial"/>
          <w:b/>
          <w:bCs/>
          <w:color w:val="1F2937"/>
          <w:sz w:val="28"/>
          <w:szCs w:val="28"/>
        </w:rPr>
        <w:t xml:space="preserve">5.1 Elección de Vyper</w:t>
      </w:r>
    </w:p>
    <w:p>
      <w:pPr>
        <w:spacing w:after="120" w:before="80"/>
        <w:jc w:val="both"/>
      </w:pPr>
      <w:r>
        <w:rPr>
          <w:rFonts w:ascii="Arial" w:cs="Arial" w:eastAsia="Arial" w:hAnsi="Arial"/>
          <w:color w:val="1F2937"/>
          <w:sz w:val="22"/>
          <w:szCs w:val="22"/>
        </w:rPr>
        <w:t xml:space="preserve">Todos los contratos core del protocolo están escritos en Vyper, un lenguaje de smart contracts diseñado con énfasis en seguridad y auditabilidad. A diferencia de Solidity, Vyper prohíbe la herencia múltiple, los operadores de sobrecarga, la recursión y los modificadores inline, reduciendo significativamente la superficie de ataque y la complejidad cognitiva del código.</w:t>
      </w:r>
    </w:p>
    <w:p>
      <w:pPr>
        <w:pStyle w:val="Heading2"/>
        <w:spacing w:after="120" w:before="320"/>
      </w:pPr>
      <w:r>
        <w:rPr>
          <w:rFonts w:ascii="Arial" w:cs="Arial" w:eastAsia="Arial" w:hAnsi="Arial"/>
          <w:b/>
          <w:bCs/>
          <w:color w:val="1F2937"/>
          <w:sz w:val="28"/>
          <w:szCs w:val="28"/>
        </w:rPr>
        <w:t xml:space="preserve">5.2 Controles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Mecanismo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Propietario del fondo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el owner del PersonalFund puede realizar depósitos y retirar</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Admin del protocolo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Rol separado para operaciones administrativas (Treasury, Factory, Registry)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Whitelist de protocolos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protocolos activos y verificados en ProtocolRegistry son utilizables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Registro de fondos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fondos registrados en Factory pueden reportar fees a Treasury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Autorización de contratos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UserPreferences requiere autorización explícita de cada PersonalFund</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5.3 Protecciones On-Chain</w:t>
      </w:r>
    </w:p>
    <w:p>
      <w:pPr>
        <w:pStyle w:val="ListParagraph"/>
        <w:numPr>
          <w:ilvl w:val="0"/>
          <w:numId w:val="2"/>
        </w:numPr>
        <w:spacing w:after="60" w:before="60"/>
      </w:pPr>
      <w:r>
        <w:rPr>
          <w:rFonts w:ascii="Arial" w:cs="Arial" w:eastAsia="Arial" w:hAnsi="Arial"/>
          <w:color w:val="1F2937"/>
          <w:sz w:val="22"/>
          <w:szCs w:val="22"/>
        </w:rPr>
        <w:t xml:space="preserve">Safe allowance pattern: en AaveV3Adapter, el allowance se resetea a 0 antes de cada nueva aprobación, evitando front-running de allowances residuales.</w:t>
      </w:r>
    </w:p>
    <w:p>
      <w:pPr>
        <w:pStyle w:val="ListParagraph"/>
        <w:numPr>
          <w:ilvl w:val="0"/>
          <w:numId w:val="2"/>
        </w:numPr>
        <w:spacing w:after="60" w:before="60"/>
      </w:pPr>
      <w:r>
        <w:rPr>
          <w:rFonts w:ascii="Arial" w:cs="Arial" w:eastAsia="Arial" w:hAnsi="Arial"/>
          <w:color w:val="1F2937"/>
          <w:sz w:val="22"/>
          <w:szCs w:val="22"/>
        </w:rPr>
        <w:t xml:space="preserve">Límite de protocolos: máximo 10 protocolos activos por fondo (MAX_PROTOCOLS), evitando loops de gas ilimitado.</w:t>
      </w:r>
    </w:p>
    <w:p>
      <w:pPr>
        <w:pStyle w:val="ListParagraph"/>
        <w:numPr>
          <w:ilvl w:val="0"/>
          <w:numId w:val="2"/>
        </w:numPr>
        <w:spacing w:after="60" w:before="60"/>
      </w:pPr>
      <w:r>
        <w:rPr>
          <w:rFonts w:ascii="Arial" w:cs="Arial" w:eastAsia="Arial" w:hAnsi="Arial"/>
          <w:color w:val="1F2937"/>
          <w:sz w:val="22"/>
          <w:szCs w:val="22"/>
        </w:rPr>
        <w:t xml:space="preserve">Caps de fee: la fee del protocolo tiene un techo inviolable del 10% (MAX_FEE = 1000 bp) codificado en el contrato.</w:t>
      </w:r>
    </w:p>
    <w:p>
      <w:pPr>
        <w:pStyle w:val="ListParagraph"/>
        <w:numPr>
          <w:ilvl w:val="0"/>
          <w:numId w:val="2"/>
        </w:numPr>
        <w:spacing w:after="60" w:before="60"/>
      </w:pPr>
      <w:r>
        <w:rPr>
          <w:rFonts w:ascii="Arial" w:cs="Arial" w:eastAsia="Arial" w:hAnsi="Arial"/>
          <w:color w:val="1F2937"/>
          <w:sz w:val="22"/>
          <w:szCs w:val="22"/>
        </w:rPr>
        <w:t xml:space="preserve">APY cap: el ProtocolRegistry rechaza protocolos con APY declarado superior al 100% (MAX_APY = 10,000 bp).</w:t>
      </w:r>
    </w:p>
    <w:p>
      <w:pPr>
        <w:pStyle w:val="ListParagraph"/>
        <w:numPr>
          <w:ilvl w:val="0"/>
          <w:numId w:val="2"/>
        </w:numPr>
        <w:spacing w:after="60" w:before="60"/>
      </w:pPr>
      <w:r>
        <w:rPr>
          <w:rFonts w:ascii="Arial" w:cs="Arial" w:eastAsia="Arial" w:hAnsi="Arial"/>
          <w:color w:val="1F2937"/>
          <w:sz w:val="22"/>
          <w:szCs w:val="22"/>
        </w:rPr>
        <w:t xml:space="preserve">Emergency delay: cualquier retiro de emergencia requiere un anuncio previo de 48 horas, dando tiempo para cancelar anuncios erróneos.</w:t>
      </w:r>
    </w:p>
    <w:p>
      <w:pPr>
        <w:pStyle w:val="ListParagraph"/>
        <w:numPr>
          <w:ilvl w:val="0"/>
          <w:numId w:val="2"/>
        </w:numPr>
        <w:spacing w:after="60" w:before="60"/>
      </w:pPr>
      <w:r>
        <w:rPr>
          <w:rFonts w:ascii="Arial" w:cs="Arial" w:eastAsia="Arial" w:hAnsi="Arial"/>
          <w:color w:val="1F2937"/>
          <w:sz w:val="22"/>
          <w:szCs w:val="22"/>
        </w:rPr>
        <w:t xml:space="preserve">Extra deposit window: los depósitos extra tienen una ventana de 24 horas para ser rescindidos, con penalidad de 1% para evitar abuso.</w:t>
      </w:r>
    </w:p>
    <w:p>
      <w:pPr>
        <w:pStyle w:val="ListParagraph"/>
        <w:numPr>
          <w:ilvl w:val="0"/>
          <w:numId w:val="2"/>
        </w:numPr>
        <w:spacing w:after="60" w:before="60"/>
      </w:pPr>
      <w:r>
        <w:rPr>
          <w:rFonts w:ascii="Arial" w:cs="Arial" w:eastAsia="Arial" w:hAnsi="Arial"/>
          <w:color w:val="1F2937"/>
          <w:sz w:val="22"/>
          <w:szCs w:val="22"/>
        </w:rPr>
        <w:t xml:space="preserve">Timelock en vesting: VestingETRF incluye un período de 90 días post-cierre de ronda antes de que los tokens no vendidos puedan ser recuperados.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5.4 Riesgos a Considerar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Los siguientes riesgos son inherentes a los protocolos DeFi y al uso de blockchain. El usuario debe comprenderlos antes de participar.</w:t>
            </w:r>
          </w:p>
        </w:tc>
      </w:tr>
    </w:tbl>
    <w:p>
      <w:pPr>
        <w:spacing w:after="80" w:before="0"/>
      </w:pPr>
      <w:r>
        <w:rPr>
          <w:sz w:val="22"/>
          <w:szCs w:val="22"/>
        </w:rPr>
        <w:t xml:space="preserve"/>
      </w:r>
    </w:p>
    <w:p>
      <w:pPr>
        <w:pStyle w:val="ListParagraph"/>
        <w:numPr>
          <w:ilvl w:val="0"/>
          <w:numId w:val="2"/>
        </w:numPr>
        <w:spacing w:after="60" w:before="60"/>
      </w:pPr>
      <w:r>
        <w:rPr>
          <w:rFonts w:ascii="Arial" w:cs="Arial" w:eastAsia="Arial" w:hAnsi="Arial"/>
          <w:color w:val="1F2937"/>
          <w:sz w:val="22"/>
          <w:szCs w:val="22"/>
        </w:rPr>
        <w:t xml:space="preserve">Riesgo de smart contract: a pesar de las auditorías, ningún código es 100% libre de bugs. Los fondos invertidos en contratos inteligentes pueden perderse en caso de exploit.</w:t>
      </w:r>
    </w:p>
    <w:p>
      <w:pPr>
        <w:pStyle w:val="ListParagraph"/>
        <w:numPr>
          <w:ilvl w:val="0"/>
          <w:numId w:val="2"/>
        </w:numPr>
        <w:spacing w:after="60" w:before="60"/>
      </w:pPr>
      <w:r>
        <w:rPr>
          <w:rFonts w:ascii="Arial" w:cs="Arial" w:eastAsia="Arial" w:hAnsi="Arial"/>
          <w:color w:val="1F2937"/>
          <w:sz w:val="22"/>
          <w:szCs w:val="22"/>
        </w:rPr>
        <w:t xml:space="preserve">Riesgo de protocolo DeFi: Aave v3 y Ondo USDY son protocolos externos. Un exploit en estos protocolos podría afectar los fondos depositados en ellos.</w:t>
      </w:r>
    </w:p>
    <w:p>
      <w:pPr>
        <w:pStyle w:val="ListParagraph"/>
        <w:numPr>
          <w:ilvl w:val="0"/>
          <w:numId w:val="2"/>
        </w:numPr>
        <w:spacing w:after="60" w:before="60"/>
      </w:pPr>
      <w:r>
        <w:rPr>
          <w:rFonts w:ascii="Arial" w:cs="Arial" w:eastAsia="Arial" w:hAnsi="Arial"/>
          <w:color w:val="1F2937"/>
          <w:sz w:val="22"/>
          <w:szCs w:val="22"/>
        </w:rPr>
        <w:t xml:space="preserve">Riesgo de depegging de stablecoins: USDC puede perder su paridad con el USD en circunstancias extremas (como ocurrió brevemente en marzo 2023).</w:t>
      </w:r>
    </w:p>
    <w:p>
      <w:pPr>
        <w:pStyle w:val="ListParagraph"/>
        <w:numPr>
          <w:ilvl w:val="0"/>
          <w:numId w:val="2"/>
        </w:numPr>
        <w:spacing w:after="60" w:before="60"/>
      </w:pPr>
      <w:r>
        <w:rPr>
          <w:rFonts w:ascii="Arial" w:cs="Arial" w:eastAsia="Arial" w:hAnsi="Arial"/>
          <w:color w:val="1F2937"/>
          <w:sz w:val="22"/>
          <w:szCs w:val="22"/>
        </w:rPr>
        <w:t xml:space="preserve">Riesgo regulatorio: el marco legal de activos digitales y protocolos DeFi es incierto y varía por jurisdicción. Cambios regulatorios podrían afectar la operación del protocolo.</w:t>
      </w:r>
    </w:p>
    <w:p>
      <w:pPr>
        <w:pStyle w:val="ListParagraph"/>
        <w:numPr>
          <w:ilvl w:val="0"/>
          <w:numId w:val="2"/>
        </w:numPr>
        <w:spacing w:after="60" w:before="60"/>
      </w:pPr>
      <w:r>
        <w:rPr>
          <w:rFonts w:ascii="Arial" w:cs="Arial" w:eastAsia="Arial" w:hAnsi="Arial"/>
          <w:color w:val="1F2937"/>
          <w:sz w:val="22"/>
          <w:szCs w:val="22"/>
        </w:rPr>
        <w:t xml:space="preserve">Riesgo de liquidez: en situaciones de estrés de mercado, la liquidez en los pools de Uniswap v3 para el par USDY/USDC podría reducirse, incrementando el slippage.</w:t>
      </w:r>
    </w:p>
    <w:p>
      <w:pPr>
        <w:pStyle w:val="ListParagraph"/>
        <w:numPr>
          <w:ilvl w:val="0"/>
          <w:numId w:val="2"/>
        </w:numPr>
        <w:spacing w:after="60" w:before="60"/>
      </w:pPr>
      <w:r>
        <w:rPr>
          <w:rFonts w:ascii="Arial" w:cs="Arial" w:eastAsia="Arial" w:hAnsi="Arial"/>
          <w:color w:val="1F2937"/>
          <w:sz w:val="22"/>
          <w:szCs w:val="22"/>
        </w:rPr>
        <w:t xml:space="preserve">Riesgo de admin: mientras el protocolo no sea completamente descentralizado, existe dependencia de la Fundación Ethernal para operaciones administrativas clave.</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5.5 Auditorías y Verificación</w:t>
      </w:r>
    </w:p>
    <w:p>
      <w:pPr>
        <w:spacing w:after="120" w:before="80"/>
        <w:jc w:val="both"/>
      </w:pPr>
      <w:r>
        <w:rPr>
          <w:rFonts w:ascii="Arial" w:cs="Arial" w:eastAsia="Arial" w:hAnsi="Arial"/>
          <w:color w:val="1F2937"/>
          <w:sz w:val="22"/>
          <w:szCs w:val="22"/>
        </w:rPr>
        <w:t xml:space="preserve">El código fuente de todos los contratos está disponible públicamente. Se planifican auditorías independientes por parte de firmas especializadas en seguridad de smart contracts antes del lanzamiento en mainnet. Los resultados de las auditorías serán publicados en el sitio oficial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Los contratos core están licenciados bajo BUSL-1.1, lo que permite la revisión pública del código pero restringe su uso en producción sin autorización de la Fundación Ethernal. Serán liberados bajo GPL-2.0+ el 31 de diciembre de 2030.</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6. Marco Legal y Regulatorio</w:t>
      </w:r>
    </w:p>
    <w:p>
      <w:pPr>
        <w:pStyle w:val="Heading2"/>
        <w:spacing w:after="120" w:before="320"/>
      </w:pPr>
      <w:r>
        <w:rPr>
          <w:rFonts w:ascii="Arial" w:cs="Arial" w:eastAsia="Arial" w:hAnsi="Arial"/>
          <w:b/>
          <w:bCs/>
          <w:color w:val="1F2937"/>
          <w:sz w:val="28"/>
          <w:szCs w:val="28"/>
        </w:rPr>
        <w:t xml:space="preserve">6.1 Estructura Legal</w:t>
      </w:r>
    </w:p>
    <w:p>
      <w:pPr>
        <w:spacing w:after="120" w:before="80"/>
        <w:jc w:val="both"/>
      </w:pPr>
      <w:r>
        <w:rPr>
          <w:rFonts w:ascii="Arial" w:cs="Arial" w:eastAsia="Arial" w:hAnsi="Arial"/>
          <w:color w:val="1F2937"/>
          <w:sz w:val="22"/>
          <w:szCs w:val="22"/>
        </w:rPr>
        <w:t xml:space="preserve">El protocolo Ethernal Fund es desarrollado y mantenido por la Ethernal Foundation. Los contratos operan de forma autónoma en la blockchain, y la Fundación actúa como desarrolladora del protocolo, sin ser custodio de los fondos de los usuarios.</w:t>
      </w:r>
    </w:p>
    <w:p>
      <w:pPr>
        <w:pStyle w:val="Heading2"/>
        <w:spacing w:after="120" w:before="320"/>
      </w:pPr>
      <w:r>
        <w:rPr>
          <w:rFonts w:ascii="Arial" w:cs="Arial" w:eastAsia="Arial" w:hAnsi="Arial"/>
          <w:b/>
          <w:bCs/>
          <w:color w:val="1F2937"/>
          <w:sz w:val="28"/>
          <w:szCs w:val="28"/>
        </w:rPr>
        <w:t xml:space="preserve">6.2 Licenciamiento de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Contrato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Licencia</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Vigencia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PersonalFund.vy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2030-12-31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PersonalFundFactory.vy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2030-12-31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Treasury.vy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2030-12-31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AaveV3Adapter.vy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2030-12-31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OndoUSDYAdapter.vy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2030-12-31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ProtocolRegistry.vy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UserPreferences.vy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DateTime.vy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SaleETRF.vy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VestingETRF.vy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6.3 Clasificación del Token</w:t>
      </w:r>
    </w:p>
    <w:p>
      <w:pPr>
        <w:spacing w:after="120" w:before="80"/>
        <w:jc w:val="both"/>
      </w:pPr>
      <w:r>
        <w:rPr>
          <w:rFonts w:ascii="Arial" w:cs="Arial" w:eastAsia="Arial" w:hAnsi="Arial"/>
          <w:color w:val="1F2937"/>
          <w:sz w:val="22"/>
          <w:szCs w:val="22"/>
        </w:rPr>
        <w:t xml:space="preserve">El token ETRF ha sido diseñado como un token de utilidad puro. Su valor deriva exclusivamente de su uso dentro del ecosistema Ethernal Fund y no de ninguna expectativa de ganancia derivada del trabajo de la Fundación o de terceros. La Fundación Ethernal no garantiza ningún rendimiento, apreciación o liquidez del token ETRF.</w:t>
      </w:r>
    </w:p>
    <w:p>
      <w:pPr>
        <w:spacing w:after="120" w:before="80"/>
        <w:jc w:val="both"/>
      </w:pPr>
      <w:r>
        <w:rPr>
          <w:rFonts w:ascii="Arial" w:cs="Arial" w:eastAsia="Arial" w:hAnsi="Arial"/>
          <w:color w:val="1F2937"/>
          <w:sz w:val="22"/>
          <w:szCs w:val="22"/>
        </w:rPr>
        <w:t xml:space="preserve">Cada usuario es responsable de determinar la clasificación legal y fiscal del token ETRF en su jurisdicción. El uso del protocolo puede estar restringido o prohibido en ciertas jurisdicciones. La Fundación Ethernal recomienda encarecidamente consultar a un asesor legal calificado antes de participar.</w:t>
      </w:r>
    </w:p>
    <w:p>
      <w:pPr>
        <w:pStyle w:val="Heading2"/>
        <w:spacing w:after="120" w:before="320"/>
      </w:pPr>
      <w:r>
        <w:rPr>
          <w:rFonts w:ascii="Arial" w:cs="Arial" w:eastAsia="Arial" w:hAnsi="Arial"/>
          <w:b/>
          <w:bCs/>
          <w:color w:val="1F2937"/>
          <w:sz w:val="28"/>
          <w:szCs w:val="28"/>
        </w:rPr>
        <w:t xml:space="preserve">6.4 KYC / AML</w:t>
      </w:r>
    </w:p>
    <w:p>
      <w:pPr>
        <w:spacing w:after="120" w:before="80"/>
        <w:jc w:val="both"/>
      </w:pPr>
      <w:r>
        <w:rPr>
          <w:rFonts w:ascii="Arial" w:cs="Arial" w:eastAsia="Arial" w:hAnsi="Arial"/>
          <w:color w:val="1F2937"/>
          <w:sz w:val="22"/>
          <w:szCs w:val="22"/>
        </w:rPr>
        <w:t xml:space="preserve">El protocolo Ethernal Fund opera de forma no custodial y sin requerir identificación de los usuarios a nivel de smart contract. Sin embargo, el adaptador de Ondo Finance (OndoUSDYAdapter) usa el mercado secundario de Uniswap v3 para evitar el KYC directo con Ondo. Cualquier cambio en las políticas de acceso de Ondo Finance podría afectar esta integración.</w:t>
      </w:r>
    </w:p>
    <w:p>
      <w:pPr>
        <w:spacing w:after="80" w:before="200"/>
        <w:jc w:val="both"/>
      </w:pPr>
      <w:r>
        <w:rPr>
          <w:rFonts w:ascii="Arial" w:cs="Arial" w:eastAsia="Arial" w:hAnsi="Arial"/>
          <w:b/>
          <w:bCs/>
          <w:color w:val="1F2937"/>
          <w:sz w:val="22"/>
          <w:szCs w:val="22"/>
        </w:rPr>
        <w:t xml:space="preserve">Compliance by Design: el Timelock como Mitigador Estructural de AML</w:t>
      </w:r>
    </w:p>
    <w:p>
      <w:pPr>
        <w:spacing w:after="120" w:before="80"/>
        <w:jc w:val="both"/>
      </w:pPr>
      <w:r>
        <w:rPr>
          <w:rFonts w:ascii="Arial" w:cs="Arial" w:eastAsia="Arial" w:hAnsi="Arial"/>
          <w:color w:val="1F2937"/>
          <w:sz w:val="22"/>
          <w:szCs w:val="22"/>
        </w:rPr>
        <w:t xml:space="preserve">El mecanismo de timelock del protocolo —configurable entre 15 y 50 años— incorpora una propiedad de compliance antilavado por diseño arquitectónico. Los fondos depositados en PersonalFund quedan bloqueados durante todo el período hasta la jubilación, sin posibilidad de retiro anticipado sin aprobación explícita de la Tesorería del protocolo. Esta característica hace que el producto de fondo de retiro sea estructuralmente incompatible con el ciclo clásico de lavado de activos (placement → layering → integration): la etapa de integración —donde el actor malicioso recupera los fondos con apariencia lícita— requeriría esperar décadas, lo que elimina prácticamente cualquier incentivo económico para usar el protocolo con fines ilícitos.</w:t>
      </w:r>
    </w:p>
    <w:p>
      <w:pPr>
        <w:spacing w:after="120" w:before="80"/>
        <w:jc w:val="both"/>
      </w:pPr>
      <w:r>
        <w:rPr>
          <w:rFonts w:ascii="Arial" w:cs="Arial" w:eastAsia="Arial" w:hAnsi="Arial"/>
          <w:color w:val="1F2937"/>
          <w:sz w:val="22"/>
          <w:szCs w:val="22"/>
        </w:rPr>
        <w:t xml:space="preserve">Esta propiedad es reconocida en la literatura de compliance como “friction by design”: a diferencia de las soluciones de KYC reactivas que identifican actores maliciosos post-hoc, el timelock elimina la atractividad del protocolo como vehículo de lavado antes de que la transacción ocurra. El retiro anticipado requiere aprobación discrecional de la Fundación, lo que añade una capa adicional de supervisión humana sobre los casos excepcionales.</w:t>
      </w:r>
    </w:p>
    <w:tbl>
      <w:tblPr>
        <w:tblW w:type="dxa" w:w="9360"/>
        <w:tblBorders>
          <w:top w:val="single" w:color="1B5E20" w:sz="4"/>
          <w:left w:val="single" w:color="1B5E20" w:sz="4"/>
          <w:bottom w:val="single" w:color="1B5E20" w:sz="4"/>
          <w:right w:val="single" w:color="1B5E20" w:sz="4"/>
        </w:tblBorders>
        <w:tblCellMar>
          <w:top w:w="120" w:type="dxa"/>
          <w:left w:w="180" w:type="dxa"/>
          <w:bottom w:w="120" w:type="dxa"/>
          <w:right w:w="180" w:type="dxa"/>
        </w:tblCellMar>
      </w:tblPr>
      <w:tblGrid>
        <w:gridCol w:w="9360"/>
      </w:tblGrid>
      <w:tr>
        <w:tc>
          <w:tcPr>
            <w:tcW w:w="9360" w:type="dxa"/>
            <w:shd w:val="clear" w:color="auto" w:fill="F0FDF4"/>
          </w:tcPr>
          <w:p>
            <w:pPr>
              <w:spacing w:after="80" w:before="80"/>
              <w:jc w:val="both"/>
            </w:pPr>
            <w:r>
              <w:rPr>
                <w:rFonts w:ascii="Arial" w:cs="Arial" w:eastAsia="Arial" w:hAnsi="Arial"/>
                <w:i/>
                <w:iCs/>
                <w:color w:val="1B5E20"/>
                <w:sz w:val="20"/>
                <w:szCs w:val="20"/>
              </w:rPr>
              <w:t xml:space="preserve">Nota de alcance: esta propiedad de compliance by design aplica específicamente al producto de fondo de retiro (PersonalFund). El token ETRF, cuyo período de vesting es de meses, está sujeto a los términos de KYC/AML estándar descritos en los Términos y Condiciones del Token Sale. Sin perjuicio del diseño arquitectónico descripto, el protocolo podría estar sujeto a obligaciones regulatorias adicionales en distintas jurisdicciones. La Fundación Ethernal se reserva el derecho de implementar mecanismos de compliance complementarios según lo requiera el marco regulatorio aplicable.</w:t>
            </w:r>
          </w:p>
        </w:tc>
      </w:tr>
    </w:tbl>
    <w:p>
      <w:pPr>
        <w:spacing w:after="80" w:before="80"/>
      </w:pP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7.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Fase</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Hitos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Q2 2026 — Testnet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Despliegue completo en Arbitrum Sepolia. Auditoría de seguridad. Programa de bug bounty.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Q3 2026 — Mainnet v1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Lanzamiento en Arbitrum One. Venta pública de ETRF (Ronda Seed). Primeros fondos de usuarios.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Q4 2026 — Expansión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Integración de nuevos protocolos DeFi en el Registry. Despliegue en Polygon. Más adaptadores RWA.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2027 — Descentralización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Governance on-chain para el Protocol Registry. Reducción de privilegios del admin. Más chains.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2030 — Open Source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Migración de licencias BUSL-1.1 a GPL-2.0+. Protocolo completamente open source.</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8. Equipo y Contacto</w:t>
      </w:r>
    </w:p>
    <w:p>
      <w:pPr>
        <w:pStyle w:val="Heading2"/>
        <w:spacing w:after="120" w:before="320"/>
      </w:pPr>
      <w:r>
        <w:rPr>
          <w:rFonts w:ascii="Arial" w:cs="Arial" w:eastAsia="Arial" w:hAnsi="Arial"/>
          <w:b/>
          <w:bCs/>
          <w:color w:val="1F2937"/>
          <w:sz w:val="28"/>
          <w:szCs w:val="28"/>
        </w:rPr>
        <w:t xml:space="preserve">8.1 Equipo</w:t>
      </w:r>
    </w:p>
    <w:p>
      <w:pPr>
        <w:spacing w:after="60" w:before="60"/>
      </w:pPr>
      <w:r>
        <w:rPr>
          <w:rFonts w:ascii="Arial" w:cs="Arial" w:eastAsia="Arial" w:hAnsi="Arial"/>
          <w:b/>
          <w:bCs/>
          <w:color w:val="1F2937"/>
          <w:sz w:val="22"/>
          <w:szCs w:val="22"/>
        </w:rPr>
        <w:t xml:space="preserve">Arquitecto Principal: </w:t>
      </w:r>
      <w:r>
        <w:rPr>
          <w:rFonts w:ascii="Arial" w:cs="Arial" w:eastAsia="Arial" w:hAnsi="Arial"/>
          <w:color w:val="6B7280"/>
          <w:sz w:val="22"/>
          <w:szCs w:val="22"/>
        </w:rPr>
        <w:t xml:space="preserve">Cristian F. Taborda — Ethernal Foundation</w:t>
      </w:r>
    </w:p>
    <w:p>
      <w:pPr>
        <w:spacing w:after="60" w:before="60"/>
      </w:pPr>
      <w:r>
        <w:rPr>
          <w:rFonts w:ascii="Arial" w:cs="Arial" w:eastAsia="Arial" w:hAnsi="Arial"/>
          <w:b/>
          <w:bCs/>
          <w:color w:val="1F2937"/>
          <w:sz w:val="22"/>
          <w:szCs w:val="22"/>
        </w:rPr>
        <w:t xml:space="preserve">Organización: </w:t>
      </w:r>
      <w:r>
        <w:rPr>
          <w:rFonts w:ascii="Arial" w:cs="Arial" w:eastAsia="Arial" w:hAnsi="Arial"/>
          <w:color w:val="6B7280"/>
          <w:sz w:val="22"/>
          <w:szCs w:val="22"/>
        </w:rPr>
        <w:t xml:space="preserve">Ethernal Foundation Team</w:t>
      </w:r>
    </w:p>
    <w:p>
      <w:pPr>
        <w:spacing w:after="60" w:before="60"/>
      </w:pPr>
      <w:r>
        <w:rPr>
          <w:rFonts w:ascii="Arial" w:cs="Arial" w:eastAsia="Arial" w:hAnsi="Arial"/>
          <w:b/>
          <w:bCs/>
          <w:color w:val="1F2937"/>
          <w:sz w:val="22"/>
          <w:szCs w:val="22"/>
        </w:rPr>
        <w:t xml:space="preserve">Email: </w:t>
      </w:r>
      <w:r>
        <w:rPr>
          <w:rFonts w:ascii="Arial" w:cs="Arial" w:eastAsia="Arial" w:hAnsi="Arial"/>
          <w:color w:val="6B7280"/>
          <w:sz w:val="22"/>
          <w:szCs w:val="22"/>
        </w:rPr>
        <w:t xml:space="preserve">contact@ethernal.fund</w:t>
      </w:r>
    </w:p>
    <w:p>
      <w:pPr>
        <w:spacing w:after="60" w:before="60"/>
      </w:pPr>
      <w:r>
        <w:rPr>
          <w:rFonts w:ascii="Arial" w:cs="Arial" w:eastAsia="Arial" w:hAnsi="Arial"/>
          <w:b/>
          <w:bCs/>
          <w:color w:val="1F2937"/>
          <w:sz w:val="22"/>
          <w:szCs w:val="22"/>
        </w:rPr>
        <w:t xml:space="preserve">Legal: </w:t>
      </w:r>
      <w:r>
        <w:rPr>
          <w:rFonts w:ascii="Arial" w:cs="Arial" w:eastAsia="Arial" w:hAnsi="Arial"/>
          <w:color w:val="6B7280"/>
          <w:sz w:val="22"/>
          <w:szCs w:val="22"/>
        </w:rPr>
        <w:t xml:space="preserve">legal@ethernal.foundation</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8.2 Contacto y Recursos</w:t>
      </w:r>
    </w:p>
    <w:p>
      <w:pPr>
        <w:pStyle w:val="ListParagraph"/>
        <w:numPr>
          <w:ilvl w:val="0"/>
          <w:numId w:val="2"/>
        </w:numPr>
        <w:spacing w:after="60" w:before="60"/>
      </w:pPr>
      <w:r>
        <w:rPr>
          <w:rFonts w:ascii="Arial" w:cs="Arial" w:eastAsia="Arial" w:hAnsi="Arial"/>
          <w:color w:val="1F2937"/>
          <w:sz w:val="22"/>
          <w:szCs w:val="22"/>
        </w:rPr>
        <w:t xml:space="preserve">Sitio web: ethernal.fund</w:t>
      </w:r>
    </w:p>
    <w:p>
      <w:pPr>
        <w:pStyle w:val="ListParagraph"/>
        <w:numPr>
          <w:ilvl w:val="0"/>
          <w:numId w:val="2"/>
        </w:numPr>
        <w:spacing w:after="60" w:before="60"/>
      </w:pPr>
      <w:r>
        <w:rPr>
          <w:rFonts w:ascii="Arial" w:cs="Arial" w:eastAsia="Arial" w:hAnsi="Arial"/>
          <w:color w:val="1F2937"/>
          <w:sz w:val="22"/>
          <w:szCs w:val="22"/>
        </w:rPr>
        <w:t xml:space="preserve">Código fuente: disponible en repositorio público (ver sitio oficial)</w:t>
      </w:r>
    </w:p>
    <w:p>
      <w:pPr>
        <w:pStyle w:val="ListParagraph"/>
        <w:numPr>
          <w:ilvl w:val="0"/>
          <w:numId w:val="2"/>
        </w:numPr>
        <w:spacing w:after="60" w:before="60"/>
      </w:pPr>
      <w:r>
        <w:rPr>
          <w:rFonts w:ascii="Arial" w:cs="Arial" w:eastAsia="Arial" w:hAnsi="Arial"/>
          <w:color w:val="1F2937"/>
          <w:sz w:val="22"/>
          <w:szCs w:val="22"/>
        </w:rPr>
        <w:t xml:space="preserve">Documentación técnica: docs.ethernal.fund (próximamente)</w:t>
      </w:r>
    </w:p>
    <w:p>
      <w:pPr>
        <w:pStyle w:val="ListParagraph"/>
        <w:numPr>
          <w:ilvl w:val="0"/>
          <w:numId w:val="2"/>
        </w:numPr>
        <w:spacing w:after="60" w:before="60"/>
      </w:pPr>
      <w:r>
        <w:rPr>
          <w:rFonts w:ascii="Arial" w:cs="Arial" w:eastAsia="Arial" w:hAnsi="Arial"/>
          <w:color w:val="1F2937"/>
          <w:sz w:val="22"/>
          <w:szCs w:val="22"/>
        </w:rPr>
        <w:t xml:space="preserve">Soporte: contact@ethernal.fund</w:t>
      </w:r>
    </w:p>
    <w:p>
      <w:pPr>
        <w:pStyle w:val="ListParagraph"/>
        <w:numPr>
          <w:ilvl w:val="0"/>
          <w:numId w:val="2"/>
        </w:numPr>
        <w:spacing w:after="60" w:before="60"/>
      </w:pPr>
      <w:r>
        <w:rPr>
          <w:rFonts w:ascii="Arial" w:cs="Arial" w:eastAsia="Arial" w:hAnsi="Arial"/>
          <w:color w:val="1F2937"/>
          <w:sz w:val="22"/>
          <w:szCs w:val="22"/>
        </w:rPr>
        <w:t xml:space="preserve">Consultas legales: legal@ethernal.foundation</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8.3 Transparencia</w:t>
      </w:r>
    </w:p>
    <w:p>
      <w:pPr>
        <w:spacing w:after="120" w:before="80"/>
        <w:jc w:val="both"/>
      </w:pPr>
      <w:r>
        <w:rPr>
          <w:rFonts w:ascii="Arial" w:cs="Arial" w:eastAsia="Arial" w:hAnsi="Arial"/>
          <w:color w:val="1F2937"/>
          <w:sz w:val="22"/>
          <w:szCs w:val="22"/>
        </w:rPr>
        <w:t xml:space="preserve">La Fundación Ethernal está comprometida con la transparencia total. Todos los contratos inteligentes son de código abierto y verificables en blockchain. Las fees del protocolo, los fondos de la tesorería y las operaciones administrativas son auditables en tiempo real por cualquier persona.</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9. Aviso Legal y Descargos de Responsabilidad</w:t>
      </w:r>
    </w:p>
    <w:p>
      <w:pPr>
        <w:spacing w:after="120" w:before="80"/>
        <w:jc w:val="both"/>
      </w:pPr>
      <w:r>
        <w:rPr>
          <w:rFonts w:ascii="Arial" w:cs="Arial" w:eastAsia="Arial" w:hAnsi="Arial"/>
          <w:color w:val="1F2937"/>
          <w:sz w:val="22"/>
          <w:szCs w:val="22"/>
        </w:rPr>
        <w:t xml:space="preserve">Este whitepaper ha sido preparado únicamente con fines informativos sobre el protocolo Ethernal Fund y el token ETRF. No constituye, ni debe interpretarse como, una oferta o solicitud para comprar o suscribir valores, activos financieros u otros instrumentos en ninguna jurisdicción.</w:t>
      </w:r>
    </w:p>
    <w:p>
      <w:pPr>
        <w:spacing w:after="120" w:before="80"/>
        <w:jc w:val="both"/>
      </w:pPr>
      <w:r>
        <w:rPr>
          <w:rFonts w:ascii="Arial" w:cs="Arial" w:eastAsia="Arial" w:hAnsi="Arial"/>
          <w:color w:val="1F2937"/>
          <w:sz w:val="22"/>
          <w:szCs w:val="22"/>
        </w:rPr>
        <w:t xml:space="preserve">La inversión en criptomonedas y protocolos DeFi conlleva riesgos sustanciales, incluyendo la posibilidad de pérdida total del capital invertido. Los rendimientos pasados de los protocolos DeFi integrados no garantizan rendimientos futuros.</w:t>
      </w:r>
    </w:p>
    <w:p>
      <w:pPr>
        <w:spacing w:after="120" w:before="80"/>
        <w:jc w:val="both"/>
      </w:pPr>
      <w:r>
        <w:rPr>
          <w:rFonts w:ascii="Arial" w:cs="Arial" w:eastAsia="Arial" w:hAnsi="Arial"/>
          <w:color w:val="1F2937"/>
          <w:sz w:val="22"/>
          <w:szCs w:val="22"/>
        </w:rPr>
        <w:t xml:space="preserve">La Fundación Ethernal no acepta ninguna responsabilidad por pérdidas directas, indirectas, incidentales o consecuentes derivadas del uso del protocolo o de la confianza depositada en la información contenida en este documento.</w:t>
      </w:r>
    </w:p>
    <w:p>
      <w:pPr>
        <w:spacing w:after="120" w:before="80"/>
        <w:jc w:val="both"/>
      </w:pPr>
      <w:r>
        <w:rPr>
          <w:rFonts w:ascii="Arial" w:cs="Arial" w:eastAsia="Arial" w:hAnsi="Arial"/>
          <w:color w:val="1F2937"/>
          <w:sz w:val="22"/>
          <w:szCs w:val="22"/>
        </w:rPr>
        <w:t xml:space="preserve">Este documento puede contener declaraciones prospectivas basadas en las expectativas actuales del equipo. Estas declaraciones implican riesgos e incertidumbres y no deben interpretarse como garantías de resultados futuros. La hoja de ruta está sujeta a cambios sin previo aviso.</w:t>
      </w:r>
    </w:p>
    <w:p>
      <w:pPr>
        <w:spacing w:after="80" w:before="0"/>
      </w:pPr>
      <w:r>
        <w:rPr>
          <w:sz w:val="22"/>
          <w:szCs w:val="22"/>
        </w:rPr>
        <w:t xml:space="preserve"/>
      </w:r>
    </w:p>
    <w:p>
      <w:pPr>
        <w:pBdr>
          <w:top w:val="single" w:color="F59E0B" w:sz="4" w:space="4"/>
        </w:pBdr>
        <w:spacing w:after="80" w:before="160"/>
        <w:jc w:val="center"/>
      </w:pPr>
      <w:r>
        <w:rPr>
          <w:rFonts w:ascii="Arial" w:cs="Arial" w:eastAsia="Arial" w:hAnsi="Arial"/>
          <w:color w:val="6B7280"/>
          <w:sz w:val="18"/>
          <w:szCs w:val="18"/>
        </w:rPr>
        <w:t xml:space="preserve">© 2026 Ethernal Foundation. Todos los derechos reservados.</w:t>
      </w:r>
    </w:p>
    <w:p>
      <w:pPr>
        <w:spacing w:after="80" w:before="0"/>
        <w:jc w:val="center"/>
      </w:pPr>
      <w:r>
        <w:rPr>
          <w:rFonts w:ascii="Arial" w:cs="Arial" w:eastAsia="Arial" w:hAnsi="Arial"/>
          <w:color w:val="1B5E20"/>
          <w:sz w:val="18"/>
          <w:szCs w:val="18"/>
        </w:rPr>
        <w:t xml:space="preserve">contact@ethernal.fund  |  ethernal.fund</w:t>
      </w:r>
    </w:p>
    <w:p>
      <w:pPr>
        <w:spacing w:after="0" w:before="0"/>
        <w:jc w:val="center"/>
      </w:pPr>
      <w:r>
        <w:rPr>
          <w:rFonts w:ascii="Arial" w:cs="Arial" w:eastAsia="Arial" w:hAnsi="Arial"/>
          <w:color w:val="6B7280"/>
          <w:sz w:val="18"/>
          <w:szCs w:val="18"/>
        </w:rPr>
        <w:t xml:space="preserve">Whitepaper v1.0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4" w:space="4"/>
      </w:pBdr>
      <w:tabs>
        <w:tab w:val="right" w:pos="9360"/>
      </w:tabs>
      <w:spacing w:after="0" w:before="120"/>
    </w:pPr>
    <w:r>
      <w:rPr>
        <w:rFonts w:ascii="Arial" w:cs="Arial" w:eastAsia="Arial" w:hAnsi="Arial"/>
        <w:color w:val="6B7280"/>
        <w:sz w:val="16"/>
        <w:szCs w:val="16"/>
      </w:rPr>
      <w:t xml:space="preserve">© 2026 Ethernal Foundation. Todos los derechos reservados.</w:t>
    </w:r>
    <w:r>
      <w:rPr>
        <w:sz w:val="16"/>
        <w:szCs w:val="16"/>
      </w:rPr>
      <w:t xml:space="preserve">	</w:t>
    </w:r>
    <w:r>
      <w:rPr>
        <w:rFonts w:ascii="Arial" w:cs="Arial" w:eastAsia="Arial" w:hAnsi="Arial"/>
        <w:color w:val="6B7280"/>
        <w:sz w:val="16"/>
        <w:szCs w:val="16"/>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space="4"/>
      </w:pBdr>
      <w:spacing w:after="120" w:before="0"/>
    </w:pPr>
    <w:r>
      <w:rPr>
        <w:rFonts w:ascii="Arial" w:cs="Arial" w:eastAsia="Arial" w:hAnsi="Arial"/>
        <w:b/>
        <w:bCs/>
        <w:color w:val="1B5E20"/>
        <w:sz w:val="18"/>
        <w:szCs w:val="18"/>
      </w:rPr>
      <w:t xml:space="preserve">Ethernal Fund Protocol</w:t>
    </w:r>
    <w:r>
      <w:rPr>
        <w:rFonts w:ascii="Arial" w:cs="Arial" w:eastAsia="Arial" w:hAnsi="Arial"/>
        <w:color w:val="6B7280"/>
        <w:sz w:val="18"/>
        <w:szCs w:val="18"/>
      </w:rPr>
      <w:t xml:space="preserve">   |   Whitepaper v1.0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2026-05-07T04:24:02.073Z</dcterms:created>
  <dcterms:modified xsi:type="dcterms:W3CDTF">2026-05-07T04:24:02.074Z</dcterms:modified>
</cp:coreProperties>
</file>

<file path=docProps/custom.xml><?xml version="1.0" encoding="utf-8"?>
<Properties xmlns="http://schemas.openxmlformats.org/officeDocument/2006/custom-properties" xmlns:vt="http://schemas.openxmlformats.org/officeDocument/2006/docPropsVTypes"/>
</file>