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i/>
          <w:iCs/>
          <w:sz w:val="22"/>
          <w:szCs w:val="22"/>
        </w:rPr>
        <w:t xml:space="preserve">Article type: Communication article</w:t>
      </w:r>
    </w:p>
    <w:p>
      <w:pPr>
        <w:spacing w:after="200"/>
        <w:jc w:val="left"/>
      </w:pPr>
      <w:r>
        <w:rPr>
          <w:i/>
          <w:iCs/>
          <w:sz w:val="22"/>
          <w:szCs w:val="22"/>
        </w:rPr>
        <w:t xml:space="preserve">Target journal: BMJ Health &amp; Care Informatics</w:t>
      </w:r>
    </w:p>
    <w:p>
      <w:pPr>
        <w:spacing w:after="360" w:before="240"/>
        <w:jc w:val="left"/>
      </w:pPr>
      <w:r>
        <w:rPr>
          <w:b/>
          <w:bCs/>
          <w:sz w:val="32"/>
          <w:szCs w:val="32"/>
        </w:rPr>
        <w:t xml:space="preserve">When can aggregate performance offset a disqualifying evidence gap? A non-compensatory decision rule for clinical AI deployment</w:t>
      </w:r>
    </w:p>
    <w:p>
      <w:pPr>
        <w:spacing w:after="80"/>
      </w:pPr>
      <w:r>
        <w:rPr>
          <w:b/>
          <w:bCs/>
        </w:rPr>
        <w:t xml:space="preserve">Walter Brown, MSc, MA</w:t>
      </w:r>
    </w:p>
    <w:p>
      <w:pPr>
        <w:spacing w:after="160" w:line="360"/>
      </w:pPr>
      <w:r>
        <w:t xml:space="preserve">Ethical Alpha Audit, London, United Kingdom</w:t>
      </w:r>
    </w:p>
    <w:p>
      <w:pPr>
        <w:spacing w:after="160" w:line="360"/>
      </w:pPr>
      <w:r>
        <w:t xml:space="preserve">ORCID: 0000-0002-6050-8522</w:t>
      </w:r>
    </w:p>
    <w:p>
      <w:pPr>
        <w:spacing w:after="80" w:before="240"/>
      </w:pPr>
      <w:r>
        <w:rPr>
          <w:b/>
          <w:bCs/>
        </w:rPr>
        <w:t xml:space="preserve">Correspondence to:</w:t>
      </w:r>
      <w:r>
        <w:t xml:space="preserve"> Walter Brown, Ethical Alpha Audit, London, United Kingdom.</w:t>
      </w:r>
    </w:p>
    <w:p>
      <w:pPr>
        <w:spacing w:after="80" w:before="240"/>
      </w:pPr>
      <w:r>
        <w:rPr>
          <w:b/>
          <w:bCs/>
        </w:rPr>
        <w:t xml:space="preserve">Word count (main text, excluding abstract, BMJ box, tables, textboxes, references): </w:t>
      </w:r>
      <w:r>
        <w:t xml:space="preserve">approximately 3,400.</w:t>
      </w:r>
    </w:p>
    <w:p>
      <w:pPr>
        <w:spacing w:after="80" w:before="80"/>
      </w:pPr>
      <w:r>
        <w:rPr>
          <w:b/>
          <w:bCs/>
        </w:rPr>
        <w:t xml:space="preserve">Tables: </w:t>
      </w:r>
      <w:r>
        <w:t xml:space="preserve">2. </w:t>
      </w:r>
      <w:r>
        <w:rPr>
          <w:b/>
          <w:bCs/>
        </w:rPr>
        <w:t xml:space="preserve">Figures: </w:t>
      </w:r>
      <w:r>
        <w:t xml:space="preserve">2. </w:t>
      </w:r>
      <w:r>
        <w:rPr>
          <w:b/>
          <w:bCs/>
        </w:rPr>
        <w:t xml:space="preserve">Boxes: </w:t>
      </w:r>
      <w:r>
        <w:t xml:space="preserve">2. </w:t>
      </w:r>
      <w:r>
        <w:rPr>
          <w:b/>
          <w:bCs/>
        </w:rPr>
        <w:t xml:space="preserve">References: </w:t>
      </w:r>
      <w:r>
        <w:t xml:space="preserve">35.</w:t>
      </w:r>
    </w:p>
    <w:p>
      <w:r>
        <w:br w:type="page"/>
      </w:r>
    </w:p>
    <w:p>
      <w:pPr>
        <w:pStyle w:val="Heading1"/>
        <w:spacing w:after="200" w:before="360"/>
      </w:pPr>
      <w:r>
        <w:rPr>
          <w:b/>
          <w:bCs/>
        </w:rPr>
        <w:t xml:space="preserve">Abstract</w:t>
      </w:r>
    </w:p>
    <w:p>
      <w:pPr>
        <w:spacing w:after="160" w:line="360"/>
      </w:pPr>
      <w:r>
        <w:t xml:space="preserve">Hospitals and health systems regularly face a deceptively simple decision: is the accumulated evidence on a clinical artificial intelligence (AI) system sufficient to authorise its deployment? Existing governance frameworks define what must be evaluated and what lifecycle controls must be in place, but they leave underspecified the institutional decision rule that converts heterogeneous, multi-domain evidence into a binary deploy-or-pause action. When evaluation evidence is aggregated through a compensatory logic, strong performance in one domain can numerically offset disqualifying gaps in another, so an institution can authorise deployment of a system whose safety-critical evidence floor has not been met. A structured document review of widely used governance and decision-support instruments, conducted by the sole author, found that none specifies a complete, auditable, non-compensatory deployment decision rule combining activation thresholds, aggregation logic, and constrained override governance. This communication article examines a non-compensatory (conjunctive) gate architecture across five domains — clinical safety, bias and equity, documentation, accountability, and lifecycle monitoring — in which failure of any single minimum evidence floor blocks deployment regardless of aggregate performance. The architecture specifies risk-tiered evidence floors, a constrained override pathway for three of the five gates, a shared governance service model for institutions without internal capacity to satisfy all gates unilaterally, and a prospective pilot design with prespecified endpoints. The implications for hospitals, governance committees, and procurement are concrete and auditable.</w:t>
      </w:r>
    </w:p>
    <w:p>
      <w:pPr>
        <w:spacing w:after="200" w:before="240"/>
      </w:pPr>
      <w:r>
        <w:rPr>
          <w:b/>
          <w:bCs/>
        </w:rPr>
        <w:t xml:space="preserve">Keywords: </w:t>
      </w:r>
      <w:r>
        <w:t xml:space="preserve">artificial intelligence; clinical decision support; governance; patient safety; non-compensatory; deployment; risk management; health informatics; model monitoring; algorithmic bias; shared governance.</w:t>
      </w:r>
    </w:p>
    <w:p>
      <w:pPr>
        <w:spacing w:after="12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DEDED" w:color="auto" w:val="clear"/>
            <w:tcMar>
              <w:top w:type="dxa" w:w="160"/>
              <w:left w:type="dxa" w:w="200"/>
              <w:bottom w:type="dxa" w:w="160"/>
              <w:right w:type="dxa" w:w="200"/>
            </w:tcMar>
          </w:tcPr>
          <w:p>
            <w:pPr>
              <w:spacing w:after="120"/>
            </w:pPr>
            <w:r>
              <w:rPr>
                <w:b/>
                <w:bCs/>
              </w:rPr>
              <w:t xml:space="preserve">What is already known</w:t>
            </w:r>
          </w:p>
          <w:p>
            <w:pPr>
              <w:spacing w:after="120" w:line="280"/>
            </w:pPr>
            <w:r>
              <w:t xml:space="preserve">Existing AI governance instruments — including the EU AI Act, ISO/IEC 42001, the FUTURE-AI consensus guideline, NICE Evidence Standards Framework, and FDA SaMD guidance — define what must be evaluated and what lifecycle controls must be in place.</w:t>
            </w:r>
          </w:p>
          <w:p>
            <w:pPr>
              <w:spacing w:after="120" w:line="280"/>
            </w:pPr>
            <w:r>
              <w:t xml:space="preserve">Multi-criteria decision-support tools and composite indicator methods commonly used in health technology assessment apply compensatory aggregation, in which strong performance in one domain can numerically offset weaker performance in another.</w:t>
            </w:r>
          </w:p>
          <w:p>
            <w:pPr>
              <w:spacing w:after="0" w:line="280"/>
            </w:pPr>
            <w:r>
              <w:t xml:space="preserve">Institutional AI governance committees regularly authorise clinical AI deployment, but the decision rule by which heterogeneous evidence is converted into a binary deploy-or-pause action is frequently implicit.</w:t>
            </w:r>
          </w:p>
        </w:tc>
        <w:tc>
          <w:tcPr>
            <w:tcW w:type="dxa" w:w="4680"/>
            <w:tcBorders>
              <w:top w:val="single" w:color="999999" w:sz="4"/>
              <w:left w:val="single" w:color="999999" w:sz="4"/>
              <w:bottom w:val="single" w:color="999999" w:sz="4"/>
              <w:right w:val="single" w:color="999999" w:sz="4"/>
            </w:tcBorders>
            <w:shd w:fill="EDEDED" w:color="auto" w:val="clear"/>
            <w:tcMar>
              <w:top w:type="dxa" w:w="160"/>
              <w:left w:type="dxa" w:w="200"/>
              <w:bottom w:type="dxa" w:w="160"/>
              <w:right w:type="dxa" w:w="200"/>
            </w:tcMar>
          </w:tcPr>
          <w:p>
            <w:pPr>
              <w:spacing w:after="120"/>
            </w:pPr>
            <w:r>
              <w:rPr>
                <w:b/>
                <w:bCs/>
              </w:rPr>
              <w:t xml:space="preserve">What this paper adds</w:t>
            </w:r>
          </w:p>
          <w:p>
            <w:pPr>
              <w:spacing w:after="120" w:line="280"/>
            </w:pPr>
            <w:r>
              <w:t xml:space="preserve">A structured document review of widely used governance and decision-support instruments finds that none specifies a complete, auditable, non-compensatory deployment decision rule combining activation thresholds, aggregation logic, and constrained override governance.</w:t>
            </w:r>
          </w:p>
          <w:p>
            <w:pPr>
              <w:spacing w:after="120" w:line="280"/>
            </w:pPr>
            <w:r>
              <w:t xml:space="preserve">A five-gate conjunctive architecture is examined as a decision-rule layer that complements rather than replaces existing instruments, with three gates eligible for constrained override and two non-overridable.</w:t>
            </w:r>
          </w:p>
          <w:p>
            <w:pPr>
              <w:spacing w:after="0" w:line="280"/>
            </w:pPr>
            <w:r>
              <w:t xml:space="preserve">The architecture has three concrete institutional implications: separating deployment authorisation from evidence evaluation, making override governance auditable rather than implicit, and addressing capacity asymmetry through shared services rather than shared standards.</w:t>
            </w:r>
          </w:p>
        </w:tc>
      </w:tr>
    </w:tbl>
    <w:p>
      <w:pPr>
        <w:spacing w:after="240"/>
      </w:pPr>
      <w:r>
        <w:t xml:space="preserve"/>
      </w:r>
    </w:p>
    <w:p>
      <w:pPr>
        <w:pStyle w:val="Heading1"/>
        <w:spacing w:after="200" w:before="360"/>
      </w:pPr>
      <w:r>
        <w:rPr>
          <w:b/>
          <w:bCs/>
        </w:rPr>
        <w:t xml:space="preserve">Introduction</w:t>
      </w:r>
    </w:p>
    <w:p>
      <w:pPr>
        <w:spacing w:after="160" w:line="360"/>
      </w:pPr>
      <w:r>
        <w:t xml:space="preserve">Hospitals and health systems face a recurring practical challenge: determining when a clinical artificial intelligence (AI) system is sufficiently safe to deploy, and identifying which specific evidence gaps should mandate a hard stop. Methods for predictive model development have matured, but the decision rule that institutional AI governance committees use to convert evaluation evidence into a binary deployment action frequently remains implicit.</w:t>
      </w:r>
    </w:p>
    <w:p>
      <w:pPr>
        <w:spacing w:after="160" w:line="360"/>
      </w:pPr>
      <w:r>
        <w:t xml:space="preserve">Compensatory decision logic is well established in health and policy. Multi-criteria decision analysis [31, 32] combines criteria via weighted aggregation that permits trade-offs; health technology assessment uses cost-effectiveness thresholds encoding such trade-offs [34]; composite indicator methodologies aggregate weighted indicators into a single index, with strengths in one dimension offsetting weaknesses in another [33]. These approaches share a compensatory (disjunctive) structure. The non-compensatory (conjunctive) alternative — in which no domain can compensate for failure in another — is the structure examined here.</w:t>
      </w:r>
    </w:p>
    <w:p>
      <w:pPr>
        <w:spacing w:after="160" w:line="360"/>
      </w:pPr>
      <w:r>
        <w:t xml:space="preserve">The regulatory environment has sharpened this challenge. The EU AI Act, ISO/IEC 42001:2023, and national bodies including the NHS, NICE, MHRA, and FDA specify risk management, management-system, and SaMD oversight expectations [3–6]; the FUTURE-AI consensus guideline [26] and the FDA's January 2025 AI-DSF draft guidance [27] add lifecycle best practices and marketing-submission recommendations. These instruments clarify what must be governed; they do not specify how a committee determines that accumulated evidence is sufficient to authorise activation.</w:t>
      </w:r>
    </w:p>
    <w:p>
      <w:pPr>
        <w:spacing w:after="160" w:line="360"/>
      </w:pPr>
      <w:r>
        <w:t xml:space="preserve">This communication article examines a decision-rule architecture — five conjunctive governance gates with risk-tiered evidence floors, a constrained override pathway, and a shared-service model — and outlines what changes for hospitals, governance committees, and procurement when activation logic is made explicit and non-compensatory. Gate passage establishes that minimum governance evidence exists across five domains; it does not guarantee clinical benefit or resolution of sociotechnical risk outside the gate structure.</w:t>
      </w:r>
    </w:p>
    <w:p>
      <w:pPr>
        <w:spacing w:after="160" w:line="360"/>
      </w:pPr>
      <w:r>
        <w:t xml:space="preserve">The author is the founder of an entity that develops AI governance methodology; the architecture analysed here is presented as a decision-theoretic proposal for empirical testing, not as advocacy for any commercial implementation, and the shared-service model section is described in vendor-agnostic terms.</w:t>
      </w:r>
    </w:p>
    <w:p>
      <w:pPr>
        <w:spacing w:after="160" w:line="360"/>
      </w:pPr>
      <w:r>
        <w:t xml:space="preserve">References [25] and [35] are companion manuscripts under peer review at the time of this submission. Quantitative anchors cited from them in the supporting evidence section (sensitivity 0.917; verdict stability 239/240; compensatory unsafe-deployment range 4.0–7.1%) are described here as supporting context only. The argument advanced in this article — that reviewed governance instruments do not specify a non-compensatory deployment decision rule, and that such a rule is a coherent architectural response to compensatory-masking risk — does not depend on the specific values of those anchors and stands independently if they are revised in peer review.</w:t>
      </w:r>
    </w:p>
    <w:p>
      <w:pPr>
        <w:pStyle w:val="Heading1"/>
        <w:spacing w:after="200" w:before="360"/>
      </w:pPr>
      <w:r>
        <w:rPr>
          <w:b/>
          <w:bCs/>
        </w:rPr>
        <w:t xml:space="preserve">The decision-rule gap in current governance instruments</w:t>
      </w:r>
    </w:p>
    <w:p>
      <w:pPr>
        <w:pStyle w:val="Heading2"/>
        <w:spacing w:after="160" w:before="240"/>
      </w:pPr>
      <w:r>
        <w:rPr>
          <w:b/>
          <w:bCs/>
        </w:rPr>
        <w:t xml:space="preserve">Methods of the structured document review</w:t>
      </w:r>
    </w:p>
    <w:p>
      <w:pPr>
        <w:spacing w:after="160" w:line="360"/>
      </w:pPr>
      <w:r>
        <w:t xml:space="preserve">The structured document review summarised below was conducted by the sole author over the period [DATE RANGE NOT SPECIFIED IN SOURCE — AUTHOR TO INSERT]. The instruments tabulated in Tables 1A and 1B were selected as a representative set of widely used governance and decision-support documents under the inclusion frame [INCLUSION CRITERIA NOT EXPLICITLY ENUMERATED IN SOURCE — AUTHOR TO INSERT FROM MULTIMEDIA APPENDIX 4 CODING FRAME]. Each instrument was coded against four pre-specified dimensions: whether it specifies a binary deployment decision rule; the aggregation logic applied to multi-domain evidence; whether it specifies an override mechanism with constraints; and whether it explicitly assigns final deployment authority. The full coding frame is documented in Multimedia Appendix 4 and the per-instrument evidence ledger in Multimedia Appendix 5.</w:t>
      </w:r>
    </w:p>
    <w:p>
      <w:pPr>
        <w:spacing w:after="160" w:line="360"/>
      </w:pPr>
      <w:r>
        <w:t xml:space="preserve">This is a structured document review, not a systematic review; coding was single-analyst; and inter-rater reliability was not independently assessed. The aim was not exhaustive retrieval but to identify a representative set of widely used governance instruments sufficient to characterise current decision-rule structures.</w:t>
      </w:r>
    </w:p>
    <w:p>
      <w:pPr>
        <w:pStyle w:val="Heading2"/>
        <w:spacing w:after="160" w:before="240"/>
      </w:pPr>
      <w:r>
        <w:rPr>
          <w:b/>
          <w:bCs/>
        </w:rPr>
        <w:t xml:space="preserve">Findings</w:t>
      </w:r>
    </w:p>
    <w:p>
      <w:pPr>
        <w:spacing w:after="160" w:line="360"/>
      </w:pPr>
      <w:r>
        <w:t xml:space="preserve">Across the reviewed instruments, governance requirements are expressed as lifecycle guidance, evaluation expectations, or regulatory obligations. Instruments framed as deployment, procurement, or adoption decision-support tools are summarised in Table 1A; regulatory, standards, and management-system documents — which set normative context but explicitly disclaim a deployment-decision role — are presented in Table 1B.</w:t>
      </w:r>
    </w:p>
    <w:p>
      <w:pPr>
        <w:spacing w:after="160" w:line="360"/>
      </w:pPr>
      <w:r>
        <w:t xml:space="preserve">FUTURE-AI [26] sets out 30 lifecycle recommendations but is not framed as an institutional go/no-go activation rule. TEHAI [28] is a translational evaluation framework applicable at any development or deployment stage, not an activation rule. NICE’s Evidence Standards Framework [5] describes evidence expectations for commissioning but does not specify a decision-rule architecture for combining heterogeneous evidence. The FDA draft guidance [27] frames recommendations within total product lifecycle risk management, not institutional activation. The EU AI Act [3] sets a legal framework for providers and deployers but not a local deployment decision rule, and ISO/IEC 42001 [4] specifies management-system requirements without a deployment-decision architecture.</w:t>
      </w:r>
    </w:p>
    <w:p>
      <w:pPr>
        <w:spacing w:after="160" w:line="360"/>
      </w:pPr>
      <w:r>
        <w:t xml:space="preserve">The dominant pattern within reviewed instruments is specification of what to evaluate and what lifecycle controls to maintain, with limited specification of how heterogeneous evidence should be combined into a binding deployment decision. No reviewed framework combines explicit activation thresholds, non-compensatory logic, and constrained override governance within a single auditable structure.</w:t>
      </w:r>
    </w:p>
    <w:p>
      <w:pPr>
        <w:spacing w:after="120" w:before="200"/>
      </w:pPr>
      <w:r>
        <w:rPr>
          <w:b/>
          <w:bCs/>
        </w:rPr>
        <w:t xml:space="preserve">Table 1A. </w:t>
      </w:r>
      <w:r>
        <w:rPr>
          <w:i/>
          <w:iCs/>
        </w:rPr>
        <w:t xml:space="preserve">Decision-support instruments and decision models used for AI deployment, procurement, or adoption decisions. Decision-logic classification reflects explicit statements in the reviewed primary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360"/>
        <w:gridCol w:w="2200"/>
      </w:tblGrid>
      <w:tr>
        <w:trPr>
          <w:cantSplit/>
        </w:trPr>
        <w:tc>
          <w:tcPr>
            <w:tcW w:type="dxa" w:w="2900"/>
            <w:tcBorders>
              <w:top w:val="single" w:color="999999" w:sz="4"/>
              <w:left w:val="single" w:color="999999" w:sz="4"/>
              <w:bottom w:val="single" w:color="999999" w:sz="4"/>
              <w:right w:val="single" w:color="999999" w:sz="4"/>
            </w:tcBorders>
            <w:shd w:fill="D9E2F3" w:color="auto" w:val="clear"/>
            <w:tcMar>
              <w:top w:type="dxa" w:w="100"/>
              <w:left w:type="dxa" w:w="120"/>
              <w:bottom w:type="dxa" w:w="100"/>
              <w:right w:type="dxa" w:w="120"/>
            </w:tcMar>
          </w:tcPr>
          <w:p>
            <w:pPr>
              <w:spacing w:after="0" w:line="280"/>
            </w:pPr>
            <w:r>
              <w:rPr>
                <w:b/>
                <w:bCs/>
              </w:rPr>
              <w:t xml:space="preserve">Framework</w:t>
            </w:r>
          </w:p>
        </w:tc>
        <w:tc>
          <w:tcPr>
            <w:tcW w:type="dxa" w:w="1900"/>
            <w:tcBorders>
              <w:top w:val="single" w:color="999999" w:sz="4"/>
              <w:left w:val="single" w:color="999999" w:sz="4"/>
              <w:bottom w:val="single" w:color="999999" w:sz="4"/>
              <w:right w:val="single" w:color="999999" w:sz="4"/>
            </w:tcBorders>
            <w:shd w:fill="D9E2F3" w:color="auto" w:val="clear"/>
            <w:tcMar>
              <w:top w:type="dxa" w:w="100"/>
              <w:left w:type="dxa" w:w="120"/>
              <w:bottom w:type="dxa" w:w="100"/>
              <w:right w:type="dxa" w:w="120"/>
            </w:tcMar>
          </w:tcPr>
          <w:p>
            <w:pPr>
              <w:spacing w:after="0" w:line="280"/>
            </w:pPr>
            <w:r>
              <w:rPr>
                <w:b/>
                <w:bCs/>
              </w:rPr>
              <w:t xml:space="preserve">Instrument type</w:t>
            </w:r>
          </w:p>
        </w:tc>
        <w:tc>
          <w:tcPr>
            <w:tcW w:type="dxa" w:w="2360"/>
            <w:tcBorders>
              <w:top w:val="single" w:color="999999" w:sz="4"/>
              <w:left w:val="single" w:color="999999" w:sz="4"/>
              <w:bottom w:val="single" w:color="999999" w:sz="4"/>
              <w:right w:val="single" w:color="999999" w:sz="4"/>
            </w:tcBorders>
            <w:shd w:fill="D9E2F3" w:color="auto" w:val="clear"/>
            <w:tcMar>
              <w:top w:type="dxa" w:w="100"/>
              <w:left w:type="dxa" w:w="120"/>
              <w:bottom w:type="dxa" w:w="100"/>
              <w:right w:type="dxa" w:w="120"/>
            </w:tcMar>
          </w:tcPr>
          <w:p>
            <w:pPr>
              <w:spacing w:after="0" w:line="280"/>
            </w:pPr>
            <w:r>
              <w:rPr>
                <w:b/>
                <w:bCs/>
              </w:rPr>
              <w:t xml:space="preserve">Decision logic class</w:t>
            </w:r>
          </w:p>
        </w:tc>
        <w:tc>
          <w:tcPr>
            <w:tcW w:type="dxa" w:w="2200"/>
            <w:tcBorders>
              <w:top w:val="single" w:color="999999" w:sz="4"/>
              <w:left w:val="single" w:color="999999" w:sz="4"/>
              <w:bottom w:val="single" w:color="999999" w:sz="4"/>
              <w:right w:val="single" w:color="999999" w:sz="4"/>
            </w:tcBorders>
            <w:shd w:fill="D9E2F3" w:color="auto" w:val="clear"/>
            <w:tcMar>
              <w:top w:type="dxa" w:w="100"/>
              <w:left w:type="dxa" w:w="120"/>
              <w:bottom w:type="dxa" w:w="100"/>
              <w:right w:type="dxa" w:w="120"/>
            </w:tcMar>
          </w:tcPr>
          <w:p>
            <w:pPr>
              <w:spacing w:after="0" w:line="280"/>
            </w:pPr>
            <w:r>
              <w:rPr>
                <w:b/>
                <w:bCs/>
              </w:rPr>
              <w:t xml:space="preserve">Explicit deployment decision rule</w:t>
            </w:r>
          </w:p>
        </w:tc>
      </w:tr>
      <w:tr>
        <w:trPr>
          <w:cantSplit/>
        </w:trPr>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NHS Digital Technology Assessment Criteria (DTAC)</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Procurement assurance checklist</w:t>
            </w:r>
          </w:p>
        </w:tc>
        <w:tc>
          <w:tcPr>
            <w:tcW w:type="dxa" w:w="2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Checklist / baseline standards</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Partial</w:t>
            </w:r>
          </w:p>
        </w:tc>
      </w:tr>
      <w:tr>
        <w:trPr>
          <w:cantSplit/>
        </w:trPr>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AI Readiness Checklist (CERSI-AI)</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Adoption readiness tool</w:t>
            </w:r>
          </w:p>
        </w:tc>
        <w:tc>
          <w:tcPr>
            <w:tcW w:type="dxa" w:w="2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Checklist</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No</w:t>
            </w:r>
          </w:p>
        </w:tc>
      </w:tr>
      <w:tr>
        <w:trPr>
          <w:cantSplit/>
        </w:trPr>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ALTAI (EU AI HLEG)</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Trustworthy-AI self-assessment</w:t>
            </w:r>
          </w:p>
        </w:tc>
        <w:tc>
          <w:tcPr>
            <w:tcW w:type="dxa" w:w="2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Checklist</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No</w:t>
            </w:r>
          </w:p>
        </w:tc>
      </w:tr>
      <w:tr>
        <w:trPr>
          <w:cantSplit/>
        </w:trPr>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Algorithmic Impact Assessment (Canada)</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Mandatory risk scoring</w:t>
            </w:r>
          </w:p>
        </w:tc>
        <w:tc>
          <w:tcPr>
            <w:tcW w:type="dxa" w:w="2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Compensatory (scored aggregation)</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Partial</w:t>
            </w:r>
          </w:p>
        </w:tc>
      </w:tr>
      <w:tr>
        <w:trPr>
          <w:cantSplit/>
        </w:trPr>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Translational Ethics for Health AI (TEHAI) [28]</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Translational evaluation framework</w:t>
            </w:r>
          </w:p>
        </w:tc>
        <w:tc>
          <w:tcPr>
            <w:tcW w:type="dxa" w:w="2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Scored checklist (details in supplement)</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No</w:t>
            </w:r>
          </w:p>
        </w:tc>
      </w:tr>
      <w:tr>
        <w:trPr>
          <w:cantSplit/>
        </w:trPr>
        <w:tc>
          <w:tcPr>
            <w:tcW w:type="dxa" w:w="2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MCDA methods in HTA [31, 32]</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Decision-analysis method</w:t>
            </w:r>
          </w:p>
        </w:tc>
        <w:tc>
          <w:tcPr>
            <w:tcW w:type="dxa" w:w="23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Compensatory aggregation</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N/A (method class)</w:t>
            </w:r>
          </w:p>
        </w:tc>
      </w:tr>
    </w:tbl>
    <w:p>
      <w:pPr>
        <w:spacing w:after="240" w:before="120"/>
      </w:pPr>
      <w:r>
        <w:rPr>
          <w:i/>
          <w:iCs/>
        </w:rPr>
        <w:t xml:space="preserve">Footnote. “Explicit deployment decision rule” denotes a formally specified mechanism that maps multi-domain evidence to a binary deployment or adoption decision. “Partial” indicates that the instrument informs or constrains decisions but does not specify in the reviewed primary text an executable institutional go/no-go rule. Coding is limited to explicit statements in the reviewed primary text. Regulatory, standards, and guideline instruments are presented separately in Table 1B.</w:t>
      </w:r>
    </w:p>
    <w:p>
      <w:pPr>
        <w:spacing w:after="120" w:before="200"/>
      </w:pPr>
      <w:r>
        <w:rPr>
          <w:b/>
          <w:bCs/>
        </w:rPr>
        <w:t xml:space="preserve">Table 1B. </w:t>
      </w:r>
      <w:r>
        <w:rPr>
          <w:i/>
          <w:iCs/>
        </w:rPr>
        <w:t xml:space="preserve">Regulatory, standards, and guideline instruments providing normative context for clinical AI governance. These instruments define obligations, principles, or management-system requirements rather than institutional deployment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700"/>
        <w:gridCol w:w="2060"/>
      </w:tblGrid>
      <w:tr>
        <w:trPr>
          <w:cantSplit/>
        </w:trPr>
        <w:tc>
          <w:tcPr>
            <w:tcW w:type="dxa" w:w="2700"/>
            <w:tcBorders>
              <w:top w:val="single" w:color="999999" w:sz="4"/>
              <w:left w:val="single" w:color="999999" w:sz="4"/>
              <w:bottom w:val="single" w:color="999999" w:sz="4"/>
              <w:right w:val="single" w:color="999999" w:sz="4"/>
            </w:tcBorders>
            <w:shd w:fill="D9E2F3" w:color="auto" w:val="clear"/>
            <w:tcMar>
              <w:top w:type="dxa" w:w="100"/>
              <w:left w:type="dxa" w:w="120"/>
              <w:bottom w:type="dxa" w:w="100"/>
              <w:right w:type="dxa" w:w="120"/>
            </w:tcMar>
          </w:tcPr>
          <w:p>
            <w:pPr>
              <w:spacing w:after="0" w:line="280"/>
            </w:pPr>
            <w:r>
              <w:rPr>
                <w:b/>
                <w:bCs/>
              </w:rPr>
              <w:t xml:space="preserve">Framework</w:t>
            </w:r>
          </w:p>
        </w:tc>
        <w:tc>
          <w:tcPr>
            <w:tcW w:type="dxa" w:w="1900"/>
            <w:tcBorders>
              <w:top w:val="single" w:color="999999" w:sz="4"/>
              <w:left w:val="single" w:color="999999" w:sz="4"/>
              <w:bottom w:val="single" w:color="999999" w:sz="4"/>
              <w:right w:val="single" w:color="999999" w:sz="4"/>
            </w:tcBorders>
            <w:shd w:fill="D9E2F3" w:color="auto" w:val="clear"/>
            <w:tcMar>
              <w:top w:type="dxa" w:w="100"/>
              <w:left w:type="dxa" w:w="120"/>
              <w:bottom w:type="dxa" w:w="100"/>
              <w:right w:type="dxa" w:w="120"/>
            </w:tcMar>
          </w:tcPr>
          <w:p>
            <w:pPr>
              <w:spacing w:after="0" w:line="280"/>
            </w:pPr>
            <w:r>
              <w:rPr>
                <w:b/>
                <w:bCs/>
              </w:rPr>
              <w:t xml:space="preserve">Instrument type</w:t>
            </w:r>
          </w:p>
        </w:tc>
        <w:tc>
          <w:tcPr>
            <w:tcW w:type="dxa" w:w="2700"/>
            <w:tcBorders>
              <w:top w:val="single" w:color="999999" w:sz="4"/>
              <w:left w:val="single" w:color="999999" w:sz="4"/>
              <w:bottom w:val="single" w:color="999999" w:sz="4"/>
              <w:right w:val="single" w:color="999999" w:sz="4"/>
            </w:tcBorders>
            <w:shd w:fill="D9E2F3" w:color="auto" w:val="clear"/>
            <w:tcMar>
              <w:top w:type="dxa" w:w="100"/>
              <w:left w:type="dxa" w:w="120"/>
              <w:bottom w:type="dxa" w:w="100"/>
              <w:right w:type="dxa" w:w="120"/>
            </w:tcMar>
          </w:tcPr>
          <w:p>
            <w:pPr>
              <w:spacing w:after="0" w:line="280"/>
            </w:pPr>
            <w:r>
              <w:rPr>
                <w:b/>
                <w:bCs/>
              </w:rPr>
              <w:t xml:space="preserve">Primary role</w:t>
            </w:r>
          </w:p>
        </w:tc>
        <w:tc>
          <w:tcPr>
            <w:tcW w:type="dxa" w:w="2060"/>
            <w:tcBorders>
              <w:top w:val="single" w:color="999999" w:sz="4"/>
              <w:left w:val="single" w:color="999999" w:sz="4"/>
              <w:bottom w:val="single" w:color="999999" w:sz="4"/>
              <w:right w:val="single" w:color="999999" w:sz="4"/>
            </w:tcBorders>
            <w:shd w:fill="D9E2F3" w:color="auto" w:val="clear"/>
            <w:tcMar>
              <w:top w:type="dxa" w:w="100"/>
              <w:left w:type="dxa" w:w="120"/>
              <w:bottom w:type="dxa" w:w="100"/>
              <w:right w:type="dxa" w:w="120"/>
            </w:tcMar>
          </w:tcPr>
          <w:p>
            <w:pPr>
              <w:spacing w:after="0" w:line="280"/>
            </w:pPr>
            <w:r>
              <w:rPr>
                <w:b/>
                <w:bCs/>
              </w:rPr>
              <w:t xml:space="preserve">Deployment decision rule specified</w:t>
            </w:r>
          </w:p>
        </w:tc>
      </w:tr>
      <w:tr>
        <w:trPr>
          <w:cantSplit/>
        </w:trP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FUTURE-AI [26]</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Best-practice guideline</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Lifecycle principles and recommendations</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No (out of scope by design)</w:t>
            </w:r>
          </w:p>
        </w:tc>
      </w:tr>
      <w:tr>
        <w:trPr>
          <w:cantSplit/>
        </w:trP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NICE Evidence Standards Framework [5]</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Evidence standards</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Commissioning and evidence expectations</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No (out of scope by design)</w:t>
            </w:r>
          </w:p>
        </w:tc>
      </w:tr>
      <w:tr>
        <w:trPr>
          <w:cantSplit/>
        </w:trP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FDA AI-DSF guidance [27]</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Regulatory guidance</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Market authorisation and lifecycle oversight</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No (out of scope by design)</w:t>
            </w:r>
          </w:p>
        </w:tc>
      </w:tr>
      <w:tr>
        <w:trPr>
          <w:cantSplit/>
        </w:trP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EU Artificial Intelligence Act [3]</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Regulation</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Legal obligations on providers/deployers</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No (out of scope by design)</w:t>
            </w:r>
          </w:p>
        </w:tc>
      </w:tr>
      <w:tr>
        <w:trPr>
          <w:cantSplit/>
        </w:trPr>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ISO/IEC 42001 [4]</w:t>
            </w:r>
          </w:p>
        </w:tc>
        <w:tc>
          <w:tcPr>
            <w:tcW w:type="dxa" w:w="19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Management system standard</w:t>
            </w:r>
          </w:p>
        </w:tc>
        <w:tc>
          <w:tcPr>
            <w:tcW w:type="dxa" w:w="2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Organisational AI management requirements</w:t>
            </w:r>
          </w:p>
        </w:tc>
        <w:tc>
          <w:tcPr>
            <w:tcW w:type="dxa" w:w="20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pPr>
            <w:r>
              <w:t xml:space="preserve">No (out of scope by design)</w:t>
            </w:r>
          </w:p>
        </w:tc>
      </w:tr>
    </w:tbl>
    <w:p>
      <w:pPr>
        <w:spacing w:after="240" w:before="120"/>
      </w:pPr>
      <w:r>
        <w:rPr>
          <w:i/>
          <w:iCs/>
        </w:rPr>
        <w:t xml:space="preserve">Footnote. “Out of scope by design” indicates that the instrument explicitly defines a regulatory, standards, or management-system role rather than an executable institutional deployment decision rule.</w:t>
      </w:r>
    </w:p>
    <w:p>
      <w:pPr>
        <w:pStyle w:val="Heading1"/>
        <w:spacing w:after="200" w:before="360"/>
      </w:pPr>
      <w:r>
        <w:rPr>
          <w:b/>
          <w:bCs/>
        </w:rPr>
        <w:t xml:space="preserve">Why a non-compensatory decision rule?</w:t>
      </w:r>
    </w:p>
    <w:p>
      <w:pPr>
        <w:spacing w:after="160" w:line="360"/>
      </w:pPr>
      <w:r>
        <w:t xml:space="preserve">Conjunctive decision rules apply where failure in any single dimension can produce irreversible harm [8, 24]. The surgical safety checklist embodies this logic: absent sterile technique cannot be compensated by superior surgical skill [7]. Applying a comparable structure to clinical AI deployment separates evaluation (what evidence exists) from activation (whether deployment is authorised), so that aggregate metrics cannot obscure whether minimum safety conditions were met by any discrete committee decision [33]. The conjunctive rule produces an asymmetric error structure deliberately calibrated to minimise false positives — deployment of unsafe tools — at the acknowledged cost of more false negatives — blocking tools with correctable evidence gaps. Prior simulation work [25] quantifies this trade-off; the constrained override pathway and shared-service model described below are the architectural responses to the false-negative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F2F2F2" w:color="auto" w:val="clear"/>
            <w:tcMar>
              <w:top w:type="dxa" w:w="200"/>
              <w:left w:type="dxa" w:w="240"/>
              <w:bottom w:type="dxa" w:w="200"/>
              <w:right w:type="dxa" w:w="240"/>
            </w:tcMar>
          </w:tcPr>
          <w:p>
            <w:pPr>
              <w:spacing w:after="120"/>
            </w:pPr>
            <w:r>
              <w:rPr>
                <w:b/>
                <w:bCs/>
              </w:rPr>
              <w:t xml:space="preserve">Box 1. Counterarguments and failure modes</w:t>
            </w:r>
          </w:p>
          <w:p>
            <w:pPr>
              <w:spacing w:after="160" w:line="360"/>
            </w:pPr>
            <w:r>
              <w:t xml:space="preserve">Strict conjunctive gates increase false-negative risk: correctable administrative deficits in non-safety-critical domains may block otherwise beneficial systems that could be deployed under remediation. The constrained override pathway (Gates 2–4; see Constrained override pathway) is the primary architectural response to this risk.</w:t>
            </w:r>
          </w:p>
          <w:p>
            <w:pPr>
              <w:spacing w:after="160" w:line="360"/>
            </w:pPr>
            <w:r>
              <w:t xml:space="preserve">Compensatory aggregation remains defensible where evidence heterogeneity across domains is low and performance signals are uniformly convergent; prior simulation work [25] characterises these scope conditions formally, indicating that the gate safety advantage does not hold under all evidence distributions.</w:t>
            </w:r>
          </w:p>
          <w:p>
            <w:pPr>
              <w:spacing w:after="160" w:line="360"/>
            </w:pPr>
            <w:r>
              <w:t xml:space="preserve">Shared governance services address the capacity asymmetry risk: resource-constrained institutions that would systematically fail Gates 4 and 5 unilaterally can nonetheless satisfy the rule through pooled audit capacity and contracted monitoring arrangements (see Shared governance service model).</w:t>
            </w:r>
          </w:p>
        </w:tc>
      </w:tr>
    </w:tbl>
    <w:p>
      <w:pPr>
        <w:spacing w:after="200"/>
      </w:pPr>
      <w:r>
        <w:t xml:space="preserve"/>
      </w:r>
    </w:p>
    <w:p>
      <w:pPr>
        <w:pStyle w:val="Heading1"/>
        <w:spacing w:after="200" w:before="360"/>
      </w:pPr>
      <w:r>
        <w:rPr>
          <w:b/>
          <w:bCs/>
        </w:rPr>
        <w:t xml:space="preserve">A five-gate architecture</w:t>
      </w:r>
    </w:p>
    <w:p>
      <w:pPr>
        <w:spacing w:after="160" w:line="360"/>
      </w:pPr>
      <w:r>
        <w:t xml:space="preserve">Each domain operates as a prerequisite checkpoint with a minimum evidence floor; per-gate floors and regulatory convergence detail are in Supplementary Appendix G. Figure 1 shows the decision pathway. Three outcomes are distinguished: gate satisfaction, non-overridable failure (Gates 1 and 5), and overridable failure (Gates 2–4). The five-domain decomposition reflects convergence across reviewed regulatory instruments (EU AI Act, FDA SaMD Action Plan, MHRA, ISO/IEC 42001, NICE ESF, FUTURE-AI [26]) rather than arbitrary partitioning.</w:t>
      </w:r>
    </w:p>
    <w:p>
      <w:pPr>
        <w:pStyle w:val="Heading2"/>
        <w:spacing w:after="160" w:before="240"/>
      </w:pPr>
      <w:r>
        <w:rPr>
          <w:b/>
          <w:bCs/>
        </w:rPr>
        <w:t xml:space="preserve">Why five gates? Alternative decompositions considered</w:t>
      </w:r>
    </w:p>
    <w:p>
      <w:pPr>
        <w:spacing w:after="160" w:line="360"/>
      </w:pPr>
      <w:r>
        <w:t xml:space="preserve">Three alternative decompositions were considered and rejected. A four-gate model collapsing documentation and accountability would obscure whether deployment failure arose from absent documentation or undefined withdrawal authority, undermining attribution clarity. A six-gate model separating calibration from broader safety validation would fragment functionally inseparable elements, since calibration is a property of validation rather than a distinct domain. A three-gate model collapsing documentation, accountability, and monitoring into a single “governance” gate would subsume Gate 5’s non-overridability under the override-eligibility logic applicable to Gates 3–4, inverting the rule’s asymmetric error structure. The convergence of reviewed regulatory instruments supports the five-gate structure as the minimum decomposition preserving both attribution clarity and the non-overridable/overridable distinction.</w:t>
      </w:r>
    </w:p>
    <w:p>
      <w:pPr>
        <w:pStyle w:val="Heading2"/>
        <w:spacing w:after="160" w:before="240"/>
      </w:pPr>
      <w:r>
        <w:rPr>
          <w:b/>
          <w:bCs/>
        </w:rPr>
        <w:t xml:space="preserve">Gate 1: Clinical safety and validation (non-overridable)</w:t>
      </w:r>
    </w:p>
    <w:p>
      <w:pPr>
        <w:spacing w:after="160" w:line="360"/>
      </w:pPr>
      <w:r>
        <w:t xml:space="preserve">A system without evidence of deployment-context performance cannot be safely activated under any documented rationale; aggregate claims cannot substitute for target-population validation [9] or for calibration beyond discrimination [10]. Failure is non-overridable.</w:t>
      </w:r>
    </w:p>
    <w:p>
      <w:pPr>
        <w:pStyle w:val="Heading2"/>
        <w:spacing w:after="160" w:before="240"/>
      </w:pPr>
      <w:r>
        <w:rPr>
          <w:b/>
          <w:bCs/>
        </w:rPr>
        <w:t xml:space="preserve">Gate 2: Bias and equity oversight (overridable with criteria)</w:t>
      </w:r>
    </w:p>
    <w:p>
      <w:pPr>
        <w:spacing w:after="160" w:line="360"/>
      </w:pPr>
      <w:r>
        <w:t xml:space="preserve">Aggregate performance can mask systematically worse outcomes for subpopulations [11, 12]; subgroup evaluation is a prerequisite distinct from overall accuracy [14], and training-data representativeness [13] cannot be inferred from headline metrics. Failure is overridable where equity data collection is underway under a prospective monitoring plan.</w:t>
      </w:r>
    </w:p>
    <w:p>
      <w:pPr>
        <w:pStyle w:val="Heading2"/>
        <w:spacing w:after="160" w:before="240"/>
      </w:pPr>
      <w:r>
        <w:rPr>
          <w:b/>
          <w:bCs/>
        </w:rPr>
        <w:t xml:space="preserve">Gate 3: Documentation and transparency (overridable with criteria)</w:t>
      </w:r>
    </w:p>
    <w:p>
      <w:pPr>
        <w:spacing w:after="160" w:line="360"/>
      </w:pPr>
      <w:r>
        <w:t xml:space="preserve">Undocumented provenance, exclusion criteria, and known risks [15, 16, 19] cannot be offset by performance metrics; documentation is a precondition for accountable deployment, not a post-deployment artefact. Failure is overridable where an interim record is accepted by the accountable lead and a complete model card is committed to within a bounded period (see Provisional pilot defaults).</w:t>
      </w:r>
    </w:p>
    <w:p>
      <w:pPr>
        <w:pStyle w:val="Heading2"/>
        <w:spacing w:after="160" w:before="240"/>
      </w:pPr>
      <w:r>
        <w:rPr>
          <w:b/>
          <w:bCs/>
        </w:rPr>
        <w:t xml:space="preserve">Gate 4: Accountability and decision rights (overridable with criteria)</w:t>
      </w:r>
    </w:p>
    <w:p>
      <w:pPr>
        <w:spacing w:after="160" w:line="360"/>
      </w:pPr>
      <w:r>
        <w:t xml:space="preserve">Undefined accountability creates moral hazard that no performance evidence can resolve; explicit deployment and withdrawal authority, with separation between procurement incentives and deployment authorisation, is a decision-rule precondition [18]. Failure is overridable where an interim named lead is designated with board approval and a formal accountability structure is committed to within a bounded period (see Provisional pilot defaults).</w:t>
      </w:r>
    </w:p>
    <w:p>
      <w:pPr>
        <w:pStyle w:val="Heading2"/>
        <w:spacing w:after="160" w:before="240"/>
      </w:pPr>
      <w:r>
        <w:rPr>
          <w:b/>
          <w:bCs/>
        </w:rPr>
        <w:t xml:space="preserve">Gate 5: Lifecycle monitoring and drift management (non-overridable)</w:t>
      </w:r>
    </w:p>
    <w:p>
      <w:pPr>
        <w:spacing w:after="160" w:line="360"/>
      </w:pPr>
      <w:r>
        <w:t xml:space="preserve">A system that cannot be monitored cannot be safely recalled when performance deteriorates; monitoring capability is a deployment prerequisite, not a post-deployment property. Failure is non-overridable; shared-infrastructure monitoring arrangements must be contracted and operational before deployment.</w:t>
      </w:r>
    </w:p>
    <w:p>
      <w:pPr>
        <w:spacing w:after="160" w:line="360"/>
      </w:pPr>
      <w:r>
        <w:t xml:space="preserve">Minimum evidence floors are risk-tiered: the gate structure is constant, but floor height varies by clinical risk class. Thresholds are illustrative provisional defaults requiring empirical calibration; the worked risk-tiered matrix appears in Supplementary Appendix H.</w:t>
      </w:r>
    </w:p>
    <w:p>
      <w:pPr>
        <w:pStyle w:val="Heading1"/>
        <w:spacing w:after="200" w:before="360"/>
      </w:pPr>
      <w:r>
        <w:rPr>
          <w:b/>
          <w:bCs/>
        </w:rPr>
        <w:t xml:space="preserve">Constrained override pathway: criteria and safeguards</w:t>
      </w:r>
    </w:p>
    <w:p>
      <w:pPr>
        <w:spacing w:after="160" w:line="360"/>
      </w:pPr>
      <w:r>
        <w:t xml:space="preserve">Failures at Gates 2, 3, and 4 are eligible for a constrained exception pathway, recognising that some evidence gaps are correctable administrative deficits rather than fundamental safety failures. Gates 1 and 5 remain non-overridable. The pathway is not a weakening of the conjunctive rule but a structured mechanism for distinguishing safety-critical failures from governance-administrative deficits resolvable within a bounded period. Four operative criteria — rationale, bounded validity, prospective monitoring plan, and committee approval — must be simultaneously satisfied. Figure 2 presents the structured request template; Multimedia Appendix 3 provides a worked example.</w:t>
      </w:r>
    </w:p>
    <w:p>
      <w:pPr>
        <w:pStyle w:val="Heading2"/>
        <w:spacing w:after="160" w:before="240"/>
      </w:pPr>
      <w:r>
        <w:rPr>
          <w:b/>
          <w:bCs/>
        </w:rPr>
        <w:t xml:space="preserve">Preventing override accumulation</w:t>
      </w:r>
    </w:p>
    <w:p>
      <w:pPr>
        <w:spacing w:after="160" w:line="360"/>
      </w:pPr>
      <w:r>
        <w:t xml:space="preserve">Three structural safeguards prevent override creep. First, </w:t>
      </w:r>
      <w:r>
        <w:rPr>
          <w:i/>
          <w:iCs/>
        </w:rPr>
        <w:t xml:space="preserve">concurrent override limits</w:t>
      </w:r>
      <w:r>
        <w:t xml:space="preserve">: a single AI system may not operate under more than one active override simultaneously. Second, </w:t>
      </w:r>
      <w:r>
        <w:rPr>
          <w:i/>
          <w:iCs/>
        </w:rPr>
        <w:t xml:space="preserve">institutional override registers</w:t>
      </w:r>
      <w:r>
        <w:t xml:space="preserve">: all active overrides are maintained in a single, auditable register visible to the governance committee. Third, </w:t>
      </w:r>
      <w:r>
        <w:rPr>
          <w:i/>
          <w:iCs/>
        </w:rPr>
        <w:t xml:space="preserve">escalation triggers</w:t>
      </w:r>
      <w:r>
        <w:t xml:space="preserve"> convene a structural review where override frequency or concentration exceeds defined thresholds (see Provisional pilot defaults). These safeguards do not eliminate governance fatigue; where override patterns suggest systemic drivers, an independent audit trigger external to the authorising committee is proposed as a fourth safeguard for institutional implementation.</w:t>
      </w:r>
    </w:p>
    <w:p>
      <w:pPr>
        <w:pStyle w:val="Heading2"/>
        <w:spacing w:after="160" w:before="240"/>
      </w:pPr>
      <w:r>
        <w:rPr>
          <w:b/>
          <w:bCs/>
        </w:rPr>
        <w:t xml:space="preserve">Provisional pilot defaults</w:t>
      </w:r>
    </w:p>
    <w:p>
      <w:pPr>
        <w:spacing w:after="160" w:line="360"/>
      </w:pPr>
      <w:r>
        <w:t xml:space="preserve">The architecture specifies several numerical parameters that are presented as provisional, non-binding starting values for institutional pilot calibration rather than as empirically optimised thresholds. Their optimal values are an explicit priority for the prospective pilot study described later in this article. The defaults are: (i) a 60-day window from override invocation to completion of a full model card under Gate 3; (ii) a 90-day bounded validity period for any single override under Gates 2–4; (iii) a single concurrent active override per AI system; (iv) a 30% threshold above which a single gate generating overrides across the institutional AI portfolio triggers structural review; and (v) a ±0.10 perturbation envelope used in the verdict-stability robustness check reported in [35]. None of these values is empirically calibrated; institutions piloting the architecture should treat them as starting points subject to local revision.</w:t>
      </w:r>
    </w:p>
    <w:p>
      <w:pPr>
        <w:pStyle w:val="Heading1"/>
        <w:spacing w:after="200" w:before="360"/>
      </w:pPr>
      <w:r>
        <w:rPr>
          <w:b/>
          <w:bCs/>
        </w:rPr>
        <w:t xml:space="preserve">Shared governance service model</w:t>
      </w:r>
    </w:p>
    <w:p>
      <w:pPr>
        <w:spacing w:after="160" w:line="360"/>
      </w:pPr>
      <w:r>
        <w:t xml:space="preserve">For institutions whose internal capacity cannot satisfy Gates 4 and 5 unilaterally [1, 2], the architecture admits shared service arrangements: pooled audit capacity for independent Gate 1 safety validation; governance-as-a-service for documentation and accountability infrastructure (Gates 3–4); and consortium-based evidence pooling. The deploying institution retains ultimate liability regardless of external provision.</w:t>
      </w:r>
    </w:p>
    <w:p>
      <w:pPr>
        <w:pStyle w:val="Heading1"/>
        <w:spacing w:after="200" w:before="360"/>
      </w:pPr>
      <w:r>
        <w:rPr>
          <w:b/>
          <w:bCs/>
        </w:rPr>
        <w:t xml:space="preserve">Illustrative application: Epic Sepsis Model</w:t>
      </w:r>
    </w:p>
    <w:p>
      <w:pPr>
        <w:spacing w:after="160" w:line="360"/>
      </w:pPr>
      <w:r>
        <w:t xml:space="preserve">External validation of a widely deployed sepsis prediction model identified materially lower performance than vendor claims [21], with associated alert-burden impact on clinicians [22]. Under the conjunctive rule, the published evidence would place Gates 1 (local calibration), 3 (proprietary documentation constraints), and 5 (alert-burden monitoring) in non-passing states. A historical replay [35] is consistent with this under the moderate governance profile and inclusive (≥) gate logic. The illustration does not validate clinical outcomes or establish counterfactual benefit; it indicates how decision-rule structure would apply to a documented case.</w:t>
      </w:r>
    </w:p>
    <w:p>
      <w:pPr>
        <w:pStyle w:val="Heading1"/>
        <w:spacing w:after="200" w:before="360"/>
      </w:pPr>
      <w:r>
        <w:rPr>
          <w:b/>
          <w:bCs/>
        </w:rPr>
        <w:t xml:space="preserve">Supporting evidence signals</w:t>
      </w:r>
    </w:p>
    <w:p>
      <w:pPr>
        <w:spacing w:after="160" w:line="360"/>
      </w:pPr>
      <w:r>
        <w:t xml:space="preserve">Two prior studies provide supporting context that is cited here without re-derivation; readers are directed to those papers for full methods and caveats. A theory-testing simulation [25] characterises scope conditions: the decision-rule property is preserved across three alternative decompositions alongside the five-gate baseline, with compensatory rules admitting 4.0–7.1% unsafe deployment under heterogeneous evidence profiles; full scope-condition elaboration is in Supplementary Appendix F. A structured historical replay [35] reports gate logic flagged 11 of 12 documented failures (sensitivity 0.917) while approving all 12 controls; verdict stability was 239/240 (99.6%) under single-feature perturbation within a ±0.10 envelope. Verdict stability is a computational robustness check that does not substitute for independent inter-rater reliability, which remains the highest-priority methodological next step. The replay is retrospective, not prospective validation.</w:t>
      </w:r>
    </w:p>
    <w:p>
      <w:pPr>
        <w:pStyle w:val="Heading1"/>
        <w:spacing w:after="200" w:before="360"/>
      </w:pPr>
      <w:r>
        <w:rPr>
          <w:b/>
          <w:bCs/>
        </w:rPr>
        <w:t xml:space="preserve">Relationship to FUTURE-AI and recent governance literature</w:t>
      </w:r>
    </w:p>
    <w:p>
      <w:pPr>
        <w:spacing w:after="160" w:line="360"/>
      </w:pPr>
      <w:r>
        <w:t xml:space="preserve">The gate architecture is a decision-rule layer, not a governance domain taxonomy. It is complementary to the FUTURE-AI consensus guideline [26]: FUTURE-AI's practices align with the five domains — fairness with Gate 2, traceability and explainability with Gate 3, usability with Gates 1 and 4, and robustness with Gate 5 — and the gate architecture provides the decision-theoretic layer converting FUTURE-AI evidence into an institutional deployment decision. Recent post-market surveillance work [27, 29] further supports treating monitoring infrastructure as a deployment prerequisite.</w:t>
      </w:r>
    </w:p>
    <w:p>
      <w:pPr>
        <w:pStyle w:val="Heading1"/>
        <w:spacing w:after="200" w:before="360"/>
      </w:pPr>
      <w:r>
        <w:rPr>
          <w:b/>
          <w:bCs/>
        </w:rPr>
        <w:t xml:space="preserve">Distinction from existing multi-domain instruments</w:t>
      </w:r>
    </w:p>
    <w:p>
      <w:pPr>
        <w:spacing w:after="160" w:line="360"/>
      </w:pPr>
      <w:r>
        <w:t xml:space="preserve">An obvious challenge to the proposed architecture is that NHS DTAC, ALTAI, FUTURE-AI [26], TEHAI [28], and the Algorithmic Impact Assessment instrument already partition AI governance into multi-domain evaluations. The contribution of this article is not a new domain partition but a different layer of the governance stack. Existing instruments specify domain coverage — what to evaluate. The architecture examined here specifies decision logic — how the resulting evidence converts to a deploy-or-pause action. The five-domain decomposition is convergent with several reviewed instruments; the novelty is the conjunctive aggregation rule, the bounded override pathway with structural safeguards, and the explicit non-overridable status of two specific gates.</w:t>
      </w:r>
    </w:p>
    <w:p>
      <w:pPr>
        <w:spacing w:after="160" w:line="360"/>
      </w:pPr>
      <w:r>
        <w:t xml:space="preserve">This distinction is operational, not semantic. Two committees may agree exhaustively on what constitutes adequate evidence in each governance domain and still reach opposite deployment decisions if one combines that evidence compensatorily and the other conjunctively. Existing instruments are silent on which combination rule should apply; the architecture examined here is an explicit answer. It is not a relabelling of existing checklists, because checklists do not specify an aggregation rule, and it is not a competitor to FUTURE-AI or TEHAI, because those instruments specify what to evaluate rather than how to convert evaluation evidence into authorisation.</w:t>
      </w:r>
    </w:p>
    <w:p>
      <w:pPr>
        <w:pStyle w:val="Heading1"/>
        <w:spacing w:after="200" w:before="360"/>
      </w:pPr>
      <w:r>
        <w:rPr>
          <w:b/>
          <w:bCs/>
        </w:rPr>
        <w:t xml:space="preserve">Implications for practice and policy</w:t>
      </w:r>
    </w:p>
    <w:p>
      <w:pPr>
        <w:spacing w:after="160" w:line="360"/>
      </w:pPr>
      <w:r>
        <w:t xml:space="preserve">Three concrete changes follow if institutions adopt an explicit non-compensatory decision rule for clinical AI deployment.</w:t>
      </w:r>
    </w:p>
    <w:p>
      <w:pPr>
        <w:spacing w:after="160" w:line="360"/>
      </w:pPr>
      <w:r>
        <w:t xml:space="preserve">First, </w:t>
      </w:r>
      <w:r>
        <w:rPr>
          <w:i/>
          <w:iCs/>
        </w:rPr>
        <w:t xml:space="preserve">deployment authorisation must be separated from evaluation</w:t>
      </w:r>
      <w:r>
        <w:t xml:space="preserve">. A committee that aggregates multi-domain evidence into a single composite score retains the structural risk that an excellent score in one domain offsets a disqualifying gap in another. Replacing the composite-score step with five independently-evaluated minimum evidence floors makes the asymmetry explicit: regardless of how strong the headline performance metric appears, deployment cannot proceed where local calibration evidence is absent (Gate 1) or where monitoring infrastructure to detect drift has not been contracted and is not operational (Gate 5).</w:t>
      </w:r>
    </w:p>
    <w:p>
      <w:pPr>
        <w:spacing w:after="160" w:line="360"/>
      </w:pPr>
      <w:r>
        <w:t xml:space="preserve">Second, </w:t>
      </w:r>
      <w:r>
        <w:rPr>
          <w:i/>
          <w:iCs/>
        </w:rPr>
        <w:t xml:space="preserve">override governance must be made auditable rather than implicit</w:t>
      </w:r>
      <w:r>
        <w:t xml:space="preserve">. In practice, governance committees frequently authorise deployment despite documented evidence gaps; what is uncommon is a structured record of which gap was overridden, on what rationale, with what bounded validity period, and under what subsequent monitoring plan. The four-criteria override pathway and the three structural safeguards (concurrent override limits, institutional override register, escalation triggers) convert an implicit and individually defensible practice into an institutional pattern that can be audited at the portfolio level. Where override patterns concentrate at a single gate or accumulate across multiple systems, the safeguards trigger structural review.</w:t>
      </w:r>
    </w:p>
    <w:p>
      <w:pPr>
        <w:spacing w:after="160" w:line="360"/>
      </w:pPr>
      <w:r>
        <w:t xml:space="preserve">Third, </w:t>
      </w:r>
      <w:r>
        <w:rPr>
          <w:i/>
          <w:iCs/>
        </w:rPr>
        <w:t xml:space="preserve">capacity asymmetry between institutions is addressable through shared services rather than shared standards</w:t>
      </w:r>
      <w:r>
        <w:t xml:space="preserve">. Resource-constrained hospitals that would systematically fail Gates 4 and 5 unilaterally are not currently served by frameworks that assume internal AI clinical lead capacity, drift-monitoring infrastructure, and continuous post-market surveillance. Shared audit capacity, governance-as-a-service arrangements, and consortium-based monitoring allow such institutions to satisfy the rule while retaining ultimate deployment liability.</w:t>
      </w:r>
    </w:p>
    <w:p>
      <w:pPr>
        <w:spacing w:after="160" w:line="360"/>
      </w:pPr>
      <w:r>
        <w:t xml:space="preserve">The risks mitigated by these changes are concrete: deployment of systems with locally uncalibrated performance, deployment of systems for which subgroup performance has not been examined, deployment without named withdrawal authority, and deployment without operational monitoring to detect performance degradation. The architecture does not eliminate any of these risks individually; it makes their non-resolution a structural barrier to deployment authorisation rather than a permissible trade-off.</w:t>
      </w:r>
    </w:p>
    <w:p>
      <w:pPr>
        <w:pStyle w:val="Heading1"/>
        <w:spacing w:after="200" w:before="360"/>
      </w:pPr>
      <w:r>
        <w:rPr>
          <w:b/>
          <w:bCs/>
        </w:rPr>
        <w:t xml:space="preserve">From analysis to empirical testing: pilot design and measurable endpoints</w:t>
      </w:r>
    </w:p>
    <w:p>
      <w:pPr>
        <w:spacing w:after="160" w:line="360"/>
      </w:pPr>
      <w:r>
        <w:t xml:space="preserve">The transition from analytical proposal to evidence-based policy requires a prospective pilot. A cohort of candidate AI tools undergoing institutional evaluation would be observed, with evaluators recording whether the minimum evidence floor for each gate was satisfied at the deployment decision. The pilot is embeddable within existing NHS AI oversight committee structures and requires no change to clinical care pathways.</w:t>
      </w:r>
    </w:p>
    <w:p>
      <w:pPr>
        <w:spacing w:after="160" w:line="360"/>
      </w:pPr>
      <w:r>
        <w:rPr>
          <w:i/>
          <w:iCs/>
        </w:rPr>
        <w:t xml:space="preserve">Primary endpoint</w:t>
      </w:r>
      <w:r>
        <w:t xml:space="preserve">: distribution of evidence heterogeneity across gates (whether institutional evidence profiles resemble the heterogeneous model characterised in [25]).</w:t>
      </w:r>
    </w:p>
    <w:p>
      <w:pPr>
        <w:spacing w:after="160" w:line="360"/>
      </w:pPr>
      <w:r>
        <w:rPr>
          <w:i/>
          <w:iCs/>
        </w:rPr>
        <w:t xml:space="preserve">Secondary endpoints</w:t>
      </w:r>
      <w:r>
        <w:t xml:space="preserve">: (1) override invocation frequency and duration; (2) median time from first gate failure to remediation completion; (3) gate-failure concentration patterns (which gates fail most frequently and for which tool risk classes); (4) committee decision concordance with gate recommendations.</w:t>
      </w:r>
    </w:p>
    <w:p>
      <w:pPr>
        <w:spacing w:after="160" w:line="360"/>
      </w:pPr>
      <w:r>
        <w:t xml:space="preserve">These endpoints are prespecified to enable both confirmatory evaluation of the decision-rule property and exploratory analysis of operational feasibility.</w:t>
      </w:r>
    </w:p>
    <w:p>
      <w:pPr>
        <w:pStyle w:val="Heading1"/>
        <w:spacing w:after="200" w:before="360"/>
      </w:pPr>
      <w:r>
        <w:rPr>
          <w:b/>
          <w:bCs/>
        </w:rPr>
        <w:t xml:space="preserve">Limitations</w:t>
      </w:r>
    </w:p>
    <w:p>
      <w:pPr>
        <w:spacing w:after="160" w:line="360"/>
      </w:pPr>
      <w:r>
        <w:t xml:space="preserve">This architecture has not been prospectively evaluated in a live clinical setting. Threshold parameters are templates requiring local calibration. The numerical pilot defaults consolidated above are proposed on practical rather than empirical grounds; their optimal values are an explicit priority for testing. Interaction among gate failure modes is not fully addressed here; this is partially mitigated by sensitivity analyses in prior simulation work [25]. The structured document review was conducted by the sole author, the conservative coding frame applied (defined in Multimedia Appendix 4) may overestimate the gap if decision rules exist in unreviewed sections of the documents, and inter-rater reliability was not independently assessed. Whether other analysts would derive the same coding is an empirical question. Multimedia Appendix 5 provides transparency for independent assessment of coding. Full procedural details of the structured document review (including the search dates, the explicit inclusion frame, and the document inventory) should be reported in the next iteration of this manuscript for full reproducibility; placeholders in the methods section indicate the items requiring author insertion before submission.</w:t>
      </w:r>
    </w:p>
    <w:p>
      <w:pPr>
        <w:pStyle w:val="Heading2"/>
        <w:spacing w:after="160" w:before="240"/>
      </w:pPr>
      <w:r>
        <w:rPr>
          <w:b/>
          <w:bCs/>
        </w:rPr>
        <w:t xml:space="preserve">Validation hierarchy</w:t>
      </w:r>
    </w:p>
    <w:p>
      <w:pPr>
        <w:spacing w:after="160" w:line="360"/>
      </w:pPr>
      <w:r>
        <w:t xml:space="preserve">The evidence supporting the non-compensatory gate architecture currently spans two validation tiers: Tier 4 (computational simulation, characterising theoretical properties under modelled conditions) and Tier 3 (structured retrospective replay, testing the architecture against documented historical failures with triangulated evidence). Tier 2 (real-world observational evaluation using institutional AI portfolio data) and Tier 1 (prospective controlled evaluation within live governance processes) remain outstanding and constitute the necessary next steps before deployment recommendations can be made. No finding in the present study should be interpreted as evidence from Tier 1 or Tier 2.</w:t>
      </w:r>
    </w:p>
    <w:p>
      <w:pPr>
        <w:pStyle w:val="Heading2"/>
        <w:spacing w:after="160" w:before="240"/>
      </w:pPr>
      <w:r>
        <w:rPr>
          <w:b/>
          <w:bCs/>
        </w:rPr>
        <w:t xml:space="preserve">Patient-level consequence pathway</w:t>
      </w:r>
    </w:p>
    <w:p>
      <w:pPr>
        <w:spacing w:after="160" w:line="360"/>
      </w:pPr>
      <w:r>
        <w:t xml:space="preserve">The governance decision modelled here has direct patient-level consequences. Deploying an unsafe system exposes patients to harm; blocking a safe system denies patients benefit. The gate architecture addresses the first risk by enforcing minimum evidence floors; the override pathway and shared-service model address the second.</w:t>
      </w:r>
    </w:p>
    <w:p>
      <w:pPr>
        <w:pStyle w:val="Heading1"/>
        <w:spacing w:after="200" w:before="360"/>
      </w:pPr>
      <w:r>
        <w:rPr>
          <w:b/>
          <w:bCs/>
        </w:rPr>
        <w:t xml:space="preserve">What this analysis does not establish</w:t>
      </w:r>
    </w:p>
    <w:p>
      <w:pPr>
        <w:spacing w:after="160" w:line="360"/>
      </w:pPr>
      <w:r>
        <w:t xml:space="preserve">The gate architecture is a necessary but not sufficient condition for safe clinical AI deployment. Passing all five gates indicates that minimum governance evidence exists; it does not guarantee safe performance in clinical practice.</w:t>
      </w:r>
    </w:p>
    <w:p>
      <w:pPr>
        <w:spacing w:after="160" w:line="360"/>
      </w:pPr>
      <w:r>
        <w:t xml:space="preserve">This analysis does not establish: (a) prospective validation in any live clinical setting; (b) safety or unsafety of any specific AI system under the gates; (c) that the provisional pilot defaults consolidated above are empirically optimal; (d) that gate passage is sufficient for safe deployment, since sociotechnical integration [17, 23], procurement governance, workflow and clinician-trust factors, and the replacement of clinical-trial evidence where required by regulation lie outside the gate structure; (e) structural clinical protection independent of the institutional processes that implement the rule; or (f) that the structured document review is exhaustive of all possible governance instruments.</w:t>
      </w:r>
    </w:p>
    <w:p>
      <w:pPr>
        <w:spacing w:after="160" w:line="360"/>
      </w:pPr>
      <w:r>
        <w:t xml:space="preserve">What this analysis does establish: (a) reviewed governance instruments do not specify an explicit deployment decision rule combining activation thresholds, non-compensatory logic, and constrained override governance (Tables 1A–1B; Multimedia Appendix 5); (b) a conjunctive decision rule is a decision-theoretically coherent structural response to the compensatory-masking risk indicated in prior work [25, 35]; (c) a specific operational architecture — five gates, risk-tiered floors, constrained override pathway, shared-service model — is available for empirical testing; and (d) a prespecified pilot design that would convert this analytical proposal into evidence-based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F2F2F2" w:color="auto" w:val="clear"/>
            <w:tcMar>
              <w:top w:type="dxa" w:w="200"/>
              <w:left w:type="dxa" w:w="240"/>
              <w:bottom w:type="dxa" w:w="200"/>
              <w:right w:type="dxa" w:w="240"/>
            </w:tcMar>
          </w:tcPr>
          <w:p>
            <w:pPr>
              <w:spacing w:after="120"/>
            </w:pPr>
            <w:r>
              <w:rPr>
                <w:b/>
                <w:bCs/>
              </w:rPr>
              <w:t xml:space="preserve">Box 2. Committee-ready summary</w:t>
            </w:r>
          </w:p>
          <w:p>
            <w:pPr>
              <w:spacing w:after="160" w:line="360"/>
            </w:pPr>
            <w:r>
              <w:rPr>
                <w:b/>
                <w:bCs/>
              </w:rPr>
              <w:t xml:space="preserve">Decision rule: </w:t>
            </w:r>
            <w:r>
              <w:t xml:space="preserve">Deploy only if all five gates pass.</w:t>
            </w:r>
          </w:p>
          <w:p>
            <w:pPr>
              <w:spacing w:after="160" w:line="360"/>
            </w:pPr>
            <w:r>
              <w:t xml:space="preserve">G1 Clinical Safety (non-overridable). G2 Bias and Equity (overridable). G3 Documentation (overridable). G4 Accountability (overridable). G5 Lifecycle Monitoring (non-overridable).</w:t>
            </w:r>
          </w:p>
          <w:p>
            <w:pPr>
              <w:spacing w:after="160" w:line="360"/>
            </w:pPr>
            <w:r>
              <w:rPr>
                <w:b/>
                <w:bCs/>
              </w:rPr>
              <w:t xml:space="preserve">Minimum evidence floor (single most salient item per gate):</w:t>
            </w:r>
          </w:p>
          <w:p>
            <w:pPr>
              <w:spacing w:after="160" w:line="360"/>
            </w:pPr>
            <w:r>
              <w:t xml:space="preserve">G1: external or temporal validation plus calibration assessment.</w:t>
            </w:r>
          </w:p>
          <w:p>
            <w:pPr>
              <w:spacing w:after="160" w:line="360"/>
            </w:pPr>
            <w:r>
              <w:t xml:space="preserve">G2: subgroup performance across protected characteristics.</w:t>
            </w:r>
          </w:p>
          <w:p>
            <w:pPr>
              <w:spacing w:after="160" w:line="360"/>
            </w:pPr>
            <w:r>
              <w:t xml:space="preserve">G3: model card with data provenance and exclusion criteria.</w:t>
            </w:r>
          </w:p>
          <w:p>
            <w:pPr>
              <w:spacing w:after="160" w:line="360"/>
            </w:pPr>
            <w:r>
              <w:t xml:space="preserve">G4: named withdrawal authority with board-approved escalation.</w:t>
            </w:r>
          </w:p>
          <w:p>
            <w:pPr>
              <w:spacing w:after="160" w:line="360"/>
            </w:pPr>
            <w:r>
              <w:t xml:space="preserve">G5: predefined drift metrics with prespecified review thresholds.</w:t>
            </w:r>
          </w:p>
          <w:p>
            <w:pPr>
              <w:spacing w:after="160" w:line="360"/>
            </w:pPr>
            <w:r>
              <w:rPr>
                <w:b/>
                <w:bCs/>
              </w:rPr>
              <w:t xml:space="preserve">Override eligibility: </w:t>
            </w:r>
            <w:r>
              <w:t xml:space="preserve">Gates 2–4 only. Four criteria: (i) documented clinical-lead rationale; (ii) bounded validity period (see Provisional pilot defaults); (iii) gap-specific prospective monitoring plan; (iv) board/committee approval with documented record.</w:t>
            </w:r>
          </w:p>
          <w:p>
            <w:pPr>
              <w:spacing w:after="160" w:line="360"/>
            </w:pPr>
            <w:r>
              <w:rPr>
                <w:i/>
                <w:iCs/>
              </w:rPr>
              <w:t xml:space="preserve">See Figure 2 for the full override request template and Multimedia Appendix 3 for a worked example.</w:t>
            </w:r>
          </w:p>
        </w:tc>
      </w:tr>
    </w:tbl>
    <w:p>
      <w:pPr>
        <w:spacing w:after="200"/>
      </w:pPr>
      <w:r>
        <w:t xml:space="preserve"/>
      </w:r>
    </w:p>
    <w:p>
      <w:pPr>
        <w:pStyle w:val="Heading1"/>
        <w:spacing w:after="200" w:before="360"/>
      </w:pPr>
      <w:r>
        <w:rPr>
          <w:b/>
          <w:bCs/>
        </w:rPr>
        <w:t xml:space="preserve">Conclusion</w:t>
      </w:r>
    </w:p>
    <w:p>
      <w:pPr>
        <w:spacing w:after="160" w:line="360"/>
      </w:pPr>
      <w:r>
        <w:t xml:space="preserve">Non-compensatory governance gates translate regulatory obligations into explicit institutional deployment decisions by defining mandatory evidence floors across five domains. The structured document review documented a structural absence of explicit activation logic in the reviewed instruments, supporting the conjunctive decision rule examined here. The rule’s principal feature — that critical safety and equity gaps cannot be offset by aggregate performance — is also its principal risk, addressed through the constrained override pathway for Gates 2–4 and the shared governance service model. Prior simulation work [25] provides decision-theoretic scope-condition characterisation and the historical replay [35] provides retrospective structured evidence; together they bracket the decision-rule property without establishing prospective clinical validation. The prespecified pilot design is the pathway from this analysis to evidence-based clinical AI governance policy.</w:t>
      </w:r>
    </w:p>
    <w:p>
      <w:pPr>
        <w:pStyle w:val="Heading1"/>
        <w:spacing w:after="200" w:before="360"/>
      </w:pPr>
      <w:r>
        <w:rPr>
          <w:b/>
          <w:bCs/>
        </w:rPr>
        <w:t xml:space="preserve">Declarations</w:t>
      </w:r>
    </w:p>
    <w:p>
      <w:pPr>
        <w:pStyle w:val="Heading2"/>
        <w:spacing w:after="160" w:before="240"/>
      </w:pPr>
      <w:r>
        <w:rPr>
          <w:b/>
          <w:bCs/>
        </w:rPr>
        <w:t xml:space="preserve">Funding</w:t>
      </w:r>
    </w:p>
    <w:p>
      <w:pPr>
        <w:spacing w:after="160" w:line="360"/>
      </w:pPr>
      <w:r>
        <w:t xml:space="preserve">No external funding was received for this work.</w:t>
      </w:r>
    </w:p>
    <w:p>
      <w:pPr>
        <w:pStyle w:val="Heading2"/>
        <w:spacing w:after="160" w:before="240"/>
      </w:pPr>
      <w:r>
        <w:rPr>
          <w:b/>
          <w:bCs/>
        </w:rPr>
        <w:t xml:space="preserve">Acknowledgments</w:t>
      </w:r>
    </w:p>
    <w:p>
      <w:pPr>
        <w:spacing w:after="160" w:line="360"/>
      </w:pPr>
      <w:r>
        <w:t xml:space="preserve">None declared.</w:t>
      </w:r>
    </w:p>
    <w:p>
      <w:pPr>
        <w:pStyle w:val="Heading2"/>
        <w:spacing w:after="160" w:before="240"/>
      </w:pPr>
      <w:r>
        <w:rPr>
          <w:b/>
          <w:bCs/>
        </w:rPr>
        <w:t xml:space="preserve">Competing interests</w:t>
      </w:r>
    </w:p>
    <w:p>
      <w:pPr>
        <w:spacing w:after="160" w:line="360"/>
      </w:pPr>
      <w:r>
        <w:t xml:space="preserve">WB is the founder of Ethical Alpha Audit, which develops AI governance methodology. WB is also employed as an analyst at NHS England; all views expressed are the author’s own and do not represent NHS England. The decision-theoretic arguments advanced in this analysis do not depend on commercial implementation of any specific product.</w:t>
      </w:r>
    </w:p>
    <w:p>
      <w:pPr>
        <w:pStyle w:val="Heading2"/>
        <w:spacing w:after="160" w:before="240"/>
      </w:pPr>
      <w:r>
        <w:rPr>
          <w:b/>
          <w:bCs/>
        </w:rPr>
        <w:t xml:space="preserve">AI use disclosure</w:t>
      </w:r>
    </w:p>
    <w:p>
      <w:pPr>
        <w:spacing w:after="160" w:line="360"/>
      </w:pPr>
      <w:r>
        <w:t xml:space="preserve">Generative AI tools (Claude, Anthropic) were used during the preparation of this manuscript for copy-editing, restructuring of headings and paragraph order, formatting of references, and code assistance in document preparation. No AI tool was used to generate the conceptual framework, governance domain definitions, decision-theoretic arguments, targeted document review coding, override pathway specification, shared-service model, case mapping, or conclusions. All analytical content was produced by the author. A complete prompt/response log and change-tracking summary is retained and can be supplied to editors and reviewers on request (Multimedia Appendix 6). No patient-identifiable information or confidential organisational information was entered into any external AI tool. The author reviewed and verified all content and references and takes full responsibility for the manuscript.</w:t>
      </w:r>
    </w:p>
    <w:p>
      <w:pPr>
        <w:pStyle w:val="Heading2"/>
        <w:spacing w:after="160" w:before="240"/>
      </w:pPr>
      <w:r>
        <w:rPr>
          <w:b/>
          <w:bCs/>
        </w:rPr>
        <w:t xml:space="preserve">Data availability</w:t>
      </w:r>
    </w:p>
    <w:p>
      <w:pPr>
        <w:spacing w:after="160" w:line="360"/>
      </w:pPr>
      <w:r>
        <w:t xml:space="preserve">No primary patient data were generated. Secondary benchmark analyses referenced in prior work used publicly available PhysioNet data and structured retrospective evaluation datasets described in those studies [25, 35]. The conceptual analysis and targeted document review coding are fully described in the manuscript. The full evidence table is provided in Multimedia Appendix 5. Full reproducibility details are provided in Supplementary Appendix A.</w:t>
      </w:r>
    </w:p>
    <w:p>
      <w:pPr>
        <w:pStyle w:val="Heading1"/>
        <w:spacing w:after="200" w:before="360"/>
      </w:pPr>
      <w:r>
        <w:rPr>
          <w:b/>
          <w:bCs/>
        </w:rPr>
        <w:t xml:space="preserve">Multimedia appendices</w:t>
      </w:r>
    </w:p>
    <w:p>
      <w:pPr>
        <w:spacing w:after="160" w:line="360"/>
      </w:pPr>
      <w:r>
        <w:t xml:space="preserve">Multimedia Appendix 1. Governance dashboard with traffic-light gate status indicators and remediation clock.</w:t>
      </w:r>
    </w:p>
    <w:p>
      <w:pPr>
        <w:spacing w:after="160" w:line="360"/>
      </w:pPr>
      <w:r>
        <w:t xml:space="preserve">Multimedia Appendix 2. Model Facts label template.</w:t>
      </w:r>
    </w:p>
    <w:p>
      <w:pPr>
        <w:spacing w:after="160" w:line="360"/>
      </w:pPr>
      <w:r>
        <w:t xml:space="preserve">Multimedia Appendix 3. Worked example: Gate 3 (documentation) override request for a hypothetical AI sepsis triage tool — illustrative completion of the structured override request form (the blank template appears as Figure 2).</w:t>
      </w:r>
    </w:p>
    <w:p>
      <w:pPr>
        <w:spacing w:after="160" w:line="360"/>
      </w:pPr>
      <w:r>
        <w:t xml:space="preserve">Multimedia Appendix 4. Targeted document review: coding frame and search strategy.</w:t>
      </w:r>
    </w:p>
    <w:p>
      <w:pPr>
        <w:spacing w:after="160" w:line="360"/>
      </w:pPr>
      <w:r>
        <w:t xml:space="preserve">Multimedia Appendix 5. Targeted document review: reproducible evidence ledger.</w:t>
      </w:r>
    </w:p>
    <w:p>
      <w:pPr>
        <w:spacing w:after="160" w:line="360"/>
      </w:pPr>
      <w:r>
        <w:t xml:space="preserve">Multimedia Appendix 6. Generative AI use log: prompts, responses, and change-tracking summary.</w:t>
      </w:r>
    </w:p>
    <w:p>
      <w:pPr>
        <w:pStyle w:val="Heading1"/>
        <w:spacing w:after="200" w:before="360"/>
      </w:pPr>
      <w:r>
        <w:rPr>
          <w:b/>
          <w:bCs/>
        </w:rPr>
        <w:t xml:space="preserve">Figure legends</w:t>
      </w:r>
    </w:p>
    <w:p>
      <w:pPr>
        <w:spacing w:after="160" w:line="360"/>
      </w:pPr>
      <w:r>
        <w:rPr>
          <w:b/>
          <w:bCs/>
        </w:rPr>
        <w:t xml:space="preserve">Figure 1. </w:t>
      </w:r>
      <w:r>
        <w:t xml:space="preserve">Conceptual schematic of the governance gate architecture for clinical AI deployment. The schematic depicts five governance gates (clinical safety and validation; bias and equity oversight; documentation and transparency; accountability and decision rights; lifecycle monitoring and drift management) arranged as a conjunctive decision pathway, with Gates 1 and 5 shown as non-overridable and Gates 2–4 shown as overridable under the constrained exception pathway. Evidence floors and example failure conditions are indicated illustratively for each gate. The figure is illustrative and conceptual rather than prescriptive; values shown are provisional pilot defaults requiring empirical calibration.</w:t>
      </w:r>
    </w:p>
    <w:p>
      <w:pPr>
        <w:spacing w:after="160" w:line="360"/>
      </w:pPr>
      <w:r>
        <w:rPr>
          <w:b/>
          <w:bCs/>
        </w:rPr>
        <w:t xml:space="preserve">Figure 2. </w:t>
      </w:r>
      <w:r>
        <w:t xml:space="preserve">Illustrative template for a structured governance override request. The template depicts the four override criteria (documented rationale, bounded validity period, prospective monitoring plan, and committee approval) and the three structural safeguards against override accumulation (concurrent override limits, institutional override registers, and escalation triggers). The pathway is shown as relevant to Gates 2, 3, and 4 only, with Gates 1 and 5 indicated as non-overridable. Criteria, parameters, and safeguards shown are provisional and illustrative rather than prescriptive.</w:t>
      </w:r>
    </w:p>
    <w:p>
      <w:pPr>
        <w:pStyle w:val="Heading1"/>
        <w:spacing w:after="200" w:before="360"/>
      </w:pPr>
      <w:r>
        <w:rPr>
          <w:b/>
          <w:bCs/>
        </w:rPr>
        <w:t xml:space="preserve">Abbreviations</w:t>
      </w:r>
    </w:p>
    <w:p>
      <w:pPr>
        <w:spacing w:after="160" w:line="360"/>
      </w:pPr>
      <w:r>
        <w:t xml:space="preserve">AI: artificial intelligence; CONSORT-AI: Consolidated Standards of Reporting Trials for Artificial Intelligence; DTAC: Digital Technology Assessment Criteria; EU: European Union; FDA: Food and Drug Administration; MCDA: multi-criteria decision analysis; MHRA: Medicines and Healthcare products Regulatory Agency; NHS: National Health Service; NICE: National Institute for Health and Care Excellence; SaMD: software as a medical device; TEHAI: Translational Ethics for Health AI.</w:t>
      </w:r>
    </w:p>
    <w:p>
      <w:pPr>
        <w:pStyle w:val="Heading1"/>
        <w:spacing w:after="200" w:before="360"/>
      </w:pPr>
      <w:r>
        <w:rPr>
          <w:b/>
          <w:bCs/>
        </w:rPr>
        <w:t xml:space="preserve">References</w:t>
      </w:r>
    </w:p>
    <w:p>
      <w:pPr>
        <w:pStyle w:val="ListParagraph"/>
        <w:numPr>
          <w:ilvl w:val="0"/>
          <w:numId w:val="2"/>
        </w:numPr>
        <w:spacing w:after="80" w:line="300"/>
      </w:pPr>
      <w:r>
        <w:t xml:space="preserve">Reddy S, Allan S, Coghlan S, et al. A governance model for implementing AI in healthcare. J Am Med Inform Assoc. 2020;27:491–7.</w:t>
      </w:r>
    </w:p>
    <w:p>
      <w:pPr>
        <w:pStyle w:val="ListParagraph"/>
        <w:numPr>
          <w:ilvl w:val="0"/>
          <w:numId w:val="2"/>
        </w:numPr>
        <w:spacing w:after="80" w:line="300"/>
      </w:pPr>
      <w:r>
        <w:t xml:space="preserve">He J, Baxter SL, Xu J, et al. The practical implementation of artificial intelligence technologies in medicine. Nat Med. 2019;25:30–6.</w:t>
      </w:r>
    </w:p>
    <w:p>
      <w:pPr>
        <w:pStyle w:val="ListParagraph"/>
        <w:numPr>
          <w:ilvl w:val="0"/>
          <w:numId w:val="2"/>
        </w:numPr>
        <w:spacing w:after="80" w:line="300"/>
      </w:pPr>
      <w:r>
        <w:t xml:space="preserve">European Parliament. Regulation (EU) 2024/1689 laying down harmonised rules on artificial intelligence (Artificial Intelligence Act). OJ L, 2024/1689.</w:t>
      </w:r>
    </w:p>
    <w:p>
      <w:pPr>
        <w:pStyle w:val="ListParagraph"/>
        <w:numPr>
          <w:ilvl w:val="0"/>
          <w:numId w:val="2"/>
        </w:numPr>
        <w:spacing w:after="80" w:line="300"/>
      </w:pPr>
      <w:r>
        <w:t xml:space="preserve">International Organization for Standardization. ISO/IEC 42001:2023: Information Technology—Artificial Intelligence—Management System. Geneva: ISO; 2023.</w:t>
      </w:r>
    </w:p>
    <w:p>
      <w:pPr>
        <w:pStyle w:val="ListParagraph"/>
        <w:numPr>
          <w:ilvl w:val="0"/>
          <w:numId w:val="2"/>
        </w:numPr>
        <w:spacing w:after="80" w:line="300"/>
      </w:pPr>
      <w:r>
        <w:t xml:space="preserve">National Institute for Health and Care Excellence. Evidence Standards Framework for Digital Health Technologies. London: NICE; 2022.</w:t>
      </w:r>
    </w:p>
    <w:p>
      <w:pPr>
        <w:pStyle w:val="ListParagraph"/>
        <w:numPr>
          <w:ilvl w:val="0"/>
          <w:numId w:val="2"/>
        </w:numPr>
        <w:spacing w:after="80" w:line="300"/>
      </w:pPr>
      <w:r>
        <w:t xml:space="preserve">U.S. Food and Drug Administration. Artificial Intelligence and Machine Learning (AI/ML) Software as a Medical Device Action Plan. Silver Spring: FDA; 2021.</w:t>
      </w:r>
    </w:p>
    <w:p>
      <w:pPr>
        <w:pStyle w:val="ListParagraph"/>
        <w:numPr>
          <w:ilvl w:val="0"/>
          <w:numId w:val="2"/>
        </w:numPr>
        <w:spacing w:after="80" w:line="300"/>
      </w:pPr>
      <w:r>
        <w:t xml:space="preserve">Haynes AB, Weiser TG, Berry WR, et al. A surgical safety checklist to reduce morbidity and mortality in a global population. N Engl J Med. 2009;360:491–9.</w:t>
      </w:r>
    </w:p>
    <w:p>
      <w:pPr>
        <w:pStyle w:val="ListParagraph"/>
        <w:numPr>
          <w:ilvl w:val="0"/>
          <w:numId w:val="2"/>
        </w:numPr>
        <w:spacing w:after="80" w:line="300"/>
      </w:pPr>
      <w:r>
        <w:t xml:space="preserve">Gigerenzer G, Gaissmaier W. Heuristic decision making. Annu Rev Psychol. 2011;62:451–82.</w:t>
      </w:r>
    </w:p>
    <w:p>
      <w:pPr>
        <w:pStyle w:val="ListParagraph"/>
        <w:numPr>
          <w:ilvl w:val="0"/>
          <w:numId w:val="2"/>
        </w:numPr>
        <w:spacing w:after="80" w:line="300"/>
      </w:pPr>
      <w:r>
        <w:t xml:space="preserve">Steyerberg EW, Vergouwe Y. Towards better clinical prediction models: seven steps for development and an ABCD for validation. Eur Heart J. 2014;35:1925–31.</w:t>
      </w:r>
    </w:p>
    <w:p>
      <w:pPr>
        <w:pStyle w:val="ListParagraph"/>
        <w:numPr>
          <w:ilvl w:val="0"/>
          <w:numId w:val="2"/>
        </w:numPr>
        <w:spacing w:after="80" w:line="300"/>
      </w:pPr>
      <w:r>
        <w:t xml:space="preserve">Van Calster B, McLernon DJ, van Smeden M, et al. Calibration: the Achilles heel of predictive analytics. BMC Med. 2019;17:230.</w:t>
      </w:r>
    </w:p>
    <w:p>
      <w:pPr>
        <w:pStyle w:val="ListParagraph"/>
        <w:numPr>
          <w:ilvl w:val="0"/>
          <w:numId w:val="2"/>
        </w:numPr>
        <w:spacing w:after="80" w:line="300"/>
      </w:pPr>
      <w:r>
        <w:t xml:space="preserve">Chen IY, Pierson E, Rose S, et al. Ethical machine learning in healthcare. Annu Rev Biomed Data Sci. 2021;4:123–44.</w:t>
      </w:r>
    </w:p>
    <w:p>
      <w:pPr>
        <w:pStyle w:val="ListParagraph"/>
        <w:numPr>
          <w:ilvl w:val="0"/>
          <w:numId w:val="2"/>
        </w:numPr>
        <w:spacing w:after="80" w:line="300"/>
      </w:pPr>
      <w:r>
        <w:t xml:space="preserve">Buolamwini J, Gebru T. Gender shades: intersectional accuracy disparities in commercial gender classification. Proc FAT*. 2018:77–91.</w:t>
      </w:r>
    </w:p>
    <w:p>
      <w:pPr>
        <w:pStyle w:val="ListParagraph"/>
        <w:numPr>
          <w:ilvl w:val="0"/>
          <w:numId w:val="2"/>
        </w:numPr>
        <w:spacing w:after="80" w:line="300"/>
      </w:pPr>
      <w:r>
        <w:t xml:space="preserve">Ibrahim H, Liu X, Zariffa N, et al. Health data poverty: an assailable barrier to equitable digital health care. Lancet Digit Health. 2021;3:e260–5.</w:t>
      </w:r>
    </w:p>
    <w:p>
      <w:pPr>
        <w:pStyle w:val="ListParagraph"/>
        <w:numPr>
          <w:ilvl w:val="0"/>
          <w:numId w:val="2"/>
        </w:numPr>
        <w:spacing w:after="80" w:line="300"/>
      </w:pPr>
      <w:r>
        <w:t xml:space="preserve">Biddle NR. Adverse impact and the four-fifths rule. In: The Oxford Handbook of Assessment Policy and Practice in Human Resource Management. Oxford: OUP; 2015.</w:t>
      </w:r>
    </w:p>
    <w:p>
      <w:pPr>
        <w:pStyle w:val="ListParagraph"/>
        <w:numPr>
          <w:ilvl w:val="0"/>
          <w:numId w:val="2"/>
        </w:numPr>
        <w:spacing w:after="80" w:line="300"/>
      </w:pPr>
      <w:r>
        <w:t xml:space="preserve">Mitchell M, Wu S, Zaldivar A, et al. Model cards for model reporting. Proc Conf Fairness Accountability Transparency. 2019:455–64.</w:t>
      </w:r>
    </w:p>
    <w:p>
      <w:pPr>
        <w:pStyle w:val="ListParagraph"/>
        <w:numPr>
          <w:ilvl w:val="0"/>
          <w:numId w:val="2"/>
        </w:numPr>
        <w:spacing w:after="80" w:line="300"/>
      </w:pPr>
      <w:r>
        <w:t xml:space="preserve">Sendak MP, Gao M, Brajer N, et al. Presenting machine learning model anticipated performance in a clinical setting with the Model Facts label. NPJ Digit Med. 2020;3:43.</w:t>
      </w:r>
    </w:p>
    <w:p>
      <w:pPr>
        <w:pStyle w:val="ListParagraph"/>
        <w:numPr>
          <w:ilvl w:val="0"/>
          <w:numId w:val="2"/>
        </w:numPr>
        <w:spacing w:after="80" w:line="300"/>
      </w:pPr>
      <w:r>
        <w:t xml:space="preserve">Sujan M, Furniss D, Grundy K, et al. Human factors challenges for the safe use of artificial intelligence in patient care. BMJ Health Care Inform. 2019;26:e100081.</w:t>
      </w:r>
    </w:p>
    <w:p>
      <w:pPr>
        <w:pStyle w:val="ListParagraph"/>
        <w:numPr>
          <w:ilvl w:val="0"/>
          <w:numId w:val="2"/>
        </w:numPr>
        <w:spacing w:after="80" w:line="300"/>
      </w:pPr>
      <w:r>
        <w:t xml:space="preserve">Arkes HR, Blumer C. The psychology of sunk cost. Organ Behav Hum Decis Process. 1985;35:124–40.</w:t>
      </w:r>
    </w:p>
    <w:p>
      <w:pPr>
        <w:pStyle w:val="ListParagraph"/>
        <w:numPr>
          <w:ilvl w:val="0"/>
          <w:numId w:val="2"/>
        </w:numPr>
        <w:spacing w:after="80" w:line="300"/>
      </w:pPr>
      <w:r>
        <w:t xml:space="preserve">Freeman K, Dinnes J, Chuchu N, et al. Algorithm transparency and accountability in health care. BMJ. 2021;372:n110.</w:t>
      </w:r>
    </w:p>
    <w:p>
      <w:pPr>
        <w:pStyle w:val="ListParagraph"/>
        <w:numPr>
          <w:ilvl w:val="0"/>
          <w:numId w:val="2"/>
        </w:numPr>
        <w:spacing w:after="80" w:line="300"/>
      </w:pPr>
      <w:r>
        <w:t xml:space="preserve">Liu X, Rivera SC, Moher D, et al. Reporting guidelines for clinical trial reports for interventions involving AI: the CONSORT-AI extension. Nat Med. 2020;26:1364–74.</w:t>
      </w:r>
    </w:p>
    <w:p>
      <w:pPr>
        <w:pStyle w:val="ListParagraph"/>
        <w:numPr>
          <w:ilvl w:val="0"/>
          <w:numId w:val="2"/>
        </w:numPr>
        <w:spacing w:after="80" w:line="300"/>
      </w:pPr>
      <w:r>
        <w:t xml:space="preserve">Wong A, Otles E, Donnelly JP, et al. External validation of a widely implemented proprietary sepsis prediction model in hospitalized patients. JAMA Intern Med. 2021;181:1065–70.</w:t>
      </w:r>
    </w:p>
    <w:p>
      <w:pPr>
        <w:pStyle w:val="ListParagraph"/>
        <w:numPr>
          <w:ilvl w:val="0"/>
          <w:numId w:val="2"/>
        </w:numPr>
        <w:spacing w:after="80" w:line="300"/>
      </w:pPr>
      <w:r>
        <w:t xml:space="preserve">Habibi R, Podolyak S, Giannini H, et al. Impact of a sepsis prediction model on clinician burden. J Gen Intern Med. 2022;37:1629–36.</w:t>
      </w:r>
    </w:p>
    <w:p>
      <w:pPr>
        <w:pStyle w:val="ListParagraph"/>
        <w:numPr>
          <w:ilvl w:val="0"/>
          <w:numId w:val="2"/>
        </w:numPr>
        <w:spacing w:after="80" w:line="300"/>
      </w:pPr>
      <w:r>
        <w:t xml:space="preserve">Freeman S, Wang A, Saraf S, et al. Co-designing an AI governance framework: protocol for a participatory approach. JMIR Res Protoc. 2025;14:e75702.</w:t>
      </w:r>
    </w:p>
    <w:p>
      <w:pPr>
        <w:pStyle w:val="ListParagraph"/>
        <w:numPr>
          <w:ilvl w:val="0"/>
          <w:numId w:val="2"/>
        </w:numPr>
        <w:spacing w:after="80" w:line="300"/>
      </w:pPr>
      <w:r>
        <w:t xml:space="preserve">Gigerenzer G, Goldstein DG. Reasoning the fast and frugal way: models of bounded rationality. Psychol Rev. 1996;103:650–69.</w:t>
      </w:r>
    </w:p>
    <w:p>
      <w:pPr>
        <w:pStyle w:val="ListParagraph"/>
        <w:numPr>
          <w:ilvl w:val="0"/>
          <w:numId w:val="2"/>
        </w:numPr>
        <w:spacing w:after="80" w:line="300"/>
      </w:pPr>
      <w:r>
        <w:t xml:space="preserve">Brown W. Operationalizing non-compensatory governance gates: a theory-testing simulation study of clinical AI deployment decisions. JMIR Med Inform. 2026. (Companion study; under review at time of this submission.)</w:t>
      </w:r>
    </w:p>
    <w:p>
      <w:pPr>
        <w:pStyle w:val="ListParagraph"/>
        <w:numPr>
          <w:ilvl w:val="0"/>
          <w:numId w:val="2"/>
        </w:numPr>
        <w:spacing w:after="80" w:line="300"/>
      </w:pPr>
      <w:r>
        <w:t xml:space="preserve">Lekadir K, Frangi AF, Porras AR, et al. FUTURE-AI: international consensus guideline for trustworthy and deployable artificial intelligence in healthcare. BMJ. 2025;388:e081554.</w:t>
      </w:r>
    </w:p>
    <w:p>
      <w:pPr>
        <w:pStyle w:val="ListParagraph"/>
        <w:numPr>
          <w:ilvl w:val="0"/>
          <w:numId w:val="2"/>
        </w:numPr>
        <w:spacing w:after="80" w:line="300"/>
      </w:pPr>
      <w:r>
        <w:t xml:space="preserve">U.S. Food and Drug Administration. Artificial Intelligence-Enabled Device Software Functions: Lifecycle Management and Marketing Submission Recommendations. Draft Guidance. Silver Spring: FDA; January 2025.</w:t>
      </w:r>
    </w:p>
    <w:p>
      <w:pPr>
        <w:pStyle w:val="ListParagraph"/>
        <w:numPr>
          <w:ilvl w:val="0"/>
          <w:numId w:val="2"/>
        </w:numPr>
        <w:spacing w:after="80" w:line="300"/>
      </w:pPr>
      <w:r>
        <w:t xml:space="preserve">Reddy S, Rogers W, Mäkinen VP, Coiera E, Brown P, Wenzel M, et al. Evaluation framework to guide implementation of AI systems into healthcare settings. BMJ Health Care Inform. 2021;28(1):e100444. doi:10.1136/bmjhci-2021-100444.</w:t>
      </w:r>
    </w:p>
    <w:p>
      <w:pPr>
        <w:pStyle w:val="ListParagraph"/>
        <w:numPr>
          <w:ilvl w:val="0"/>
          <w:numId w:val="2"/>
        </w:numPr>
        <w:spacing w:after="80" w:line="300"/>
      </w:pPr>
      <w:r>
        <w:t xml:space="preserve">Warraich HJ, Tazbaz T, Califf RM. FDA perspective on the regulation of artificial intelligence in health care and biomedicine. JAMA. 2024;332:141–50.</w:t>
      </w:r>
    </w:p>
    <w:p>
      <w:pPr>
        <w:pStyle w:val="ListParagraph"/>
        <w:numPr>
          <w:ilvl w:val="0"/>
          <w:numId w:val="2"/>
        </w:numPr>
        <w:spacing w:after="80" w:line="300"/>
      </w:pPr>
      <w:r>
        <w:t xml:space="preserve">Medicines and Healthcare products Regulatory Agency. Software and AI as a Medical Device Change Programme. London: MHRA; 2023.</w:t>
      </w:r>
    </w:p>
    <w:p>
      <w:pPr>
        <w:pStyle w:val="ListParagraph"/>
        <w:numPr>
          <w:ilvl w:val="0"/>
          <w:numId w:val="2"/>
        </w:numPr>
        <w:spacing w:after="80" w:line="300"/>
      </w:pPr>
      <w:r>
        <w:t xml:space="preserve">Thokala P, Devlin N, Marsh K, et al. Multiple criteria decision analysis for health care decision making—an introduction: Report 1 of the ISPOR MCDA Emerging Good Practices Task Force. Value Health. 2016;19(1):1–13.</w:t>
      </w:r>
    </w:p>
    <w:p>
      <w:pPr>
        <w:pStyle w:val="ListParagraph"/>
        <w:numPr>
          <w:ilvl w:val="0"/>
          <w:numId w:val="2"/>
        </w:numPr>
        <w:spacing w:after="80" w:line="300"/>
      </w:pPr>
      <w:r>
        <w:t xml:space="preserve">Marsh K, IJzerman M, Thokala P, et al. Multiple criteria decision analysis for health care decision making—emerging good practices: Report 2 of the ISPOR MCDA Emerging Good Practices Task Force. Value Health. 2016;19(2):125–37.</w:t>
      </w:r>
    </w:p>
    <w:p>
      <w:pPr>
        <w:pStyle w:val="ListParagraph"/>
        <w:numPr>
          <w:ilvl w:val="0"/>
          <w:numId w:val="2"/>
        </w:numPr>
        <w:spacing w:after="80" w:line="300"/>
      </w:pPr>
      <w:r>
        <w:t xml:space="preserve">OECD/European Commission/Joint Research Centre. Handbook on constructing composite indicators: methodology and user guide. Paris: OECD Publishing; 2008.</w:t>
      </w:r>
    </w:p>
    <w:p>
      <w:pPr>
        <w:pStyle w:val="ListParagraph"/>
        <w:numPr>
          <w:ilvl w:val="0"/>
          <w:numId w:val="2"/>
        </w:numPr>
        <w:spacing w:after="80" w:line="300"/>
      </w:pPr>
      <w:r>
        <w:t xml:space="preserve">National Institute for Health and Care Excellence. Guide to the methods of technology appraisal 2013. London: NICE; 2013. Process and Methods PMG9.</w:t>
      </w:r>
    </w:p>
    <w:p>
      <w:pPr>
        <w:pStyle w:val="ListParagraph"/>
        <w:numPr>
          <w:ilvl w:val="0"/>
          <w:numId w:val="2"/>
        </w:numPr>
        <w:spacing w:after="80" w:line="300"/>
      </w:pPr>
      <w:r>
        <w:t xml:space="preserve">Brown W. Non-compensatory governance of high-stakes AI systems: a historical replay analysis of documented deployment failures. NEJM AI. 2026. (Companion study; under review at time of this submission.)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00"/>
      <w:outlineLvl w:val="2"/>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2026-04-27T14:29:40.139Z</dcterms:created>
  <dcterms:modified xsi:type="dcterms:W3CDTF">2026-04-27T14:29:40.140Z</dcterms:modified>
</cp:coreProperties>
</file>

<file path=docProps/custom.xml><?xml version="1.0" encoding="utf-8"?>
<Properties xmlns="http://schemas.openxmlformats.org/officeDocument/2006/custom-properties" xmlns:vt="http://schemas.openxmlformats.org/officeDocument/2006/docPropsVTypes"/>
</file>